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Ex1.xml" ContentType="application/vnd.ms-office.chartex+xml"/>
  <Override PartName="/word/charts/style23.xml" ContentType="application/vnd.ms-office.chartstyle+xml"/>
  <Override PartName="/word/charts/colors23.xml" ContentType="application/vnd.ms-office.chartcolorstyle+xml"/>
  <Override PartName="/word/charts/chart23.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4.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5.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6.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7.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8.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29.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0.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1.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2.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3.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4.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5.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6.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7.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8.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39.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0.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1.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2.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3.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4.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5.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6.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7.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8.xml" ContentType="application/vnd.openxmlformats-officedocument.drawingml.chart+xml"/>
  <Override PartName="/word/charts/style49.xml" ContentType="application/vnd.ms-office.chartstyle+xml"/>
  <Override PartName="/word/charts/colors49.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0221E" w14:textId="77777777" w:rsidR="00606B6E" w:rsidRDefault="00FE5BB6" w:rsidP="00FE5BB6">
      <w:pPr>
        <w:pStyle w:val="Title"/>
      </w:pPr>
      <w:r>
        <w:rPr>
          <w:rStyle w:val="TitleChar"/>
          <w:bCs/>
        </w:rPr>
        <w:t>Department of Jobs,</w:t>
      </w:r>
      <w:r>
        <w:rPr>
          <w:rStyle w:val="TitleChar"/>
          <w:bCs/>
        </w:rPr>
        <w:br/>
        <w:t>Precincts and Regions</w:t>
      </w:r>
    </w:p>
    <w:sdt>
      <w:sdtPr>
        <w:rPr>
          <w:rStyle w:val="TitleChar"/>
          <w:noProof w:val="0"/>
          <w:color w:val="FFFFFF" w:themeColor="background1"/>
          <w:lang w:val="en-AU" w:eastAsia="en-US"/>
        </w:rPr>
        <w:id w:val="2122263188"/>
        <w:placeholder>
          <w:docPart w:val="19CE8461E66A4E49A0A65B2A72AFF83B"/>
        </w:placeholder>
      </w:sdtPr>
      <w:sdtEndPr>
        <w:rPr>
          <w:rStyle w:val="TitleChar"/>
        </w:rPr>
      </w:sdtEndPr>
      <w:sdtContent>
        <w:p w14:paraId="6C69AB51" w14:textId="574AB02B" w:rsidR="00FE5BB6" w:rsidRDefault="000314C2" w:rsidP="00FE5BB6">
          <w:pPr>
            <w:pStyle w:val="Reporttitle"/>
            <w:rPr>
              <w:rStyle w:val="TitleChar"/>
              <w:noProof w:val="0"/>
              <w:color w:val="FFFFFF" w:themeColor="background1"/>
              <w:lang w:val="en-AU" w:eastAsia="en-US"/>
            </w:rPr>
          </w:pPr>
          <w:r w:rsidRPr="007C02BA">
            <w:rPr>
              <w:rStyle w:val="TitleChar"/>
              <w:noProof w:val="0"/>
              <w:color w:val="FFFFFF" w:themeColor="background1"/>
              <w:sz w:val="32"/>
              <w:szCs w:val="14"/>
              <w:lang w:val="en-AU" w:eastAsia="en-US"/>
            </w:rPr>
            <w:t xml:space="preserve">Analysis of the 2020-21 </w:t>
          </w:r>
          <w:r w:rsidR="00EA1BDF">
            <w:rPr>
              <w:rStyle w:val="TitleChar"/>
              <w:noProof w:val="0"/>
              <w:color w:val="FFFFFF" w:themeColor="background1"/>
              <w:sz w:val="32"/>
              <w:szCs w:val="14"/>
              <w:lang w:val="en-AU" w:eastAsia="en-US"/>
            </w:rPr>
            <w:t>adopted</w:t>
          </w:r>
          <w:r w:rsidRPr="007C02BA">
            <w:rPr>
              <w:rStyle w:val="TitleChar"/>
              <w:noProof w:val="0"/>
              <w:color w:val="FFFFFF" w:themeColor="background1"/>
              <w:sz w:val="32"/>
              <w:szCs w:val="14"/>
              <w:lang w:val="en-AU" w:eastAsia="en-US"/>
            </w:rPr>
            <w:t xml:space="preserve"> </w:t>
          </w:r>
          <w:r w:rsidR="001E5D10">
            <w:rPr>
              <w:rStyle w:val="TitleChar"/>
              <w:noProof w:val="0"/>
              <w:color w:val="FFFFFF" w:themeColor="background1"/>
              <w:sz w:val="32"/>
              <w:szCs w:val="14"/>
              <w:lang w:val="en-AU" w:eastAsia="en-US"/>
            </w:rPr>
            <w:t>b</w:t>
          </w:r>
          <w:r w:rsidRPr="007C02BA">
            <w:rPr>
              <w:rStyle w:val="TitleChar"/>
              <w:noProof w:val="0"/>
              <w:color w:val="FFFFFF" w:themeColor="background1"/>
              <w:sz w:val="32"/>
              <w:szCs w:val="14"/>
              <w:lang w:val="en-AU" w:eastAsia="en-US"/>
            </w:rPr>
            <w:t>udgets of Victoria</w:t>
          </w:r>
          <w:r w:rsidR="00D174D6">
            <w:rPr>
              <w:rStyle w:val="TitleChar"/>
              <w:noProof w:val="0"/>
              <w:color w:val="FFFFFF" w:themeColor="background1"/>
              <w:sz w:val="32"/>
              <w:szCs w:val="14"/>
              <w:lang w:val="en-AU" w:eastAsia="en-US"/>
            </w:rPr>
            <w:t>n</w:t>
          </w:r>
          <w:r w:rsidRPr="007C02BA">
            <w:rPr>
              <w:rStyle w:val="TitleChar"/>
              <w:noProof w:val="0"/>
              <w:color w:val="FFFFFF" w:themeColor="background1"/>
              <w:sz w:val="32"/>
              <w:szCs w:val="14"/>
              <w:lang w:val="en-AU" w:eastAsia="en-US"/>
            </w:rPr>
            <w:t xml:space="preserve"> </w:t>
          </w:r>
          <w:r w:rsidR="001E5D10">
            <w:rPr>
              <w:rStyle w:val="TitleChar"/>
              <w:noProof w:val="0"/>
              <w:color w:val="FFFFFF" w:themeColor="background1"/>
              <w:sz w:val="32"/>
              <w:szCs w:val="14"/>
              <w:lang w:val="en-AU" w:eastAsia="en-US"/>
            </w:rPr>
            <w:t>c</w:t>
          </w:r>
          <w:r w:rsidR="00736C9D">
            <w:rPr>
              <w:rStyle w:val="TitleChar"/>
              <w:noProof w:val="0"/>
              <w:color w:val="FFFFFF" w:themeColor="background1"/>
              <w:sz w:val="32"/>
              <w:szCs w:val="14"/>
              <w:lang w:val="en-AU" w:eastAsia="en-US"/>
            </w:rPr>
            <w:t>ouncils</w:t>
          </w:r>
        </w:p>
      </w:sdtContent>
    </w:sdt>
    <w:p w14:paraId="2CDE3B23" w14:textId="3FA69553" w:rsidR="00FE5BB6" w:rsidRPr="00D96C1E" w:rsidRDefault="00A776F5" w:rsidP="00FE5BB6">
      <w:pPr>
        <w:pStyle w:val="Subtitle"/>
      </w:pPr>
      <w:sdt>
        <w:sdtPr>
          <w:id w:val="-1272693036"/>
          <w:placeholder>
            <w:docPart w:val="043E3222284441BF8F79077AD18128B6"/>
          </w:placeholder>
        </w:sdtPr>
        <w:sdtEndPr/>
        <w:sdtContent>
          <w:r w:rsidR="000314C2">
            <w:t>BY local government victoria</w:t>
          </w:r>
        </w:sdtContent>
      </w:sdt>
    </w:p>
    <w:p w14:paraId="648F792A" w14:textId="77777777" w:rsidR="00FE5BB6" w:rsidRDefault="00FE5BB6" w:rsidP="00FE5BB6"/>
    <w:p w14:paraId="6F283D16" w14:textId="77777777" w:rsidR="00FE5BB6" w:rsidRPr="00FE5BB6" w:rsidRDefault="00FE5BB6" w:rsidP="00FE5BB6">
      <w:pPr>
        <w:sectPr w:rsidR="00FE5BB6" w:rsidRPr="00FE5BB6" w:rsidSect="003E73DE">
          <w:headerReference w:type="default" r:id="rId11"/>
          <w:footerReference w:type="default" r:id="rId12"/>
          <w:headerReference w:type="first" r:id="rId13"/>
          <w:pgSz w:w="11906" w:h="16838"/>
          <w:pgMar w:top="3402" w:right="4111" w:bottom="4505" w:left="1134" w:header="709" w:footer="136" w:gutter="0"/>
          <w:pgNumType w:fmt="lowerRoman" w:start="0"/>
          <w:cols w:space="708"/>
          <w:titlePg/>
          <w:docGrid w:linePitch="360"/>
        </w:sectPr>
      </w:pPr>
    </w:p>
    <w:p w14:paraId="75BC665B" w14:textId="77777777" w:rsidR="004371F6" w:rsidRPr="00D96C1E" w:rsidRDefault="004371F6" w:rsidP="00D96C1E">
      <w:pPr>
        <w:pStyle w:val="TOCHeading"/>
      </w:pPr>
      <w:r w:rsidRPr="00D96C1E">
        <w:lastRenderedPageBreak/>
        <w:t>Table of contents</w:t>
      </w:r>
    </w:p>
    <w:p w14:paraId="751D5C94" w14:textId="233A9C98" w:rsidR="00222125" w:rsidRDefault="00A17119">
      <w:pPr>
        <w:pStyle w:val="TOC1"/>
        <w:rPr>
          <w:rFonts w:asciiTheme="minorHAnsi" w:eastAsiaTheme="minorEastAsia" w:hAnsiTheme="minorHAnsi" w:cstheme="minorBidi"/>
          <w:noProof/>
          <w:color w:val="auto"/>
          <w:sz w:val="22"/>
          <w:szCs w:val="22"/>
          <w:lang w:eastAsia="en-AU"/>
        </w:rPr>
      </w:pPr>
      <w:r>
        <w:rPr>
          <w:noProof/>
          <w:color w:val="auto"/>
          <w:lang w:eastAsia="en-AU"/>
        </w:rPr>
        <w:fldChar w:fldCharType="begin"/>
      </w:r>
      <w:r>
        <w:rPr>
          <w:noProof/>
          <w:color w:val="auto"/>
          <w:lang w:eastAsia="en-AU"/>
        </w:rPr>
        <w:instrText xml:space="preserve"> TOC \o "1-3" \h \z \u </w:instrText>
      </w:r>
      <w:r>
        <w:rPr>
          <w:noProof/>
          <w:color w:val="auto"/>
          <w:lang w:eastAsia="en-AU"/>
        </w:rPr>
        <w:fldChar w:fldCharType="separate"/>
      </w:r>
      <w:hyperlink w:anchor="_Toc75534476" w:history="1">
        <w:r w:rsidR="00222125" w:rsidRPr="00C23E00">
          <w:rPr>
            <w:rStyle w:val="Hyperlink"/>
            <w:noProof/>
          </w:rPr>
          <w:t>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Acronyms</w:t>
        </w:r>
        <w:r w:rsidR="00222125">
          <w:rPr>
            <w:noProof/>
            <w:webHidden/>
          </w:rPr>
          <w:tab/>
        </w:r>
        <w:r w:rsidR="00222125">
          <w:rPr>
            <w:noProof/>
            <w:webHidden/>
          </w:rPr>
          <w:fldChar w:fldCharType="begin"/>
        </w:r>
        <w:r w:rsidR="00222125">
          <w:rPr>
            <w:noProof/>
            <w:webHidden/>
          </w:rPr>
          <w:instrText xml:space="preserve"> PAGEREF _Toc75534476 \h </w:instrText>
        </w:r>
        <w:r w:rsidR="00222125">
          <w:rPr>
            <w:noProof/>
            <w:webHidden/>
          </w:rPr>
        </w:r>
        <w:r w:rsidR="00222125">
          <w:rPr>
            <w:noProof/>
            <w:webHidden/>
          </w:rPr>
          <w:fldChar w:fldCharType="separate"/>
        </w:r>
        <w:r w:rsidR="00222125">
          <w:rPr>
            <w:noProof/>
            <w:webHidden/>
          </w:rPr>
          <w:t>2</w:t>
        </w:r>
        <w:r w:rsidR="00222125">
          <w:rPr>
            <w:noProof/>
            <w:webHidden/>
          </w:rPr>
          <w:fldChar w:fldCharType="end"/>
        </w:r>
      </w:hyperlink>
    </w:p>
    <w:p w14:paraId="02757EC6" w14:textId="17FC4388" w:rsidR="00222125" w:rsidRDefault="00A776F5">
      <w:pPr>
        <w:pStyle w:val="TOC1"/>
        <w:rPr>
          <w:rFonts w:asciiTheme="minorHAnsi" w:eastAsiaTheme="minorEastAsia" w:hAnsiTheme="minorHAnsi" w:cstheme="minorBidi"/>
          <w:noProof/>
          <w:color w:val="auto"/>
          <w:sz w:val="22"/>
          <w:szCs w:val="22"/>
          <w:lang w:eastAsia="en-AU"/>
        </w:rPr>
      </w:pPr>
      <w:hyperlink w:anchor="_Toc75534477" w:history="1">
        <w:r w:rsidR="00222125" w:rsidRPr="00C23E00">
          <w:rPr>
            <w:rStyle w:val="Hyperlink"/>
            <w:noProof/>
          </w:rPr>
          <w:t>2</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Executive Summary – Whole of Sector Analysis</w:t>
        </w:r>
        <w:r w:rsidR="00222125">
          <w:rPr>
            <w:noProof/>
            <w:webHidden/>
          </w:rPr>
          <w:tab/>
        </w:r>
        <w:r w:rsidR="00222125">
          <w:rPr>
            <w:noProof/>
            <w:webHidden/>
          </w:rPr>
          <w:fldChar w:fldCharType="begin"/>
        </w:r>
        <w:r w:rsidR="00222125">
          <w:rPr>
            <w:noProof/>
            <w:webHidden/>
          </w:rPr>
          <w:instrText xml:space="preserve"> PAGEREF _Toc75534477 \h </w:instrText>
        </w:r>
        <w:r w:rsidR="00222125">
          <w:rPr>
            <w:noProof/>
            <w:webHidden/>
          </w:rPr>
        </w:r>
        <w:r w:rsidR="00222125">
          <w:rPr>
            <w:noProof/>
            <w:webHidden/>
          </w:rPr>
          <w:fldChar w:fldCharType="separate"/>
        </w:r>
        <w:r w:rsidR="00222125">
          <w:rPr>
            <w:noProof/>
            <w:webHidden/>
          </w:rPr>
          <w:t>3</w:t>
        </w:r>
        <w:r w:rsidR="00222125">
          <w:rPr>
            <w:noProof/>
            <w:webHidden/>
          </w:rPr>
          <w:fldChar w:fldCharType="end"/>
        </w:r>
      </w:hyperlink>
    </w:p>
    <w:p w14:paraId="708D1FB5" w14:textId="05B2073F" w:rsidR="00222125" w:rsidRDefault="00A776F5">
      <w:pPr>
        <w:pStyle w:val="TOC1"/>
        <w:rPr>
          <w:rFonts w:asciiTheme="minorHAnsi" w:eastAsiaTheme="minorEastAsia" w:hAnsiTheme="minorHAnsi" w:cstheme="minorBidi"/>
          <w:noProof/>
          <w:color w:val="auto"/>
          <w:sz w:val="22"/>
          <w:szCs w:val="22"/>
          <w:lang w:eastAsia="en-AU"/>
        </w:rPr>
      </w:pPr>
      <w:hyperlink w:anchor="_Toc75534478" w:history="1">
        <w:r w:rsidR="00222125" w:rsidRPr="00C23E00">
          <w:rPr>
            <w:rStyle w:val="Hyperlink"/>
            <w:noProof/>
          </w:rPr>
          <w:t>3</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Introduction and context</w:t>
        </w:r>
        <w:r w:rsidR="00222125">
          <w:rPr>
            <w:noProof/>
            <w:webHidden/>
          </w:rPr>
          <w:tab/>
        </w:r>
        <w:r w:rsidR="00222125">
          <w:rPr>
            <w:noProof/>
            <w:webHidden/>
          </w:rPr>
          <w:fldChar w:fldCharType="begin"/>
        </w:r>
        <w:r w:rsidR="00222125">
          <w:rPr>
            <w:noProof/>
            <w:webHidden/>
          </w:rPr>
          <w:instrText xml:space="preserve"> PAGEREF _Toc75534478 \h </w:instrText>
        </w:r>
        <w:r w:rsidR="00222125">
          <w:rPr>
            <w:noProof/>
            <w:webHidden/>
          </w:rPr>
        </w:r>
        <w:r w:rsidR="00222125">
          <w:rPr>
            <w:noProof/>
            <w:webHidden/>
          </w:rPr>
          <w:fldChar w:fldCharType="separate"/>
        </w:r>
        <w:r w:rsidR="00222125">
          <w:rPr>
            <w:noProof/>
            <w:webHidden/>
          </w:rPr>
          <w:t>4</w:t>
        </w:r>
        <w:r w:rsidR="00222125">
          <w:rPr>
            <w:noProof/>
            <w:webHidden/>
          </w:rPr>
          <w:fldChar w:fldCharType="end"/>
        </w:r>
      </w:hyperlink>
    </w:p>
    <w:p w14:paraId="71066248" w14:textId="158705C6" w:rsidR="00222125" w:rsidRDefault="00A776F5">
      <w:pPr>
        <w:pStyle w:val="TOC2"/>
        <w:rPr>
          <w:rFonts w:asciiTheme="minorHAnsi" w:eastAsiaTheme="minorEastAsia" w:hAnsiTheme="minorHAnsi" w:cstheme="minorBidi"/>
          <w:noProof/>
          <w:color w:val="auto"/>
          <w:sz w:val="22"/>
          <w:szCs w:val="22"/>
          <w:lang w:eastAsia="en-AU"/>
        </w:rPr>
      </w:pPr>
      <w:hyperlink w:anchor="_Toc75534479" w:history="1">
        <w:r w:rsidR="00222125" w:rsidRPr="00C23E00">
          <w:rPr>
            <w:rStyle w:val="Hyperlink"/>
            <w:noProof/>
          </w:rPr>
          <w:t>3.1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Victorian Bushfires</w:t>
        </w:r>
        <w:r w:rsidR="00222125">
          <w:rPr>
            <w:noProof/>
            <w:webHidden/>
          </w:rPr>
          <w:tab/>
        </w:r>
        <w:r w:rsidR="00222125">
          <w:rPr>
            <w:noProof/>
            <w:webHidden/>
          </w:rPr>
          <w:fldChar w:fldCharType="begin"/>
        </w:r>
        <w:r w:rsidR="00222125">
          <w:rPr>
            <w:noProof/>
            <w:webHidden/>
          </w:rPr>
          <w:instrText xml:space="preserve"> PAGEREF _Toc75534479 \h </w:instrText>
        </w:r>
        <w:r w:rsidR="00222125">
          <w:rPr>
            <w:noProof/>
            <w:webHidden/>
          </w:rPr>
        </w:r>
        <w:r w:rsidR="00222125">
          <w:rPr>
            <w:noProof/>
            <w:webHidden/>
          </w:rPr>
          <w:fldChar w:fldCharType="separate"/>
        </w:r>
        <w:r w:rsidR="00222125">
          <w:rPr>
            <w:noProof/>
            <w:webHidden/>
          </w:rPr>
          <w:t>4</w:t>
        </w:r>
        <w:r w:rsidR="00222125">
          <w:rPr>
            <w:noProof/>
            <w:webHidden/>
          </w:rPr>
          <w:fldChar w:fldCharType="end"/>
        </w:r>
      </w:hyperlink>
    </w:p>
    <w:p w14:paraId="1CF55AEC" w14:textId="67E15E94" w:rsidR="00222125" w:rsidRDefault="00A776F5">
      <w:pPr>
        <w:pStyle w:val="TOC2"/>
        <w:rPr>
          <w:rFonts w:asciiTheme="minorHAnsi" w:eastAsiaTheme="minorEastAsia" w:hAnsiTheme="minorHAnsi" w:cstheme="minorBidi"/>
          <w:noProof/>
          <w:color w:val="auto"/>
          <w:sz w:val="22"/>
          <w:szCs w:val="22"/>
          <w:lang w:eastAsia="en-AU"/>
        </w:rPr>
      </w:pPr>
      <w:hyperlink w:anchor="_Toc75534480" w:history="1">
        <w:r w:rsidR="00222125" w:rsidRPr="00C23E00">
          <w:rPr>
            <w:rStyle w:val="Hyperlink"/>
            <w:noProof/>
          </w:rPr>
          <w:t>3.2</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Coronavirus (COVID-19) pandemic</w:t>
        </w:r>
        <w:r w:rsidR="00222125">
          <w:rPr>
            <w:noProof/>
            <w:webHidden/>
          </w:rPr>
          <w:tab/>
        </w:r>
        <w:r w:rsidR="00222125">
          <w:rPr>
            <w:noProof/>
            <w:webHidden/>
          </w:rPr>
          <w:fldChar w:fldCharType="begin"/>
        </w:r>
        <w:r w:rsidR="00222125">
          <w:rPr>
            <w:noProof/>
            <w:webHidden/>
          </w:rPr>
          <w:instrText xml:space="preserve"> PAGEREF _Toc75534480 \h </w:instrText>
        </w:r>
        <w:r w:rsidR="00222125">
          <w:rPr>
            <w:noProof/>
            <w:webHidden/>
          </w:rPr>
        </w:r>
        <w:r w:rsidR="00222125">
          <w:rPr>
            <w:noProof/>
            <w:webHidden/>
          </w:rPr>
          <w:fldChar w:fldCharType="separate"/>
        </w:r>
        <w:r w:rsidR="00222125">
          <w:rPr>
            <w:noProof/>
            <w:webHidden/>
          </w:rPr>
          <w:t>4</w:t>
        </w:r>
        <w:r w:rsidR="00222125">
          <w:rPr>
            <w:noProof/>
            <w:webHidden/>
          </w:rPr>
          <w:fldChar w:fldCharType="end"/>
        </w:r>
      </w:hyperlink>
    </w:p>
    <w:p w14:paraId="0BADBF78" w14:textId="2957DA62" w:rsidR="00222125" w:rsidRDefault="00A776F5">
      <w:pPr>
        <w:pStyle w:val="TOC2"/>
        <w:rPr>
          <w:rFonts w:asciiTheme="minorHAnsi" w:eastAsiaTheme="minorEastAsia" w:hAnsiTheme="minorHAnsi" w:cstheme="minorBidi"/>
          <w:noProof/>
          <w:color w:val="auto"/>
          <w:sz w:val="22"/>
          <w:szCs w:val="22"/>
          <w:lang w:eastAsia="en-AU"/>
        </w:rPr>
      </w:pPr>
      <w:hyperlink w:anchor="_Toc75534481" w:history="1">
        <w:r w:rsidR="00222125" w:rsidRPr="00C23E00">
          <w:rPr>
            <w:rStyle w:val="Hyperlink"/>
            <w:noProof/>
          </w:rPr>
          <w:t>3.3</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Financial sustainability of Victorian councils pre-pandemic</w:t>
        </w:r>
        <w:r w:rsidR="00222125">
          <w:rPr>
            <w:noProof/>
            <w:webHidden/>
          </w:rPr>
          <w:tab/>
        </w:r>
        <w:r w:rsidR="00222125">
          <w:rPr>
            <w:noProof/>
            <w:webHidden/>
          </w:rPr>
          <w:fldChar w:fldCharType="begin"/>
        </w:r>
        <w:r w:rsidR="00222125">
          <w:rPr>
            <w:noProof/>
            <w:webHidden/>
          </w:rPr>
          <w:instrText xml:space="preserve"> PAGEREF _Toc75534481 \h </w:instrText>
        </w:r>
        <w:r w:rsidR="00222125">
          <w:rPr>
            <w:noProof/>
            <w:webHidden/>
          </w:rPr>
        </w:r>
        <w:r w:rsidR="00222125">
          <w:rPr>
            <w:noProof/>
            <w:webHidden/>
          </w:rPr>
          <w:fldChar w:fldCharType="separate"/>
        </w:r>
        <w:r w:rsidR="00222125">
          <w:rPr>
            <w:noProof/>
            <w:webHidden/>
          </w:rPr>
          <w:t>5</w:t>
        </w:r>
        <w:r w:rsidR="00222125">
          <w:rPr>
            <w:noProof/>
            <w:webHidden/>
          </w:rPr>
          <w:fldChar w:fldCharType="end"/>
        </w:r>
      </w:hyperlink>
    </w:p>
    <w:p w14:paraId="239706C2" w14:textId="327E70F5" w:rsidR="00222125" w:rsidRDefault="00A776F5">
      <w:pPr>
        <w:pStyle w:val="TOC2"/>
        <w:rPr>
          <w:rFonts w:asciiTheme="minorHAnsi" w:eastAsiaTheme="minorEastAsia" w:hAnsiTheme="minorHAnsi" w:cstheme="minorBidi"/>
          <w:noProof/>
          <w:color w:val="auto"/>
          <w:sz w:val="22"/>
          <w:szCs w:val="22"/>
          <w:lang w:eastAsia="en-AU"/>
        </w:rPr>
      </w:pPr>
      <w:hyperlink w:anchor="_Toc75534482" w:history="1">
        <w:r w:rsidR="00222125" w:rsidRPr="00C23E00">
          <w:rPr>
            <w:rStyle w:val="Hyperlink"/>
            <w:noProof/>
          </w:rPr>
          <w:t>3.4</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Budget Analysis</w:t>
        </w:r>
        <w:r w:rsidR="00222125">
          <w:rPr>
            <w:noProof/>
            <w:webHidden/>
          </w:rPr>
          <w:tab/>
        </w:r>
        <w:r w:rsidR="00222125">
          <w:rPr>
            <w:noProof/>
            <w:webHidden/>
          </w:rPr>
          <w:fldChar w:fldCharType="begin"/>
        </w:r>
        <w:r w:rsidR="00222125">
          <w:rPr>
            <w:noProof/>
            <w:webHidden/>
          </w:rPr>
          <w:instrText xml:space="preserve"> PAGEREF _Toc75534482 \h </w:instrText>
        </w:r>
        <w:r w:rsidR="00222125">
          <w:rPr>
            <w:noProof/>
            <w:webHidden/>
          </w:rPr>
        </w:r>
        <w:r w:rsidR="00222125">
          <w:rPr>
            <w:noProof/>
            <w:webHidden/>
          </w:rPr>
          <w:fldChar w:fldCharType="separate"/>
        </w:r>
        <w:r w:rsidR="00222125">
          <w:rPr>
            <w:noProof/>
            <w:webHidden/>
          </w:rPr>
          <w:t>5</w:t>
        </w:r>
        <w:r w:rsidR="00222125">
          <w:rPr>
            <w:noProof/>
            <w:webHidden/>
          </w:rPr>
          <w:fldChar w:fldCharType="end"/>
        </w:r>
      </w:hyperlink>
    </w:p>
    <w:p w14:paraId="73EB01BC" w14:textId="535F7790" w:rsidR="00222125" w:rsidRDefault="00A776F5">
      <w:pPr>
        <w:pStyle w:val="TOC1"/>
        <w:rPr>
          <w:rFonts w:asciiTheme="minorHAnsi" w:eastAsiaTheme="minorEastAsia" w:hAnsiTheme="minorHAnsi" w:cstheme="minorBidi"/>
          <w:noProof/>
          <w:color w:val="auto"/>
          <w:sz w:val="22"/>
          <w:szCs w:val="22"/>
          <w:lang w:eastAsia="en-AU"/>
        </w:rPr>
      </w:pPr>
      <w:hyperlink w:anchor="_Toc75534483" w:history="1">
        <w:r w:rsidR="00222125" w:rsidRPr="00C23E00">
          <w:rPr>
            <w:rStyle w:val="Hyperlink"/>
            <w:noProof/>
          </w:rPr>
          <w:t>4</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Revenue</w:t>
        </w:r>
        <w:r w:rsidR="00222125">
          <w:rPr>
            <w:noProof/>
            <w:webHidden/>
          </w:rPr>
          <w:tab/>
        </w:r>
        <w:r w:rsidR="00222125">
          <w:rPr>
            <w:noProof/>
            <w:webHidden/>
          </w:rPr>
          <w:fldChar w:fldCharType="begin"/>
        </w:r>
        <w:r w:rsidR="00222125">
          <w:rPr>
            <w:noProof/>
            <w:webHidden/>
          </w:rPr>
          <w:instrText xml:space="preserve"> PAGEREF _Toc75534483 \h </w:instrText>
        </w:r>
        <w:r w:rsidR="00222125">
          <w:rPr>
            <w:noProof/>
            <w:webHidden/>
          </w:rPr>
        </w:r>
        <w:r w:rsidR="00222125">
          <w:rPr>
            <w:noProof/>
            <w:webHidden/>
          </w:rPr>
          <w:fldChar w:fldCharType="separate"/>
        </w:r>
        <w:r w:rsidR="00222125">
          <w:rPr>
            <w:noProof/>
            <w:webHidden/>
          </w:rPr>
          <w:t>6</w:t>
        </w:r>
        <w:r w:rsidR="00222125">
          <w:rPr>
            <w:noProof/>
            <w:webHidden/>
          </w:rPr>
          <w:fldChar w:fldCharType="end"/>
        </w:r>
      </w:hyperlink>
    </w:p>
    <w:p w14:paraId="19AE9185" w14:textId="4FC8AF57" w:rsidR="00222125" w:rsidRDefault="00A776F5">
      <w:pPr>
        <w:pStyle w:val="TOC2"/>
        <w:rPr>
          <w:rFonts w:asciiTheme="minorHAnsi" w:eastAsiaTheme="minorEastAsia" w:hAnsiTheme="minorHAnsi" w:cstheme="minorBidi"/>
          <w:noProof/>
          <w:color w:val="auto"/>
          <w:sz w:val="22"/>
          <w:szCs w:val="22"/>
          <w:lang w:eastAsia="en-AU"/>
        </w:rPr>
      </w:pPr>
      <w:hyperlink w:anchor="_Toc75534484" w:history="1">
        <w:r w:rsidR="00222125" w:rsidRPr="00C23E00">
          <w:rPr>
            <w:rStyle w:val="Hyperlink"/>
            <w:noProof/>
          </w:rPr>
          <w:t>4.1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Rates and charges</w:t>
        </w:r>
        <w:r w:rsidR="00222125">
          <w:rPr>
            <w:noProof/>
            <w:webHidden/>
          </w:rPr>
          <w:tab/>
        </w:r>
        <w:r w:rsidR="00222125">
          <w:rPr>
            <w:noProof/>
            <w:webHidden/>
          </w:rPr>
          <w:fldChar w:fldCharType="begin"/>
        </w:r>
        <w:r w:rsidR="00222125">
          <w:rPr>
            <w:noProof/>
            <w:webHidden/>
          </w:rPr>
          <w:instrText xml:space="preserve"> PAGEREF _Toc75534484 \h </w:instrText>
        </w:r>
        <w:r w:rsidR="00222125">
          <w:rPr>
            <w:noProof/>
            <w:webHidden/>
          </w:rPr>
        </w:r>
        <w:r w:rsidR="00222125">
          <w:rPr>
            <w:noProof/>
            <w:webHidden/>
          </w:rPr>
          <w:fldChar w:fldCharType="separate"/>
        </w:r>
        <w:r w:rsidR="00222125">
          <w:rPr>
            <w:noProof/>
            <w:webHidden/>
          </w:rPr>
          <w:t>8</w:t>
        </w:r>
        <w:r w:rsidR="00222125">
          <w:rPr>
            <w:noProof/>
            <w:webHidden/>
          </w:rPr>
          <w:fldChar w:fldCharType="end"/>
        </w:r>
      </w:hyperlink>
    </w:p>
    <w:p w14:paraId="5911577C" w14:textId="1EF7BBDE" w:rsidR="00222125" w:rsidRDefault="00A776F5">
      <w:pPr>
        <w:pStyle w:val="TOC2"/>
        <w:rPr>
          <w:rFonts w:asciiTheme="minorHAnsi" w:eastAsiaTheme="minorEastAsia" w:hAnsiTheme="minorHAnsi" w:cstheme="minorBidi"/>
          <w:noProof/>
          <w:color w:val="auto"/>
          <w:sz w:val="22"/>
          <w:szCs w:val="22"/>
          <w:lang w:eastAsia="en-AU"/>
        </w:rPr>
      </w:pPr>
      <w:hyperlink w:anchor="_Toc75534485" w:history="1">
        <w:r w:rsidR="00222125" w:rsidRPr="00C23E00">
          <w:rPr>
            <w:rStyle w:val="Hyperlink"/>
            <w:noProof/>
          </w:rPr>
          <w:t>4.2</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Fair Go Rates System and council responses to COVID-19</w:t>
        </w:r>
        <w:r w:rsidR="00222125">
          <w:rPr>
            <w:noProof/>
            <w:webHidden/>
          </w:rPr>
          <w:tab/>
        </w:r>
        <w:r w:rsidR="00222125">
          <w:rPr>
            <w:noProof/>
            <w:webHidden/>
          </w:rPr>
          <w:fldChar w:fldCharType="begin"/>
        </w:r>
        <w:r w:rsidR="00222125">
          <w:rPr>
            <w:noProof/>
            <w:webHidden/>
          </w:rPr>
          <w:instrText xml:space="preserve"> PAGEREF _Toc75534485 \h </w:instrText>
        </w:r>
        <w:r w:rsidR="00222125">
          <w:rPr>
            <w:noProof/>
            <w:webHidden/>
          </w:rPr>
        </w:r>
        <w:r w:rsidR="00222125">
          <w:rPr>
            <w:noProof/>
            <w:webHidden/>
          </w:rPr>
          <w:fldChar w:fldCharType="separate"/>
        </w:r>
        <w:r w:rsidR="00222125">
          <w:rPr>
            <w:noProof/>
            <w:webHidden/>
          </w:rPr>
          <w:t>11</w:t>
        </w:r>
        <w:r w:rsidR="00222125">
          <w:rPr>
            <w:noProof/>
            <w:webHidden/>
          </w:rPr>
          <w:fldChar w:fldCharType="end"/>
        </w:r>
      </w:hyperlink>
    </w:p>
    <w:p w14:paraId="0956046B" w14:textId="19726FA3" w:rsidR="00222125" w:rsidRDefault="00A776F5">
      <w:pPr>
        <w:pStyle w:val="TOC2"/>
        <w:rPr>
          <w:rFonts w:asciiTheme="minorHAnsi" w:eastAsiaTheme="minorEastAsia" w:hAnsiTheme="minorHAnsi" w:cstheme="minorBidi"/>
          <w:noProof/>
          <w:color w:val="auto"/>
          <w:sz w:val="22"/>
          <w:szCs w:val="22"/>
          <w:lang w:eastAsia="en-AU"/>
        </w:rPr>
      </w:pPr>
      <w:hyperlink w:anchor="_Toc75534486" w:history="1">
        <w:r w:rsidR="00222125" w:rsidRPr="00C23E00">
          <w:rPr>
            <w:rStyle w:val="Hyperlink"/>
            <w:noProof/>
          </w:rPr>
          <w:t>4.3</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Statutory fees and fines and user fees</w:t>
        </w:r>
        <w:r w:rsidR="00222125">
          <w:rPr>
            <w:noProof/>
            <w:webHidden/>
          </w:rPr>
          <w:tab/>
        </w:r>
        <w:r w:rsidR="00222125">
          <w:rPr>
            <w:noProof/>
            <w:webHidden/>
          </w:rPr>
          <w:fldChar w:fldCharType="begin"/>
        </w:r>
        <w:r w:rsidR="00222125">
          <w:rPr>
            <w:noProof/>
            <w:webHidden/>
          </w:rPr>
          <w:instrText xml:space="preserve"> PAGEREF _Toc75534486 \h </w:instrText>
        </w:r>
        <w:r w:rsidR="00222125">
          <w:rPr>
            <w:noProof/>
            <w:webHidden/>
          </w:rPr>
        </w:r>
        <w:r w:rsidR="00222125">
          <w:rPr>
            <w:noProof/>
            <w:webHidden/>
          </w:rPr>
          <w:fldChar w:fldCharType="separate"/>
        </w:r>
        <w:r w:rsidR="00222125">
          <w:rPr>
            <w:noProof/>
            <w:webHidden/>
          </w:rPr>
          <w:t>14</w:t>
        </w:r>
        <w:r w:rsidR="00222125">
          <w:rPr>
            <w:noProof/>
            <w:webHidden/>
          </w:rPr>
          <w:fldChar w:fldCharType="end"/>
        </w:r>
      </w:hyperlink>
    </w:p>
    <w:p w14:paraId="43F44494" w14:textId="60F67851" w:rsidR="00222125" w:rsidRDefault="00A776F5">
      <w:pPr>
        <w:pStyle w:val="TOC2"/>
        <w:rPr>
          <w:rFonts w:asciiTheme="minorHAnsi" w:eastAsiaTheme="minorEastAsia" w:hAnsiTheme="minorHAnsi" w:cstheme="minorBidi"/>
          <w:noProof/>
          <w:color w:val="auto"/>
          <w:sz w:val="22"/>
          <w:szCs w:val="22"/>
          <w:lang w:eastAsia="en-AU"/>
        </w:rPr>
      </w:pPr>
      <w:hyperlink w:anchor="_Toc75534487" w:history="1">
        <w:r w:rsidR="00222125" w:rsidRPr="00C23E00">
          <w:rPr>
            <w:rStyle w:val="Hyperlink"/>
            <w:noProof/>
          </w:rPr>
          <w:t>4.4</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Grants</w:t>
        </w:r>
        <w:r w:rsidR="00222125">
          <w:rPr>
            <w:noProof/>
            <w:webHidden/>
          </w:rPr>
          <w:tab/>
        </w:r>
        <w:r w:rsidR="00222125">
          <w:rPr>
            <w:noProof/>
            <w:webHidden/>
          </w:rPr>
          <w:fldChar w:fldCharType="begin"/>
        </w:r>
        <w:r w:rsidR="00222125">
          <w:rPr>
            <w:noProof/>
            <w:webHidden/>
          </w:rPr>
          <w:instrText xml:space="preserve"> PAGEREF _Toc75534487 \h </w:instrText>
        </w:r>
        <w:r w:rsidR="00222125">
          <w:rPr>
            <w:noProof/>
            <w:webHidden/>
          </w:rPr>
        </w:r>
        <w:r w:rsidR="00222125">
          <w:rPr>
            <w:noProof/>
            <w:webHidden/>
          </w:rPr>
          <w:fldChar w:fldCharType="separate"/>
        </w:r>
        <w:r w:rsidR="00222125">
          <w:rPr>
            <w:noProof/>
            <w:webHidden/>
          </w:rPr>
          <w:t>17</w:t>
        </w:r>
        <w:r w:rsidR="00222125">
          <w:rPr>
            <w:noProof/>
            <w:webHidden/>
          </w:rPr>
          <w:fldChar w:fldCharType="end"/>
        </w:r>
      </w:hyperlink>
    </w:p>
    <w:p w14:paraId="0CF7B517" w14:textId="44C337AE" w:rsidR="00222125" w:rsidRDefault="00A776F5">
      <w:pPr>
        <w:pStyle w:val="TOC2"/>
        <w:rPr>
          <w:rFonts w:asciiTheme="minorHAnsi" w:eastAsiaTheme="minorEastAsia" w:hAnsiTheme="minorHAnsi" w:cstheme="minorBidi"/>
          <w:noProof/>
          <w:color w:val="auto"/>
          <w:sz w:val="22"/>
          <w:szCs w:val="22"/>
          <w:lang w:eastAsia="en-AU"/>
        </w:rPr>
      </w:pPr>
      <w:hyperlink w:anchor="_Toc75534488" w:history="1">
        <w:r w:rsidR="00222125" w:rsidRPr="00C23E00">
          <w:rPr>
            <w:rStyle w:val="Hyperlink"/>
            <w:noProof/>
          </w:rPr>
          <w:t>4.5</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Contributions</w:t>
        </w:r>
        <w:r w:rsidR="00222125">
          <w:rPr>
            <w:noProof/>
            <w:webHidden/>
          </w:rPr>
          <w:tab/>
        </w:r>
        <w:r w:rsidR="00222125">
          <w:rPr>
            <w:noProof/>
            <w:webHidden/>
          </w:rPr>
          <w:fldChar w:fldCharType="begin"/>
        </w:r>
        <w:r w:rsidR="00222125">
          <w:rPr>
            <w:noProof/>
            <w:webHidden/>
          </w:rPr>
          <w:instrText xml:space="preserve"> PAGEREF _Toc75534488 \h </w:instrText>
        </w:r>
        <w:r w:rsidR="00222125">
          <w:rPr>
            <w:noProof/>
            <w:webHidden/>
          </w:rPr>
        </w:r>
        <w:r w:rsidR="00222125">
          <w:rPr>
            <w:noProof/>
            <w:webHidden/>
          </w:rPr>
          <w:fldChar w:fldCharType="separate"/>
        </w:r>
        <w:r w:rsidR="00222125">
          <w:rPr>
            <w:noProof/>
            <w:webHidden/>
          </w:rPr>
          <w:t>19</w:t>
        </w:r>
        <w:r w:rsidR="00222125">
          <w:rPr>
            <w:noProof/>
            <w:webHidden/>
          </w:rPr>
          <w:fldChar w:fldCharType="end"/>
        </w:r>
      </w:hyperlink>
    </w:p>
    <w:p w14:paraId="15EAE63C" w14:textId="3EF86D7C" w:rsidR="00222125" w:rsidRDefault="00A776F5">
      <w:pPr>
        <w:pStyle w:val="TOC1"/>
        <w:rPr>
          <w:rFonts w:asciiTheme="minorHAnsi" w:eastAsiaTheme="minorEastAsia" w:hAnsiTheme="minorHAnsi" w:cstheme="minorBidi"/>
          <w:noProof/>
          <w:color w:val="auto"/>
          <w:sz w:val="22"/>
          <w:szCs w:val="22"/>
          <w:lang w:eastAsia="en-AU"/>
        </w:rPr>
      </w:pPr>
      <w:hyperlink w:anchor="_Toc75534489" w:history="1">
        <w:r w:rsidR="00222125" w:rsidRPr="00C23E00">
          <w:rPr>
            <w:rStyle w:val="Hyperlink"/>
            <w:noProof/>
          </w:rPr>
          <w:t>5</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Expenditure</w:t>
        </w:r>
        <w:r w:rsidR="00222125">
          <w:rPr>
            <w:noProof/>
            <w:webHidden/>
          </w:rPr>
          <w:tab/>
        </w:r>
        <w:r w:rsidR="00222125">
          <w:rPr>
            <w:noProof/>
            <w:webHidden/>
          </w:rPr>
          <w:fldChar w:fldCharType="begin"/>
        </w:r>
        <w:r w:rsidR="00222125">
          <w:rPr>
            <w:noProof/>
            <w:webHidden/>
          </w:rPr>
          <w:instrText xml:space="preserve"> PAGEREF _Toc75534489 \h </w:instrText>
        </w:r>
        <w:r w:rsidR="00222125">
          <w:rPr>
            <w:noProof/>
            <w:webHidden/>
          </w:rPr>
        </w:r>
        <w:r w:rsidR="00222125">
          <w:rPr>
            <w:noProof/>
            <w:webHidden/>
          </w:rPr>
          <w:fldChar w:fldCharType="separate"/>
        </w:r>
        <w:r w:rsidR="00222125">
          <w:rPr>
            <w:noProof/>
            <w:webHidden/>
          </w:rPr>
          <w:t>20</w:t>
        </w:r>
        <w:r w:rsidR="00222125">
          <w:rPr>
            <w:noProof/>
            <w:webHidden/>
          </w:rPr>
          <w:fldChar w:fldCharType="end"/>
        </w:r>
      </w:hyperlink>
    </w:p>
    <w:p w14:paraId="6F8F4C15" w14:textId="023C59D0" w:rsidR="00222125" w:rsidRDefault="00A776F5">
      <w:pPr>
        <w:pStyle w:val="TOC2"/>
        <w:rPr>
          <w:rFonts w:asciiTheme="minorHAnsi" w:eastAsiaTheme="minorEastAsia" w:hAnsiTheme="minorHAnsi" w:cstheme="minorBidi"/>
          <w:noProof/>
          <w:color w:val="auto"/>
          <w:sz w:val="22"/>
          <w:szCs w:val="22"/>
          <w:lang w:eastAsia="en-AU"/>
        </w:rPr>
      </w:pPr>
      <w:hyperlink w:anchor="_Toc75534490" w:history="1">
        <w:r w:rsidR="00222125" w:rsidRPr="00C23E00">
          <w:rPr>
            <w:rStyle w:val="Hyperlink"/>
            <w:noProof/>
          </w:rPr>
          <w:t>5.1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Employee costs</w:t>
        </w:r>
        <w:r w:rsidR="00222125">
          <w:rPr>
            <w:noProof/>
            <w:webHidden/>
          </w:rPr>
          <w:tab/>
        </w:r>
        <w:r w:rsidR="00222125">
          <w:rPr>
            <w:noProof/>
            <w:webHidden/>
          </w:rPr>
          <w:fldChar w:fldCharType="begin"/>
        </w:r>
        <w:r w:rsidR="00222125">
          <w:rPr>
            <w:noProof/>
            <w:webHidden/>
          </w:rPr>
          <w:instrText xml:space="preserve"> PAGEREF _Toc75534490 \h </w:instrText>
        </w:r>
        <w:r w:rsidR="00222125">
          <w:rPr>
            <w:noProof/>
            <w:webHidden/>
          </w:rPr>
        </w:r>
        <w:r w:rsidR="00222125">
          <w:rPr>
            <w:noProof/>
            <w:webHidden/>
          </w:rPr>
          <w:fldChar w:fldCharType="separate"/>
        </w:r>
        <w:r w:rsidR="00222125">
          <w:rPr>
            <w:noProof/>
            <w:webHidden/>
          </w:rPr>
          <w:t>23</w:t>
        </w:r>
        <w:r w:rsidR="00222125">
          <w:rPr>
            <w:noProof/>
            <w:webHidden/>
          </w:rPr>
          <w:fldChar w:fldCharType="end"/>
        </w:r>
      </w:hyperlink>
    </w:p>
    <w:p w14:paraId="6766BBFC" w14:textId="03838501" w:rsidR="00222125" w:rsidRDefault="00A776F5">
      <w:pPr>
        <w:pStyle w:val="TOC2"/>
        <w:rPr>
          <w:rFonts w:asciiTheme="minorHAnsi" w:eastAsiaTheme="minorEastAsia" w:hAnsiTheme="minorHAnsi" w:cstheme="minorBidi"/>
          <w:noProof/>
          <w:color w:val="auto"/>
          <w:sz w:val="22"/>
          <w:szCs w:val="22"/>
          <w:lang w:eastAsia="en-AU"/>
        </w:rPr>
      </w:pPr>
      <w:hyperlink w:anchor="_Toc75534491" w:history="1">
        <w:r w:rsidR="00222125" w:rsidRPr="00C23E00">
          <w:rPr>
            <w:rStyle w:val="Hyperlink"/>
            <w:noProof/>
          </w:rPr>
          <w:t>5.2</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Materials and services</w:t>
        </w:r>
        <w:r w:rsidR="00222125">
          <w:rPr>
            <w:noProof/>
            <w:webHidden/>
          </w:rPr>
          <w:tab/>
        </w:r>
        <w:r w:rsidR="00222125">
          <w:rPr>
            <w:noProof/>
            <w:webHidden/>
          </w:rPr>
          <w:fldChar w:fldCharType="begin"/>
        </w:r>
        <w:r w:rsidR="00222125">
          <w:rPr>
            <w:noProof/>
            <w:webHidden/>
          </w:rPr>
          <w:instrText xml:space="preserve"> PAGEREF _Toc75534491 \h </w:instrText>
        </w:r>
        <w:r w:rsidR="00222125">
          <w:rPr>
            <w:noProof/>
            <w:webHidden/>
          </w:rPr>
        </w:r>
        <w:r w:rsidR="00222125">
          <w:rPr>
            <w:noProof/>
            <w:webHidden/>
          </w:rPr>
          <w:fldChar w:fldCharType="separate"/>
        </w:r>
        <w:r w:rsidR="00222125">
          <w:rPr>
            <w:noProof/>
            <w:webHidden/>
          </w:rPr>
          <w:t>24</w:t>
        </w:r>
        <w:r w:rsidR="00222125">
          <w:rPr>
            <w:noProof/>
            <w:webHidden/>
          </w:rPr>
          <w:fldChar w:fldCharType="end"/>
        </w:r>
      </w:hyperlink>
    </w:p>
    <w:p w14:paraId="6B46A436" w14:textId="73A7223F" w:rsidR="00222125" w:rsidRDefault="00A776F5">
      <w:pPr>
        <w:pStyle w:val="TOC2"/>
        <w:rPr>
          <w:rFonts w:asciiTheme="minorHAnsi" w:eastAsiaTheme="minorEastAsia" w:hAnsiTheme="minorHAnsi" w:cstheme="minorBidi"/>
          <w:noProof/>
          <w:color w:val="auto"/>
          <w:sz w:val="22"/>
          <w:szCs w:val="22"/>
          <w:lang w:eastAsia="en-AU"/>
        </w:rPr>
      </w:pPr>
      <w:hyperlink w:anchor="_Toc75534492" w:history="1">
        <w:r w:rsidR="00222125" w:rsidRPr="00C23E00">
          <w:rPr>
            <w:rStyle w:val="Hyperlink"/>
            <w:noProof/>
          </w:rPr>
          <w:t>5.3</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Depreciation and amortisation</w:t>
        </w:r>
        <w:r w:rsidR="00222125">
          <w:rPr>
            <w:noProof/>
            <w:webHidden/>
          </w:rPr>
          <w:tab/>
        </w:r>
        <w:r w:rsidR="00222125">
          <w:rPr>
            <w:noProof/>
            <w:webHidden/>
          </w:rPr>
          <w:fldChar w:fldCharType="begin"/>
        </w:r>
        <w:r w:rsidR="00222125">
          <w:rPr>
            <w:noProof/>
            <w:webHidden/>
          </w:rPr>
          <w:instrText xml:space="preserve"> PAGEREF _Toc75534492 \h </w:instrText>
        </w:r>
        <w:r w:rsidR="00222125">
          <w:rPr>
            <w:noProof/>
            <w:webHidden/>
          </w:rPr>
        </w:r>
        <w:r w:rsidR="00222125">
          <w:rPr>
            <w:noProof/>
            <w:webHidden/>
          </w:rPr>
          <w:fldChar w:fldCharType="separate"/>
        </w:r>
        <w:r w:rsidR="00222125">
          <w:rPr>
            <w:noProof/>
            <w:webHidden/>
          </w:rPr>
          <w:t>25</w:t>
        </w:r>
        <w:r w:rsidR="00222125">
          <w:rPr>
            <w:noProof/>
            <w:webHidden/>
          </w:rPr>
          <w:fldChar w:fldCharType="end"/>
        </w:r>
      </w:hyperlink>
    </w:p>
    <w:p w14:paraId="10169A84" w14:textId="693806A0" w:rsidR="00222125" w:rsidRDefault="00A776F5">
      <w:pPr>
        <w:pStyle w:val="TOC2"/>
        <w:rPr>
          <w:rFonts w:asciiTheme="minorHAnsi" w:eastAsiaTheme="minorEastAsia" w:hAnsiTheme="minorHAnsi" w:cstheme="minorBidi"/>
          <w:noProof/>
          <w:color w:val="auto"/>
          <w:sz w:val="22"/>
          <w:szCs w:val="22"/>
          <w:lang w:eastAsia="en-AU"/>
        </w:rPr>
      </w:pPr>
      <w:hyperlink w:anchor="_Toc75534493" w:history="1">
        <w:r w:rsidR="00222125" w:rsidRPr="00C23E00">
          <w:rPr>
            <w:rStyle w:val="Hyperlink"/>
            <w:noProof/>
          </w:rPr>
          <w:t>5.4</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Bad and doubtful debts</w:t>
        </w:r>
        <w:r w:rsidR="00222125">
          <w:rPr>
            <w:noProof/>
            <w:webHidden/>
          </w:rPr>
          <w:tab/>
        </w:r>
        <w:r w:rsidR="00222125">
          <w:rPr>
            <w:noProof/>
            <w:webHidden/>
          </w:rPr>
          <w:fldChar w:fldCharType="begin"/>
        </w:r>
        <w:r w:rsidR="00222125">
          <w:rPr>
            <w:noProof/>
            <w:webHidden/>
          </w:rPr>
          <w:instrText xml:space="preserve"> PAGEREF _Toc75534493 \h </w:instrText>
        </w:r>
        <w:r w:rsidR="00222125">
          <w:rPr>
            <w:noProof/>
            <w:webHidden/>
          </w:rPr>
        </w:r>
        <w:r w:rsidR="00222125">
          <w:rPr>
            <w:noProof/>
            <w:webHidden/>
          </w:rPr>
          <w:fldChar w:fldCharType="separate"/>
        </w:r>
        <w:r w:rsidR="00222125">
          <w:rPr>
            <w:noProof/>
            <w:webHidden/>
          </w:rPr>
          <w:t>26</w:t>
        </w:r>
        <w:r w:rsidR="00222125">
          <w:rPr>
            <w:noProof/>
            <w:webHidden/>
          </w:rPr>
          <w:fldChar w:fldCharType="end"/>
        </w:r>
      </w:hyperlink>
    </w:p>
    <w:p w14:paraId="4E3266D6" w14:textId="08992609" w:rsidR="00222125" w:rsidRDefault="00A776F5">
      <w:pPr>
        <w:pStyle w:val="TOC1"/>
        <w:rPr>
          <w:rFonts w:asciiTheme="minorHAnsi" w:eastAsiaTheme="minorEastAsia" w:hAnsiTheme="minorHAnsi" w:cstheme="minorBidi"/>
          <w:noProof/>
          <w:color w:val="auto"/>
          <w:sz w:val="22"/>
          <w:szCs w:val="22"/>
          <w:lang w:eastAsia="en-AU"/>
        </w:rPr>
      </w:pPr>
      <w:hyperlink w:anchor="_Toc75534494" w:history="1">
        <w:r w:rsidR="00222125" w:rsidRPr="00C23E00">
          <w:rPr>
            <w:rStyle w:val="Hyperlink"/>
            <w:noProof/>
          </w:rPr>
          <w:t>6</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Overall Performance and Result</w:t>
        </w:r>
        <w:r w:rsidR="00222125">
          <w:rPr>
            <w:noProof/>
            <w:webHidden/>
          </w:rPr>
          <w:tab/>
        </w:r>
        <w:r w:rsidR="00222125">
          <w:rPr>
            <w:noProof/>
            <w:webHidden/>
          </w:rPr>
          <w:fldChar w:fldCharType="begin"/>
        </w:r>
        <w:r w:rsidR="00222125">
          <w:rPr>
            <w:noProof/>
            <w:webHidden/>
          </w:rPr>
          <w:instrText xml:space="preserve"> PAGEREF _Toc75534494 \h </w:instrText>
        </w:r>
        <w:r w:rsidR="00222125">
          <w:rPr>
            <w:noProof/>
            <w:webHidden/>
          </w:rPr>
        </w:r>
        <w:r w:rsidR="00222125">
          <w:rPr>
            <w:noProof/>
            <w:webHidden/>
          </w:rPr>
          <w:fldChar w:fldCharType="separate"/>
        </w:r>
        <w:r w:rsidR="00222125">
          <w:rPr>
            <w:noProof/>
            <w:webHidden/>
          </w:rPr>
          <w:t>27</w:t>
        </w:r>
        <w:r w:rsidR="00222125">
          <w:rPr>
            <w:noProof/>
            <w:webHidden/>
          </w:rPr>
          <w:fldChar w:fldCharType="end"/>
        </w:r>
      </w:hyperlink>
    </w:p>
    <w:p w14:paraId="7E9FF203" w14:textId="4ACD9079" w:rsidR="00222125" w:rsidRDefault="00A776F5">
      <w:pPr>
        <w:pStyle w:val="TOC2"/>
        <w:rPr>
          <w:rFonts w:asciiTheme="minorHAnsi" w:eastAsiaTheme="minorEastAsia" w:hAnsiTheme="minorHAnsi" w:cstheme="minorBidi"/>
          <w:noProof/>
          <w:color w:val="auto"/>
          <w:sz w:val="22"/>
          <w:szCs w:val="22"/>
          <w:lang w:eastAsia="en-AU"/>
        </w:rPr>
      </w:pPr>
      <w:hyperlink w:anchor="_Toc75534495" w:history="1">
        <w:r w:rsidR="00222125" w:rsidRPr="00C23E00">
          <w:rPr>
            <w:rStyle w:val="Hyperlink"/>
            <w:noProof/>
          </w:rPr>
          <w:t>6.1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Accounting operating results</w:t>
        </w:r>
        <w:r w:rsidR="00222125">
          <w:rPr>
            <w:noProof/>
            <w:webHidden/>
          </w:rPr>
          <w:tab/>
        </w:r>
        <w:r w:rsidR="00222125">
          <w:rPr>
            <w:noProof/>
            <w:webHidden/>
          </w:rPr>
          <w:fldChar w:fldCharType="begin"/>
        </w:r>
        <w:r w:rsidR="00222125">
          <w:rPr>
            <w:noProof/>
            <w:webHidden/>
          </w:rPr>
          <w:instrText xml:space="preserve"> PAGEREF _Toc75534495 \h </w:instrText>
        </w:r>
        <w:r w:rsidR="00222125">
          <w:rPr>
            <w:noProof/>
            <w:webHidden/>
          </w:rPr>
        </w:r>
        <w:r w:rsidR="00222125">
          <w:rPr>
            <w:noProof/>
            <w:webHidden/>
          </w:rPr>
          <w:fldChar w:fldCharType="separate"/>
        </w:r>
        <w:r w:rsidR="00222125">
          <w:rPr>
            <w:noProof/>
            <w:webHidden/>
          </w:rPr>
          <w:t>27</w:t>
        </w:r>
        <w:r w:rsidR="00222125">
          <w:rPr>
            <w:noProof/>
            <w:webHidden/>
          </w:rPr>
          <w:fldChar w:fldCharType="end"/>
        </w:r>
      </w:hyperlink>
    </w:p>
    <w:p w14:paraId="591447DD" w14:textId="0C48FF82" w:rsidR="00222125" w:rsidRDefault="00A776F5">
      <w:pPr>
        <w:pStyle w:val="TOC2"/>
        <w:rPr>
          <w:rFonts w:asciiTheme="minorHAnsi" w:eastAsiaTheme="minorEastAsia" w:hAnsiTheme="minorHAnsi" w:cstheme="minorBidi"/>
          <w:noProof/>
          <w:color w:val="auto"/>
          <w:sz w:val="22"/>
          <w:szCs w:val="22"/>
          <w:lang w:eastAsia="en-AU"/>
        </w:rPr>
      </w:pPr>
      <w:hyperlink w:anchor="_Toc75534496" w:history="1">
        <w:r w:rsidR="00222125" w:rsidRPr="00C23E00">
          <w:rPr>
            <w:rStyle w:val="Hyperlink"/>
            <w:noProof/>
          </w:rPr>
          <w:t>6.2</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Adjusted underlying operating results</w:t>
        </w:r>
        <w:r w:rsidR="00222125">
          <w:rPr>
            <w:noProof/>
            <w:webHidden/>
          </w:rPr>
          <w:tab/>
        </w:r>
        <w:r w:rsidR="00222125">
          <w:rPr>
            <w:noProof/>
            <w:webHidden/>
          </w:rPr>
          <w:fldChar w:fldCharType="begin"/>
        </w:r>
        <w:r w:rsidR="00222125">
          <w:rPr>
            <w:noProof/>
            <w:webHidden/>
          </w:rPr>
          <w:instrText xml:space="preserve"> PAGEREF _Toc75534496 \h </w:instrText>
        </w:r>
        <w:r w:rsidR="00222125">
          <w:rPr>
            <w:noProof/>
            <w:webHidden/>
          </w:rPr>
        </w:r>
        <w:r w:rsidR="00222125">
          <w:rPr>
            <w:noProof/>
            <w:webHidden/>
          </w:rPr>
          <w:fldChar w:fldCharType="separate"/>
        </w:r>
        <w:r w:rsidR="00222125">
          <w:rPr>
            <w:noProof/>
            <w:webHidden/>
          </w:rPr>
          <w:t>27</w:t>
        </w:r>
        <w:r w:rsidR="00222125">
          <w:rPr>
            <w:noProof/>
            <w:webHidden/>
          </w:rPr>
          <w:fldChar w:fldCharType="end"/>
        </w:r>
      </w:hyperlink>
    </w:p>
    <w:p w14:paraId="7A15BCFA" w14:textId="721D6EEB" w:rsidR="00222125" w:rsidRDefault="00A776F5">
      <w:pPr>
        <w:pStyle w:val="TOC1"/>
        <w:rPr>
          <w:rFonts w:asciiTheme="minorHAnsi" w:eastAsiaTheme="minorEastAsia" w:hAnsiTheme="minorHAnsi" w:cstheme="minorBidi"/>
          <w:noProof/>
          <w:color w:val="auto"/>
          <w:sz w:val="22"/>
          <w:szCs w:val="22"/>
          <w:lang w:eastAsia="en-AU"/>
        </w:rPr>
      </w:pPr>
      <w:hyperlink w:anchor="_Toc75534497" w:history="1">
        <w:r w:rsidR="00222125" w:rsidRPr="00C23E00">
          <w:rPr>
            <w:rStyle w:val="Hyperlink"/>
            <w:noProof/>
          </w:rPr>
          <w:t>7</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Capital Works</w:t>
        </w:r>
        <w:r w:rsidR="00222125">
          <w:rPr>
            <w:noProof/>
            <w:webHidden/>
          </w:rPr>
          <w:tab/>
        </w:r>
        <w:r w:rsidR="00222125">
          <w:rPr>
            <w:noProof/>
            <w:webHidden/>
          </w:rPr>
          <w:fldChar w:fldCharType="begin"/>
        </w:r>
        <w:r w:rsidR="00222125">
          <w:rPr>
            <w:noProof/>
            <w:webHidden/>
          </w:rPr>
          <w:instrText xml:space="preserve"> PAGEREF _Toc75534497 \h </w:instrText>
        </w:r>
        <w:r w:rsidR="00222125">
          <w:rPr>
            <w:noProof/>
            <w:webHidden/>
          </w:rPr>
        </w:r>
        <w:r w:rsidR="00222125">
          <w:rPr>
            <w:noProof/>
            <w:webHidden/>
          </w:rPr>
          <w:fldChar w:fldCharType="separate"/>
        </w:r>
        <w:r w:rsidR="00222125">
          <w:rPr>
            <w:noProof/>
            <w:webHidden/>
          </w:rPr>
          <w:t>29</w:t>
        </w:r>
        <w:r w:rsidR="00222125">
          <w:rPr>
            <w:noProof/>
            <w:webHidden/>
          </w:rPr>
          <w:fldChar w:fldCharType="end"/>
        </w:r>
      </w:hyperlink>
    </w:p>
    <w:p w14:paraId="2EFFBEE7" w14:textId="1D427681" w:rsidR="00222125" w:rsidRDefault="00A776F5">
      <w:pPr>
        <w:pStyle w:val="TOC1"/>
        <w:rPr>
          <w:rFonts w:asciiTheme="minorHAnsi" w:eastAsiaTheme="minorEastAsia" w:hAnsiTheme="minorHAnsi" w:cstheme="minorBidi"/>
          <w:noProof/>
          <w:color w:val="auto"/>
          <w:sz w:val="22"/>
          <w:szCs w:val="22"/>
          <w:lang w:eastAsia="en-AU"/>
        </w:rPr>
      </w:pPr>
      <w:hyperlink w:anchor="_Toc75534498" w:history="1">
        <w:r w:rsidR="00222125" w:rsidRPr="00C23E00">
          <w:rPr>
            <w:rStyle w:val="Hyperlink"/>
            <w:noProof/>
          </w:rPr>
          <w:t>8</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Cash and borrowings</w:t>
        </w:r>
        <w:r w:rsidR="00222125">
          <w:rPr>
            <w:noProof/>
            <w:webHidden/>
          </w:rPr>
          <w:tab/>
        </w:r>
        <w:r w:rsidR="00222125">
          <w:rPr>
            <w:noProof/>
            <w:webHidden/>
          </w:rPr>
          <w:fldChar w:fldCharType="begin"/>
        </w:r>
        <w:r w:rsidR="00222125">
          <w:rPr>
            <w:noProof/>
            <w:webHidden/>
          </w:rPr>
          <w:instrText xml:space="preserve"> PAGEREF _Toc75534498 \h </w:instrText>
        </w:r>
        <w:r w:rsidR="00222125">
          <w:rPr>
            <w:noProof/>
            <w:webHidden/>
          </w:rPr>
        </w:r>
        <w:r w:rsidR="00222125">
          <w:rPr>
            <w:noProof/>
            <w:webHidden/>
          </w:rPr>
          <w:fldChar w:fldCharType="separate"/>
        </w:r>
        <w:r w:rsidR="00222125">
          <w:rPr>
            <w:noProof/>
            <w:webHidden/>
          </w:rPr>
          <w:t>32</w:t>
        </w:r>
        <w:r w:rsidR="00222125">
          <w:rPr>
            <w:noProof/>
            <w:webHidden/>
          </w:rPr>
          <w:fldChar w:fldCharType="end"/>
        </w:r>
      </w:hyperlink>
    </w:p>
    <w:p w14:paraId="244B75F7" w14:textId="317A3D0F" w:rsidR="00222125" w:rsidRDefault="00A776F5">
      <w:pPr>
        <w:pStyle w:val="TOC1"/>
        <w:rPr>
          <w:rFonts w:asciiTheme="minorHAnsi" w:eastAsiaTheme="minorEastAsia" w:hAnsiTheme="minorHAnsi" w:cstheme="minorBidi"/>
          <w:noProof/>
          <w:color w:val="auto"/>
          <w:sz w:val="22"/>
          <w:szCs w:val="22"/>
          <w:lang w:eastAsia="en-AU"/>
        </w:rPr>
      </w:pPr>
      <w:hyperlink w:anchor="_Toc75534499" w:history="1">
        <w:r w:rsidR="00222125" w:rsidRPr="00C23E00">
          <w:rPr>
            <w:rStyle w:val="Hyperlink"/>
            <w:noProof/>
          </w:rPr>
          <w:t>9</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Conclusion</w:t>
        </w:r>
        <w:r w:rsidR="00222125">
          <w:rPr>
            <w:noProof/>
            <w:webHidden/>
          </w:rPr>
          <w:tab/>
        </w:r>
        <w:r w:rsidR="00222125">
          <w:rPr>
            <w:noProof/>
            <w:webHidden/>
          </w:rPr>
          <w:fldChar w:fldCharType="begin"/>
        </w:r>
        <w:r w:rsidR="00222125">
          <w:rPr>
            <w:noProof/>
            <w:webHidden/>
          </w:rPr>
          <w:instrText xml:space="preserve"> PAGEREF _Toc75534499 \h </w:instrText>
        </w:r>
        <w:r w:rsidR="00222125">
          <w:rPr>
            <w:noProof/>
            <w:webHidden/>
          </w:rPr>
        </w:r>
        <w:r w:rsidR="00222125">
          <w:rPr>
            <w:noProof/>
            <w:webHidden/>
          </w:rPr>
          <w:fldChar w:fldCharType="separate"/>
        </w:r>
        <w:r w:rsidR="00222125">
          <w:rPr>
            <w:noProof/>
            <w:webHidden/>
          </w:rPr>
          <w:t>35</w:t>
        </w:r>
        <w:r w:rsidR="00222125">
          <w:rPr>
            <w:noProof/>
            <w:webHidden/>
          </w:rPr>
          <w:fldChar w:fldCharType="end"/>
        </w:r>
      </w:hyperlink>
    </w:p>
    <w:p w14:paraId="7DF95A98" w14:textId="3ED1DE1C" w:rsidR="00222125" w:rsidRDefault="00A776F5">
      <w:pPr>
        <w:pStyle w:val="TOC1"/>
        <w:rPr>
          <w:rFonts w:asciiTheme="minorHAnsi" w:eastAsiaTheme="minorEastAsia" w:hAnsiTheme="minorHAnsi" w:cstheme="minorBidi"/>
          <w:noProof/>
          <w:color w:val="auto"/>
          <w:sz w:val="22"/>
          <w:szCs w:val="22"/>
          <w:lang w:eastAsia="en-AU"/>
        </w:rPr>
      </w:pPr>
      <w:hyperlink w:anchor="_Toc75534500" w:history="1">
        <w:r w:rsidR="00222125" w:rsidRPr="00C23E00">
          <w:rPr>
            <w:rStyle w:val="Hyperlink"/>
            <w:noProof/>
          </w:rPr>
          <w:t>10</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Glossary</w:t>
        </w:r>
        <w:r w:rsidR="00222125">
          <w:rPr>
            <w:noProof/>
            <w:webHidden/>
          </w:rPr>
          <w:tab/>
        </w:r>
        <w:r w:rsidR="00222125">
          <w:rPr>
            <w:noProof/>
            <w:webHidden/>
          </w:rPr>
          <w:fldChar w:fldCharType="begin"/>
        </w:r>
        <w:r w:rsidR="00222125">
          <w:rPr>
            <w:noProof/>
            <w:webHidden/>
          </w:rPr>
          <w:instrText xml:space="preserve"> PAGEREF _Toc75534500 \h </w:instrText>
        </w:r>
        <w:r w:rsidR="00222125">
          <w:rPr>
            <w:noProof/>
            <w:webHidden/>
          </w:rPr>
        </w:r>
        <w:r w:rsidR="00222125">
          <w:rPr>
            <w:noProof/>
            <w:webHidden/>
          </w:rPr>
          <w:fldChar w:fldCharType="separate"/>
        </w:r>
        <w:r w:rsidR="00222125">
          <w:rPr>
            <w:noProof/>
            <w:webHidden/>
          </w:rPr>
          <w:t>36</w:t>
        </w:r>
        <w:r w:rsidR="00222125">
          <w:rPr>
            <w:noProof/>
            <w:webHidden/>
          </w:rPr>
          <w:fldChar w:fldCharType="end"/>
        </w:r>
      </w:hyperlink>
    </w:p>
    <w:p w14:paraId="62157F90" w14:textId="3258BABF" w:rsidR="00222125" w:rsidRDefault="00A776F5">
      <w:pPr>
        <w:pStyle w:val="TOC1"/>
        <w:rPr>
          <w:rFonts w:asciiTheme="minorHAnsi" w:eastAsiaTheme="minorEastAsia" w:hAnsiTheme="minorHAnsi" w:cstheme="minorBidi"/>
          <w:noProof/>
          <w:color w:val="auto"/>
          <w:sz w:val="22"/>
          <w:szCs w:val="22"/>
          <w:lang w:eastAsia="en-AU"/>
        </w:rPr>
      </w:pPr>
      <w:hyperlink w:anchor="_Toc75534501" w:history="1">
        <w:r w:rsidR="00222125" w:rsidRPr="00C23E00">
          <w:rPr>
            <w:rStyle w:val="Hyperlink"/>
            <w:noProof/>
          </w:rPr>
          <w:t>11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Appendices</w:t>
        </w:r>
        <w:r w:rsidR="00222125">
          <w:rPr>
            <w:noProof/>
            <w:webHidden/>
          </w:rPr>
          <w:tab/>
        </w:r>
        <w:r w:rsidR="00222125">
          <w:rPr>
            <w:noProof/>
            <w:webHidden/>
          </w:rPr>
          <w:fldChar w:fldCharType="begin"/>
        </w:r>
        <w:r w:rsidR="00222125">
          <w:rPr>
            <w:noProof/>
            <w:webHidden/>
          </w:rPr>
          <w:instrText xml:space="preserve"> PAGEREF _Toc75534501 \h </w:instrText>
        </w:r>
        <w:r w:rsidR="00222125">
          <w:rPr>
            <w:noProof/>
            <w:webHidden/>
          </w:rPr>
        </w:r>
        <w:r w:rsidR="00222125">
          <w:rPr>
            <w:noProof/>
            <w:webHidden/>
          </w:rPr>
          <w:fldChar w:fldCharType="separate"/>
        </w:r>
        <w:r w:rsidR="00222125">
          <w:rPr>
            <w:noProof/>
            <w:webHidden/>
          </w:rPr>
          <w:t>37</w:t>
        </w:r>
        <w:r w:rsidR="00222125">
          <w:rPr>
            <w:noProof/>
            <w:webHidden/>
          </w:rPr>
          <w:fldChar w:fldCharType="end"/>
        </w:r>
      </w:hyperlink>
    </w:p>
    <w:p w14:paraId="6DCBAB60" w14:textId="2E6A378A" w:rsidR="00222125" w:rsidRDefault="00A776F5">
      <w:pPr>
        <w:pStyle w:val="TOC2"/>
        <w:rPr>
          <w:rFonts w:asciiTheme="minorHAnsi" w:eastAsiaTheme="minorEastAsia" w:hAnsiTheme="minorHAnsi" w:cstheme="minorBidi"/>
          <w:noProof/>
          <w:color w:val="auto"/>
          <w:sz w:val="22"/>
          <w:szCs w:val="22"/>
          <w:lang w:eastAsia="en-AU"/>
        </w:rPr>
      </w:pPr>
      <w:hyperlink w:anchor="_Toc75534502" w:history="1">
        <w:r w:rsidR="00222125" w:rsidRPr="00C23E00">
          <w:rPr>
            <w:rStyle w:val="Hyperlink"/>
            <w:noProof/>
          </w:rPr>
          <w:t>11.1</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Appendix A: Council groupings and adopted rate increases</w:t>
        </w:r>
        <w:r w:rsidR="00222125">
          <w:rPr>
            <w:noProof/>
            <w:webHidden/>
          </w:rPr>
          <w:tab/>
        </w:r>
        <w:r w:rsidR="00222125">
          <w:rPr>
            <w:noProof/>
            <w:webHidden/>
          </w:rPr>
          <w:fldChar w:fldCharType="begin"/>
        </w:r>
        <w:r w:rsidR="00222125">
          <w:rPr>
            <w:noProof/>
            <w:webHidden/>
          </w:rPr>
          <w:instrText xml:space="preserve"> PAGEREF _Toc75534502 \h </w:instrText>
        </w:r>
        <w:r w:rsidR="00222125">
          <w:rPr>
            <w:noProof/>
            <w:webHidden/>
          </w:rPr>
        </w:r>
        <w:r w:rsidR="00222125">
          <w:rPr>
            <w:noProof/>
            <w:webHidden/>
          </w:rPr>
          <w:fldChar w:fldCharType="separate"/>
        </w:r>
        <w:r w:rsidR="00222125">
          <w:rPr>
            <w:noProof/>
            <w:webHidden/>
          </w:rPr>
          <w:t>37</w:t>
        </w:r>
        <w:r w:rsidR="00222125">
          <w:rPr>
            <w:noProof/>
            <w:webHidden/>
          </w:rPr>
          <w:fldChar w:fldCharType="end"/>
        </w:r>
      </w:hyperlink>
    </w:p>
    <w:p w14:paraId="397A6994" w14:textId="36154CFD" w:rsidR="00222125" w:rsidRDefault="00A776F5">
      <w:pPr>
        <w:pStyle w:val="TOC2"/>
        <w:rPr>
          <w:rFonts w:asciiTheme="minorHAnsi" w:eastAsiaTheme="minorEastAsia" w:hAnsiTheme="minorHAnsi" w:cstheme="minorBidi"/>
          <w:noProof/>
          <w:color w:val="auto"/>
          <w:sz w:val="22"/>
          <w:szCs w:val="22"/>
          <w:lang w:eastAsia="en-AU"/>
        </w:rPr>
      </w:pPr>
      <w:hyperlink w:anchor="_Toc75534503" w:history="1">
        <w:r w:rsidR="00222125" w:rsidRPr="00C23E00">
          <w:rPr>
            <w:rStyle w:val="Hyperlink"/>
            <w:noProof/>
          </w:rPr>
          <w:t>11.2</w:t>
        </w:r>
        <w:r w:rsidR="00222125">
          <w:rPr>
            <w:rFonts w:asciiTheme="minorHAnsi" w:eastAsiaTheme="minorEastAsia" w:hAnsiTheme="minorHAnsi" w:cstheme="minorBidi"/>
            <w:noProof/>
            <w:color w:val="auto"/>
            <w:sz w:val="22"/>
            <w:szCs w:val="22"/>
            <w:lang w:eastAsia="en-AU"/>
          </w:rPr>
          <w:tab/>
        </w:r>
        <w:r w:rsidR="00222125" w:rsidRPr="00C23E00">
          <w:rPr>
            <w:rStyle w:val="Hyperlink"/>
            <w:noProof/>
          </w:rPr>
          <w:t>Appendix B: Snapshot of 2020-21 adopted budgets for all 79 councils in Victoria</w:t>
        </w:r>
        <w:r w:rsidR="00222125">
          <w:rPr>
            <w:noProof/>
            <w:webHidden/>
          </w:rPr>
          <w:tab/>
        </w:r>
        <w:r w:rsidR="00222125">
          <w:rPr>
            <w:noProof/>
            <w:webHidden/>
          </w:rPr>
          <w:fldChar w:fldCharType="begin"/>
        </w:r>
        <w:r w:rsidR="00222125">
          <w:rPr>
            <w:noProof/>
            <w:webHidden/>
          </w:rPr>
          <w:instrText xml:space="preserve"> PAGEREF _Toc75534503 \h </w:instrText>
        </w:r>
        <w:r w:rsidR="00222125">
          <w:rPr>
            <w:noProof/>
            <w:webHidden/>
          </w:rPr>
        </w:r>
        <w:r w:rsidR="00222125">
          <w:rPr>
            <w:noProof/>
            <w:webHidden/>
          </w:rPr>
          <w:fldChar w:fldCharType="separate"/>
        </w:r>
        <w:r w:rsidR="00222125">
          <w:rPr>
            <w:noProof/>
            <w:webHidden/>
          </w:rPr>
          <w:t>40</w:t>
        </w:r>
        <w:r w:rsidR="00222125">
          <w:rPr>
            <w:noProof/>
            <w:webHidden/>
          </w:rPr>
          <w:fldChar w:fldCharType="end"/>
        </w:r>
      </w:hyperlink>
    </w:p>
    <w:p w14:paraId="371F59FA" w14:textId="2831153B" w:rsidR="00D96C1E" w:rsidRDefault="00A17119" w:rsidP="00D96C1E">
      <w:pPr>
        <w:rPr>
          <w:noProof/>
        </w:rPr>
      </w:pPr>
      <w:r>
        <w:rPr>
          <w:noProof/>
          <w:color w:val="auto"/>
          <w:lang w:eastAsia="en-AU"/>
        </w:rPr>
        <w:fldChar w:fldCharType="end"/>
      </w:r>
    </w:p>
    <w:p w14:paraId="48CBAAC1" w14:textId="77777777" w:rsidR="00D96C1E" w:rsidRDefault="00D96C1E" w:rsidP="00D96C1E">
      <w:pPr>
        <w:rPr>
          <w:noProof/>
        </w:rPr>
      </w:pPr>
    </w:p>
    <w:p w14:paraId="48628D46" w14:textId="77777777" w:rsidR="00D96C1E" w:rsidRDefault="00D96C1E" w:rsidP="00D96C1E">
      <w:pPr>
        <w:rPr>
          <w:noProof/>
        </w:rPr>
      </w:pPr>
    </w:p>
    <w:p w14:paraId="2296C1C4" w14:textId="22DE3E5F" w:rsidR="00914E64" w:rsidRPr="00D96C1E" w:rsidRDefault="000314C2" w:rsidP="000314C2">
      <w:pPr>
        <w:pStyle w:val="Heading1"/>
      </w:pPr>
      <w:bookmarkStart w:id="0" w:name="_Toc75534476"/>
      <w:r>
        <w:lastRenderedPageBreak/>
        <w:t>Acronyms</w:t>
      </w:r>
      <w:bookmarkEnd w:id="0"/>
    </w:p>
    <w:p w14:paraId="5A769E85" w14:textId="77777777" w:rsidR="000314C2" w:rsidRDefault="000314C2" w:rsidP="000314C2">
      <w:r>
        <w:t>AAS</w:t>
      </w:r>
      <w:r>
        <w:tab/>
      </w:r>
      <w:r>
        <w:tab/>
        <w:t>Australian Accounting Standards</w:t>
      </w:r>
    </w:p>
    <w:p w14:paraId="13AC338E" w14:textId="77777777" w:rsidR="000314C2" w:rsidRDefault="000314C2" w:rsidP="000314C2">
      <w:r>
        <w:t>COVID-19</w:t>
      </w:r>
      <w:r>
        <w:tab/>
        <w:t>Coronavirus (COVID-19) Pandemic</w:t>
      </w:r>
    </w:p>
    <w:p w14:paraId="50427CE4" w14:textId="77777777" w:rsidR="000314C2" w:rsidRDefault="000314C2" w:rsidP="000314C2">
      <w:r>
        <w:t>DJPR</w:t>
      </w:r>
      <w:r>
        <w:tab/>
      </w:r>
      <w:r>
        <w:tab/>
        <w:t>Department of Jobs, Precincts and Regions</w:t>
      </w:r>
    </w:p>
    <w:p w14:paraId="21BE1A69" w14:textId="77777777" w:rsidR="000314C2" w:rsidRDefault="000314C2" w:rsidP="000314C2">
      <w:r>
        <w:t>FinPro</w:t>
      </w:r>
      <w:r>
        <w:tab/>
      </w:r>
      <w:r>
        <w:tab/>
        <w:t>Local Government Finance Professionals</w:t>
      </w:r>
    </w:p>
    <w:p w14:paraId="4B9366B3" w14:textId="06A61B92" w:rsidR="007031D4" w:rsidRDefault="007031D4" w:rsidP="000314C2">
      <w:r>
        <w:t>FTE</w:t>
      </w:r>
      <w:r>
        <w:tab/>
      </w:r>
      <w:r>
        <w:tab/>
        <w:t>Full Time Equivalent</w:t>
      </w:r>
    </w:p>
    <w:p w14:paraId="1507F0FC" w14:textId="77777777" w:rsidR="000314C2" w:rsidRDefault="000314C2" w:rsidP="000314C2">
      <w:r>
        <w:t>FY</w:t>
      </w:r>
      <w:r>
        <w:tab/>
      </w:r>
      <w:r>
        <w:tab/>
        <w:t>Financial Year</w:t>
      </w:r>
    </w:p>
    <w:p w14:paraId="6CB4A7EB" w14:textId="77777777" w:rsidR="000314C2" w:rsidRDefault="000314C2" w:rsidP="000314C2">
      <w:r>
        <w:t>FGRS</w:t>
      </w:r>
      <w:r>
        <w:tab/>
      </w:r>
      <w:r>
        <w:tab/>
        <w:t>Fair Go Rates System</w:t>
      </w:r>
    </w:p>
    <w:p w14:paraId="699AE14C" w14:textId="77777777" w:rsidR="000314C2" w:rsidRDefault="000314C2" w:rsidP="000314C2">
      <w:r>
        <w:t>LGMFR</w:t>
      </w:r>
      <w:r>
        <w:tab/>
      </w:r>
      <w:r>
        <w:tab/>
        <w:t>Local Government Model Financial Report</w:t>
      </w:r>
    </w:p>
    <w:p w14:paraId="75C2156B" w14:textId="77777777" w:rsidR="000314C2" w:rsidRDefault="000314C2" w:rsidP="000314C2">
      <w:r>
        <w:t>LGPRF</w:t>
      </w:r>
      <w:r>
        <w:tab/>
      </w:r>
      <w:r>
        <w:tab/>
        <w:t>Local Government Performance Reporting Framework</w:t>
      </w:r>
    </w:p>
    <w:p w14:paraId="31BCB0E5" w14:textId="77777777" w:rsidR="000314C2" w:rsidRDefault="000314C2" w:rsidP="000314C2">
      <w:r>
        <w:t>LGV</w:t>
      </w:r>
      <w:r>
        <w:tab/>
      </w:r>
      <w:r>
        <w:tab/>
        <w:t>Local Government Victoria</w:t>
      </w:r>
    </w:p>
    <w:p w14:paraId="2EDB00F5" w14:textId="77777777" w:rsidR="000314C2" w:rsidRDefault="000314C2" w:rsidP="000314C2">
      <w:r>
        <w:t>OSR</w:t>
      </w:r>
      <w:r>
        <w:tab/>
      </w:r>
      <w:r>
        <w:tab/>
        <w:t>Own Source Revenue</w:t>
      </w:r>
    </w:p>
    <w:p w14:paraId="22C08096" w14:textId="77777777" w:rsidR="000314C2" w:rsidRDefault="000314C2" w:rsidP="000314C2">
      <w:r>
        <w:t>SRP</w:t>
      </w:r>
      <w:r>
        <w:tab/>
      </w:r>
      <w:r>
        <w:tab/>
        <w:t>Strategic Resource Plan</w:t>
      </w:r>
    </w:p>
    <w:p w14:paraId="0C94341A" w14:textId="22923817" w:rsidR="004371F6" w:rsidRDefault="000314C2" w:rsidP="000314C2">
      <w:r>
        <w:t>VAGO</w:t>
      </w:r>
      <w:r>
        <w:tab/>
      </w:r>
      <w:r>
        <w:tab/>
        <w:t>Victorian Auditor</w:t>
      </w:r>
      <w:r>
        <w:rPr>
          <w:rFonts w:ascii="Cambria Math" w:hAnsi="Cambria Math" w:cs="Cambria Math"/>
        </w:rPr>
        <w:t>‐</w:t>
      </w:r>
      <w:r>
        <w:t>General</w:t>
      </w:r>
      <w:r>
        <w:rPr>
          <w:rFonts w:cs="Arial"/>
        </w:rPr>
        <w:t>’</w:t>
      </w:r>
      <w:r>
        <w:t>s Office</w:t>
      </w:r>
    </w:p>
    <w:p w14:paraId="284FE087" w14:textId="634B8671" w:rsidR="004371F6" w:rsidRPr="00DB0DED" w:rsidRDefault="000314C2" w:rsidP="0022061D">
      <w:pPr>
        <w:pStyle w:val="Heading1"/>
      </w:pPr>
      <w:bookmarkStart w:id="1" w:name="_Toc315765092"/>
      <w:bookmarkStart w:id="2" w:name="_Toc75534477"/>
      <w:r>
        <w:lastRenderedPageBreak/>
        <w:t>Executive Summary – Whole of Sector Analysis</w:t>
      </w:r>
      <w:bookmarkEnd w:id="1"/>
      <w:bookmarkEnd w:id="2"/>
    </w:p>
    <w:p w14:paraId="0BF265BB" w14:textId="6979DDBC" w:rsidR="000314C2" w:rsidRPr="000314C2" w:rsidRDefault="000314C2" w:rsidP="000314C2">
      <w:pPr>
        <w:pStyle w:val="BodyText"/>
        <w:rPr>
          <w:rFonts w:cstheme="minorHAnsi"/>
          <w:color w:val="53565A" w:themeColor="accent2"/>
          <w:sz w:val="18"/>
          <w:szCs w:val="18"/>
        </w:rPr>
      </w:pPr>
      <w:bookmarkStart w:id="3" w:name="_Toc314821342"/>
      <w:bookmarkStart w:id="4" w:name="_Toc314822264"/>
      <w:bookmarkStart w:id="5" w:name="_Toc315765094"/>
      <w:r w:rsidRPr="000314C2">
        <w:rPr>
          <w:rFonts w:cstheme="minorHAnsi"/>
          <w:color w:val="53565A" w:themeColor="accent2"/>
          <w:sz w:val="18"/>
          <w:szCs w:val="18"/>
        </w:rPr>
        <w:t xml:space="preserve">This report identifies key financial trends across the local government sector based on analysis of the 2020-21 </w:t>
      </w:r>
      <w:r w:rsidR="00EA1BDF">
        <w:rPr>
          <w:rFonts w:cstheme="minorHAnsi"/>
          <w:color w:val="53565A" w:themeColor="accent2"/>
          <w:sz w:val="18"/>
          <w:szCs w:val="18"/>
        </w:rPr>
        <w:t>adopted</w:t>
      </w:r>
      <w:r w:rsidRPr="000314C2">
        <w:rPr>
          <w:rFonts w:cstheme="minorHAnsi"/>
          <w:color w:val="53565A" w:themeColor="accent2"/>
          <w:sz w:val="18"/>
          <w:szCs w:val="18"/>
        </w:rPr>
        <w:t xml:space="preserve"> budgets of all 79 Victorian councils.</w:t>
      </w:r>
    </w:p>
    <w:p w14:paraId="6D356131" w14:textId="77777777" w:rsidR="000314C2" w:rsidRPr="000314C2" w:rsidRDefault="000314C2" w:rsidP="000314C2">
      <w:pPr>
        <w:pStyle w:val="BodyText"/>
        <w:rPr>
          <w:rFonts w:cstheme="minorHAnsi"/>
          <w:color w:val="53565A" w:themeColor="accent2"/>
          <w:sz w:val="18"/>
          <w:szCs w:val="18"/>
        </w:rPr>
      </w:pPr>
      <w:r w:rsidRPr="000314C2">
        <w:rPr>
          <w:rFonts w:cstheme="minorHAnsi"/>
          <w:color w:val="53565A" w:themeColor="accent2"/>
          <w:sz w:val="18"/>
          <w:szCs w:val="18"/>
        </w:rPr>
        <w:t xml:space="preserve">As has been the experience of Commonwealth and State Governments, COVID-19 has impacted on the finances of councils in both FY 2019-20 and FY 2020-21. </w:t>
      </w:r>
    </w:p>
    <w:p w14:paraId="33DE7FB9" w14:textId="2D281ABD" w:rsidR="000314C2" w:rsidRPr="000314C2" w:rsidRDefault="000314C2" w:rsidP="000314C2">
      <w:pPr>
        <w:pStyle w:val="BodyText"/>
        <w:rPr>
          <w:rFonts w:cstheme="minorHAnsi"/>
          <w:color w:val="53565A" w:themeColor="accent2"/>
          <w:sz w:val="18"/>
          <w:szCs w:val="18"/>
        </w:rPr>
      </w:pPr>
      <w:r w:rsidRPr="000314C2">
        <w:rPr>
          <w:rFonts w:cstheme="minorHAnsi"/>
          <w:color w:val="53565A" w:themeColor="accent2"/>
          <w:sz w:val="18"/>
          <w:szCs w:val="18"/>
        </w:rPr>
        <w:t>However, collectively the local government sector entered the pandemic in a relatively strong financial position based on solid financial performance in recent years. This has enabled the councils to budget for community relief and business support programs during the pandemic as well as capital works in excess of $1</w:t>
      </w:r>
      <w:r w:rsidR="00CB2F67">
        <w:rPr>
          <w:rFonts w:cstheme="minorHAnsi"/>
          <w:color w:val="53565A" w:themeColor="accent2"/>
          <w:sz w:val="18"/>
          <w:szCs w:val="18"/>
        </w:rPr>
        <w:t>3</w:t>
      </w:r>
      <w:r w:rsidRPr="000314C2">
        <w:rPr>
          <w:rFonts w:cstheme="minorHAnsi"/>
          <w:color w:val="53565A" w:themeColor="accent2"/>
          <w:sz w:val="18"/>
          <w:szCs w:val="18"/>
        </w:rPr>
        <w:t>.</w:t>
      </w:r>
      <w:r w:rsidR="00CB2F67">
        <w:rPr>
          <w:rFonts w:cstheme="minorHAnsi"/>
          <w:color w:val="53565A" w:themeColor="accent2"/>
          <w:sz w:val="18"/>
          <w:szCs w:val="18"/>
        </w:rPr>
        <w:t>0</w:t>
      </w:r>
      <w:r w:rsidRPr="000314C2">
        <w:rPr>
          <w:rFonts w:cstheme="minorHAnsi"/>
          <w:color w:val="53565A" w:themeColor="accent2"/>
          <w:sz w:val="18"/>
          <w:szCs w:val="18"/>
        </w:rPr>
        <w:t xml:space="preserve"> billion over the next four years</w:t>
      </w:r>
      <w:r w:rsidR="004F72F9">
        <w:rPr>
          <w:rFonts w:cstheme="minorHAnsi"/>
          <w:color w:val="53565A" w:themeColor="accent2"/>
          <w:sz w:val="18"/>
          <w:szCs w:val="18"/>
        </w:rPr>
        <w:t>.</w:t>
      </w:r>
      <w:r w:rsidRPr="000314C2">
        <w:rPr>
          <w:rFonts w:cstheme="minorHAnsi"/>
          <w:color w:val="53565A" w:themeColor="accent2"/>
          <w:sz w:val="18"/>
          <w:szCs w:val="18"/>
        </w:rPr>
        <w:t xml:space="preserve"> </w:t>
      </w:r>
      <w:r w:rsidR="008475A2">
        <w:rPr>
          <w:rFonts w:cstheme="minorHAnsi"/>
          <w:color w:val="53565A" w:themeColor="accent2"/>
          <w:sz w:val="18"/>
          <w:szCs w:val="18"/>
        </w:rPr>
        <w:t>Almost</w:t>
      </w:r>
      <w:r w:rsidRPr="000314C2">
        <w:rPr>
          <w:rFonts w:cstheme="minorHAnsi"/>
          <w:color w:val="53565A" w:themeColor="accent2"/>
          <w:sz w:val="18"/>
          <w:szCs w:val="18"/>
        </w:rPr>
        <w:t xml:space="preserve"> 70</w:t>
      </w:r>
      <w:r w:rsidR="00F00787">
        <w:rPr>
          <w:rFonts w:cstheme="minorHAnsi"/>
          <w:color w:val="53565A" w:themeColor="accent2"/>
          <w:sz w:val="18"/>
          <w:szCs w:val="18"/>
        </w:rPr>
        <w:t>%</w:t>
      </w:r>
      <w:r w:rsidRPr="000314C2">
        <w:rPr>
          <w:rFonts w:cstheme="minorHAnsi"/>
          <w:color w:val="53565A" w:themeColor="accent2"/>
          <w:sz w:val="18"/>
          <w:szCs w:val="18"/>
        </w:rPr>
        <w:t xml:space="preserve"> of </w:t>
      </w:r>
      <w:r w:rsidR="004F72F9">
        <w:rPr>
          <w:rFonts w:cstheme="minorHAnsi"/>
          <w:color w:val="53565A" w:themeColor="accent2"/>
          <w:sz w:val="18"/>
          <w:szCs w:val="18"/>
        </w:rPr>
        <w:t>these capital works</w:t>
      </w:r>
      <w:r w:rsidRPr="000314C2">
        <w:rPr>
          <w:rFonts w:cstheme="minorHAnsi"/>
          <w:color w:val="53565A" w:themeColor="accent2"/>
          <w:sz w:val="18"/>
          <w:szCs w:val="18"/>
        </w:rPr>
        <w:t xml:space="preserve"> are funded by council’s own source revenue. </w:t>
      </w:r>
    </w:p>
    <w:p w14:paraId="79D6BDD6" w14:textId="6785BDD0" w:rsidR="000314C2" w:rsidRPr="000314C2" w:rsidRDefault="000314C2" w:rsidP="000314C2">
      <w:pPr>
        <w:spacing w:line="276" w:lineRule="auto"/>
        <w:rPr>
          <w:rFonts w:asciiTheme="minorHAnsi" w:hAnsiTheme="minorHAnsi" w:cstheme="minorHAnsi"/>
          <w:szCs w:val="18"/>
        </w:rPr>
      </w:pPr>
      <w:r w:rsidRPr="000314C2">
        <w:rPr>
          <w:rFonts w:asciiTheme="minorHAnsi" w:hAnsiTheme="minorHAnsi" w:cstheme="minorHAnsi"/>
          <w:szCs w:val="18"/>
        </w:rPr>
        <w:t>Councils in aggregate are budgeting for total revenue of $10.9</w:t>
      </w:r>
      <w:r w:rsidR="00CB2F67">
        <w:rPr>
          <w:rFonts w:asciiTheme="minorHAnsi" w:hAnsiTheme="minorHAnsi" w:cstheme="minorHAnsi"/>
          <w:szCs w:val="18"/>
        </w:rPr>
        <w:t>6</w:t>
      </w:r>
      <w:r w:rsidRPr="000314C2">
        <w:rPr>
          <w:rFonts w:asciiTheme="minorHAnsi" w:hAnsiTheme="minorHAnsi" w:cstheme="minorHAnsi"/>
          <w:szCs w:val="18"/>
        </w:rPr>
        <w:t xml:space="preserve"> billion and total operating expenditure of $9.5</w:t>
      </w:r>
      <w:r w:rsidR="00C44C95">
        <w:rPr>
          <w:rFonts w:asciiTheme="minorHAnsi" w:hAnsiTheme="minorHAnsi" w:cstheme="minorHAnsi"/>
          <w:szCs w:val="18"/>
        </w:rPr>
        <w:t>8</w:t>
      </w:r>
      <w:r w:rsidRPr="000314C2">
        <w:rPr>
          <w:rFonts w:asciiTheme="minorHAnsi" w:hAnsiTheme="minorHAnsi" w:cstheme="minorHAnsi"/>
          <w:szCs w:val="18"/>
        </w:rPr>
        <w:t xml:space="preserve"> billion during FY 2020-21. Collectively, Victorian councils will generate an accounting operating surplus of $1.</w:t>
      </w:r>
      <w:r w:rsidR="00C44C95">
        <w:rPr>
          <w:rFonts w:asciiTheme="minorHAnsi" w:hAnsiTheme="minorHAnsi" w:cstheme="minorHAnsi"/>
          <w:szCs w:val="18"/>
        </w:rPr>
        <w:t>38</w:t>
      </w:r>
      <w:r w:rsidRPr="000314C2">
        <w:rPr>
          <w:rFonts w:asciiTheme="minorHAnsi" w:hAnsiTheme="minorHAnsi" w:cstheme="minorHAnsi"/>
          <w:szCs w:val="18"/>
        </w:rPr>
        <w:t xml:space="preserve"> billion in 2020-21 but an </w:t>
      </w:r>
      <w:r w:rsidR="00D77CB3">
        <w:rPr>
          <w:rFonts w:asciiTheme="minorHAnsi" w:hAnsiTheme="minorHAnsi" w:cstheme="minorHAnsi"/>
          <w:szCs w:val="18"/>
        </w:rPr>
        <w:t>a</w:t>
      </w:r>
      <w:r w:rsidRPr="000314C2">
        <w:rPr>
          <w:rFonts w:asciiTheme="minorHAnsi" w:hAnsiTheme="minorHAnsi" w:cstheme="minorHAnsi"/>
          <w:szCs w:val="18"/>
        </w:rPr>
        <w:t xml:space="preserve">djusted </w:t>
      </w:r>
      <w:r w:rsidR="00D77CB3">
        <w:rPr>
          <w:rFonts w:asciiTheme="minorHAnsi" w:hAnsiTheme="minorHAnsi" w:cstheme="minorHAnsi"/>
          <w:szCs w:val="18"/>
        </w:rPr>
        <w:t>u</w:t>
      </w:r>
      <w:r w:rsidRPr="000314C2">
        <w:rPr>
          <w:rFonts w:asciiTheme="minorHAnsi" w:hAnsiTheme="minorHAnsi" w:cstheme="minorHAnsi"/>
          <w:szCs w:val="18"/>
        </w:rPr>
        <w:t xml:space="preserve">nderlying </w:t>
      </w:r>
      <w:r w:rsidR="00D77CB3">
        <w:rPr>
          <w:rFonts w:asciiTheme="minorHAnsi" w:hAnsiTheme="minorHAnsi" w:cstheme="minorHAnsi"/>
          <w:szCs w:val="18"/>
        </w:rPr>
        <w:t>d</w:t>
      </w:r>
      <w:r w:rsidRPr="000314C2">
        <w:rPr>
          <w:rFonts w:asciiTheme="minorHAnsi" w:hAnsiTheme="minorHAnsi" w:cstheme="minorHAnsi"/>
          <w:szCs w:val="18"/>
        </w:rPr>
        <w:t>eficit of $</w:t>
      </w:r>
      <w:r w:rsidR="00C44C95">
        <w:rPr>
          <w:rFonts w:asciiTheme="minorHAnsi" w:hAnsiTheme="minorHAnsi" w:cstheme="minorHAnsi"/>
          <w:szCs w:val="18"/>
        </w:rPr>
        <w:t>365</w:t>
      </w:r>
      <w:r w:rsidRPr="000314C2">
        <w:rPr>
          <w:rFonts w:asciiTheme="minorHAnsi" w:hAnsiTheme="minorHAnsi" w:cstheme="minorHAnsi"/>
          <w:szCs w:val="18"/>
        </w:rPr>
        <w:t>.</w:t>
      </w:r>
      <w:r w:rsidR="00C44C95">
        <w:rPr>
          <w:rFonts w:asciiTheme="minorHAnsi" w:hAnsiTheme="minorHAnsi" w:cstheme="minorHAnsi"/>
          <w:szCs w:val="18"/>
        </w:rPr>
        <w:t>2</w:t>
      </w:r>
      <w:r w:rsidRPr="000314C2">
        <w:rPr>
          <w:rFonts w:asciiTheme="minorHAnsi" w:hAnsiTheme="minorHAnsi" w:cstheme="minorHAnsi"/>
          <w:szCs w:val="18"/>
        </w:rPr>
        <w:t xml:space="preserve"> million. </w:t>
      </w:r>
    </w:p>
    <w:p w14:paraId="3E3DAE95" w14:textId="0BE0C5E5" w:rsidR="000314C2" w:rsidRPr="000314C2" w:rsidRDefault="000314C2" w:rsidP="000314C2">
      <w:pPr>
        <w:spacing w:line="276" w:lineRule="auto"/>
        <w:rPr>
          <w:rFonts w:asciiTheme="minorHAnsi" w:hAnsiTheme="minorHAnsi" w:cstheme="minorHAnsi"/>
          <w:szCs w:val="18"/>
        </w:rPr>
      </w:pPr>
      <w:r w:rsidRPr="000314C2">
        <w:rPr>
          <w:rFonts w:asciiTheme="minorHAnsi" w:hAnsiTheme="minorHAnsi" w:cstheme="minorHAnsi"/>
          <w:szCs w:val="18"/>
        </w:rPr>
        <w:t>Individually, 2</w:t>
      </w:r>
      <w:r w:rsidR="00C44C95">
        <w:rPr>
          <w:rFonts w:asciiTheme="minorHAnsi" w:hAnsiTheme="minorHAnsi" w:cstheme="minorHAnsi"/>
          <w:szCs w:val="18"/>
        </w:rPr>
        <w:t>0</w:t>
      </w:r>
      <w:r w:rsidRPr="000314C2">
        <w:rPr>
          <w:rFonts w:asciiTheme="minorHAnsi" w:hAnsiTheme="minorHAnsi" w:cstheme="minorHAnsi"/>
          <w:szCs w:val="18"/>
        </w:rPr>
        <w:t xml:space="preserve"> out of 79 councils are budgeting for an accounting operating deficit whilst </w:t>
      </w:r>
      <w:r w:rsidR="00C44C95">
        <w:rPr>
          <w:rFonts w:asciiTheme="minorHAnsi" w:hAnsiTheme="minorHAnsi" w:cstheme="minorHAnsi"/>
          <w:szCs w:val="18"/>
        </w:rPr>
        <w:t>51</w:t>
      </w:r>
      <w:r w:rsidRPr="000314C2">
        <w:rPr>
          <w:rFonts w:asciiTheme="minorHAnsi" w:hAnsiTheme="minorHAnsi" w:cstheme="minorHAnsi"/>
          <w:szCs w:val="18"/>
        </w:rPr>
        <w:t xml:space="preserve"> out of 79 councils are reporting an adjusted underlying deficit.</w:t>
      </w:r>
    </w:p>
    <w:p w14:paraId="5F5F5D13" w14:textId="3406C695" w:rsidR="000314C2" w:rsidRPr="000314C2" w:rsidRDefault="000314C2" w:rsidP="000314C2">
      <w:pPr>
        <w:spacing w:line="276" w:lineRule="auto"/>
        <w:rPr>
          <w:rFonts w:asciiTheme="minorHAnsi" w:hAnsiTheme="minorHAnsi" w:cstheme="minorHAnsi"/>
          <w:szCs w:val="18"/>
        </w:rPr>
      </w:pPr>
      <w:r w:rsidRPr="000314C2">
        <w:rPr>
          <w:rFonts w:asciiTheme="minorHAnsi" w:hAnsiTheme="minorHAnsi" w:cstheme="minorHAnsi"/>
          <w:szCs w:val="18"/>
        </w:rPr>
        <w:t xml:space="preserve">There is a modest increase of </w:t>
      </w:r>
      <w:r w:rsidR="002E03F3">
        <w:rPr>
          <w:rFonts w:asciiTheme="minorHAnsi" w:hAnsiTheme="minorHAnsi" w:cstheme="minorHAnsi"/>
          <w:szCs w:val="18"/>
        </w:rPr>
        <w:t>2.22</w:t>
      </w:r>
      <w:r w:rsidR="005C73C1">
        <w:rPr>
          <w:rFonts w:asciiTheme="minorHAnsi" w:hAnsiTheme="minorHAnsi" w:cstheme="minorHAnsi"/>
          <w:szCs w:val="18"/>
        </w:rPr>
        <w:t>%</w:t>
      </w:r>
      <w:r w:rsidRPr="000314C2">
        <w:rPr>
          <w:rFonts w:asciiTheme="minorHAnsi" w:hAnsiTheme="minorHAnsi" w:cstheme="minorHAnsi"/>
          <w:szCs w:val="18"/>
        </w:rPr>
        <w:t xml:space="preserve"> in the overall budgeted revenue for FY 2020-21. This represents a significant reduction when compared to the average increases of 5.37</w:t>
      </w:r>
      <w:r w:rsidR="00673EDB">
        <w:rPr>
          <w:rFonts w:asciiTheme="minorHAnsi" w:hAnsiTheme="minorHAnsi" w:cstheme="minorHAnsi"/>
          <w:szCs w:val="18"/>
        </w:rPr>
        <w:t>%</w:t>
      </w:r>
      <w:r w:rsidRPr="000314C2">
        <w:rPr>
          <w:rFonts w:asciiTheme="minorHAnsi" w:hAnsiTheme="minorHAnsi" w:cstheme="minorHAnsi"/>
          <w:szCs w:val="18"/>
        </w:rPr>
        <w:t xml:space="preserve"> in adopted budgets from FY 2017-18 to FY 2019-20. Total revenue from rates and charges has increased by 3.</w:t>
      </w:r>
      <w:r w:rsidR="00096152">
        <w:rPr>
          <w:rFonts w:asciiTheme="minorHAnsi" w:hAnsiTheme="minorHAnsi" w:cstheme="minorHAnsi"/>
          <w:szCs w:val="18"/>
        </w:rPr>
        <w:t>08</w:t>
      </w:r>
      <w:r w:rsidRPr="000314C2">
        <w:rPr>
          <w:rFonts w:asciiTheme="minorHAnsi" w:hAnsiTheme="minorHAnsi" w:cstheme="minorHAnsi"/>
          <w:szCs w:val="18"/>
        </w:rPr>
        <w:t xml:space="preserve">% in </w:t>
      </w:r>
      <w:r w:rsidR="00EA1BDF">
        <w:rPr>
          <w:rFonts w:asciiTheme="minorHAnsi" w:hAnsiTheme="minorHAnsi" w:cstheme="minorHAnsi"/>
          <w:szCs w:val="18"/>
        </w:rPr>
        <w:t>adopted</w:t>
      </w:r>
      <w:r w:rsidRPr="000314C2">
        <w:rPr>
          <w:rFonts w:asciiTheme="minorHAnsi" w:hAnsiTheme="minorHAnsi" w:cstheme="minorHAnsi"/>
          <w:szCs w:val="18"/>
        </w:rPr>
        <w:t xml:space="preserve"> budgets for FY 2020-21 (4.5% in adopted budgets 2019-20) after factoring in both the rate rise, new assessments and increase</w:t>
      </w:r>
      <w:r w:rsidR="00884639">
        <w:rPr>
          <w:rFonts w:asciiTheme="minorHAnsi" w:hAnsiTheme="minorHAnsi" w:cstheme="minorHAnsi"/>
          <w:szCs w:val="18"/>
        </w:rPr>
        <w:t>s</w:t>
      </w:r>
      <w:r w:rsidRPr="000314C2">
        <w:rPr>
          <w:rFonts w:asciiTheme="minorHAnsi" w:hAnsiTheme="minorHAnsi" w:cstheme="minorHAnsi"/>
          <w:szCs w:val="18"/>
        </w:rPr>
        <w:t xml:space="preserve"> in any charges not covered by </w:t>
      </w:r>
      <w:r w:rsidR="00324E2E">
        <w:rPr>
          <w:rFonts w:asciiTheme="minorHAnsi" w:hAnsiTheme="minorHAnsi" w:cstheme="minorHAnsi"/>
          <w:szCs w:val="18"/>
        </w:rPr>
        <w:t xml:space="preserve">the </w:t>
      </w:r>
      <w:r w:rsidRPr="000314C2">
        <w:rPr>
          <w:rFonts w:asciiTheme="minorHAnsi" w:hAnsiTheme="minorHAnsi" w:cstheme="minorHAnsi"/>
          <w:szCs w:val="18"/>
        </w:rPr>
        <w:t>rate cap.</w:t>
      </w:r>
    </w:p>
    <w:p w14:paraId="68827EA9" w14:textId="6D5BF37B" w:rsidR="000314C2" w:rsidRPr="000314C2" w:rsidRDefault="00D22216" w:rsidP="000314C2">
      <w:pPr>
        <w:spacing w:line="276" w:lineRule="auto"/>
        <w:rPr>
          <w:rFonts w:asciiTheme="minorHAnsi" w:hAnsiTheme="minorHAnsi" w:cstheme="minorHAnsi"/>
          <w:szCs w:val="18"/>
        </w:rPr>
      </w:pPr>
      <w:r>
        <w:rPr>
          <w:rFonts w:asciiTheme="minorHAnsi" w:hAnsiTheme="minorHAnsi" w:cstheme="minorHAnsi"/>
          <w:szCs w:val="18"/>
        </w:rPr>
        <w:t>Fifty-</w:t>
      </w:r>
      <w:r w:rsidR="009C1A57">
        <w:rPr>
          <w:rFonts w:asciiTheme="minorHAnsi" w:hAnsiTheme="minorHAnsi" w:cstheme="minorHAnsi"/>
          <w:szCs w:val="18"/>
        </w:rPr>
        <w:t>Five</w:t>
      </w:r>
      <w:r w:rsidR="000314C2" w:rsidRPr="000314C2">
        <w:rPr>
          <w:rFonts w:asciiTheme="minorHAnsi" w:hAnsiTheme="minorHAnsi" w:cstheme="minorHAnsi"/>
          <w:szCs w:val="18"/>
        </w:rPr>
        <w:t xml:space="preserve"> of the 79 councils are proposing a rate rise in line with the 2.0</w:t>
      </w:r>
      <w:r w:rsidR="00113226">
        <w:rPr>
          <w:rFonts w:asciiTheme="minorHAnsi" w:hAnsiTheme="minorHAnsi" w:cstheme="minorHAnsi"/>
          <w:szCs w:val="18"/>
        </w:rPr>
        <w:t>%</w:t>
      </w:r>
      <w:r w:rsidR="000314C2" w:rsidRPr="000314C2">
        <w:rPr>
          <w:rFonts w:asciiTheme="minorHAnsi" w:hAnsiTheme="minorHAnsi" w:cstheme="minorHAnsi"/>
          <w:szCs w:val="18"/>
        </w:rPr>
        <w:t xml:space="preserve"> rate cap. </w:t>
      </w:r>
      <w:r w:rsidR="009C1A57">
        <w:rPr>
          <w:rFonts w:asciiTheme="minorHAnsi" w:hAnsiTheme="minorHAnsi" w:cstheme="minorHAnsi"/>
          <w:szCs w:val="18"/>
        </w:rPr>
        <w:t>Sixteen</w:t>
      </w:r>
      <w:r w:rsidR="000314C2" w:rsidRPr="000314C2">
        <w:rPr>
          <w:rFonts w:asciiTheme="minorHAnsi" w:hAnsiTheme="minorHAnsi" w:cstheme="minorHAnsi"/>
          <w:szCs w:val="18"/>
        </w:rPr>
        <w:t xml:space="preserve"> councils are proposing to freeze their rates while a further seven councils are proposing a rate rise of between 0</w:t>
      </w:r>
      <w:r w:rsidR="001948C0">
        <w:rPr>
          <w:rFonts w:asciiTheme="minorHAnsi" w:hAnsiTheme="minorHAnsi" w:cstheme="minorHAnsi"/>
          <w:szCs w:val="18"/>
        </w:rPr>
        <w:t>%</w:t>
      </w:r>
      <w:r w:rsidR="000314C2" w:rsidRPr="000314C2">
        <w:rPr>
          <w:rFonts w:asciiTheme="minorHAnsi" w:hAnsiTheme="minorHAnsi" w:cstheme="minorHAnsi"/>
          <w:szCs w:val="18"/>
        </w:rPr>
        <w:t xml:space="preserve"> and 2.0</w:t>
      </w:r>
      <w:r w:rsidR="001948C0">
        <w:rPr>
          <w:rFonts w:asciiTheme="minorHAnsi" w:hAnsiTheme="minorHAnsi" w:cstheme="minorHAnsi"/>
          <w:szCs w:val="18"/>
        </w:rPr>
        <w:t>%</w:t>
      </w:r>
      <w:r w:rsidR="000314C2" w:rsidRPr="000314C2">
        <w:rPr>
          <w:rFonts w:asciiTheme="minorHAnsi" w:hAnsiTheme="minorHAnsi" w:cstheme="minorHAnsi"/>
          <w:szCs w:val="18"/>
        </w:rPr>
        <w:t xml:space="preserve">. One council has </w:t>
      </w:r>
      <w:r w:rsidR="00EA1BDF">
        <w:rPr>
          <w:rFonts w:asciiTheme="minorHAnsi" w:hAnsiTheme="minorHAnsi" w:cstheme="minorHAnsi"/>
          <w:szCs w:val="18"/>
        </w:rPr>
        <w:t>adopted</w:t>
      </w:r>
      <w:r w:rsidR="000314C2" w:rsidRPr="000314C2">
        <w:rPr>
          <w:rFonts w:asciiTheme="minorHAnsi" w:hAnsiTheme="minorHAnsi" w:cstheme="minorHAnsi"/>
          <w:szCs w:val="18"/>
        </w:rPr>
        <w:t xml:space="preserve"> a 1</w:t>
      </w:r>
      <w:r w:rsidR="00671275">
        <w:rPr>
          <w:rFonts w:asciiTheme="minorHAnsi" w:hAnsiTheme="minorHAnsi" w:cstheme="minorHAnsi"/>
          <w:szCs w:val="18"/>
        </w:rPr>
        <w:t>%</w:t>
      </w:r>
      <w:r w:rsidR="000314C2" w:rsidRPr="000314C2">
        <w:rPr>
          <w:rFonts w:asciiTheme="minorHAnsi" w:hAnsiTheme="minorHAnsi" w:cstheme="minorHAnsi"/>
          <w:szCs w:val="18"/>
        </w:rPr>
        <w:t xml:space="preserve"> reduction in rate revenue. The details of individual rate rises by council are listed in </w:t>
      </w:r>
      <w:r w:rsidR="000314C2" w:rsidRPr="000314C2">
        <w:rPr>
          <w:rFonts w:asciiTheme="minorHAnsi" w:hAnsiTheme="minorHAnsi" w:cstheme="minorHAnsi"/>
          <w:b/>
          <w:bCs/>
          <w:szCs w:val="18"/>
        </w:rPr>
        <w:t>Appendix A</w:t>
      </w:r>
      <w:r w:rsidR="000314C2" w:rsidRPr="000314C2">
        <w:rPr>
          <w:rFonts w:asciiTheme="minorHAnsi" w:hAnsiTheme="minorHAnsi" w:cstheme="minorHAnsi"/>
          <w:szCs w:val="18"/>
        </w:rPr>
        <w:t xml:space="preserve">. </w:t>
      </w:r>
    </w:p>
    <w:p w14:paraId="714214A6" w14:textId="57937F83" w:rsidR="000314C2" w:rsidRPr="000314C2" w:rsidRDefault="005A0361" w:rsidP="000314C2">
      <w:pPr>
        <w:spacing w:line="276" w:lineRule="auto"/>
        <w:rPr>
          <w:rFonts w:asciiTheme="minorHAnsi" w:hAnsiTheme="minorHAnsi" w:cstheme="minorHAnsi"/>
          <w:szCs w:val="18"/>
        </w:rPr>
      </w:pPr>
      <w:r>
        <w:rPr>
          <w:rFonts w:asciiTheme="minorHAnsi" w:hAnsiTheme="minorHAnsi" w:cstheme="minorHAnsi"/>
          <w:szCs w:val="18"/>
        </w:rPr>
        <w:t>COVID-19</w:t>
      </w:r>
      <w:r w:rsidR="000314C2" w:rsidRPr="000314C2">
        <w:rPr>
          <w:rFonts w:asciiTheme="minorHAnsi" w:hAnsiTheme="minorHAnsi" w:cstheme="minorHAnsi"/>
          <w:szCs w:val="18"/>
        </w:rPr>
        <w:t xml:space="preserve"> has severely affected budgeted revenue from statutory fees and fines and user fees. The budgeted revenue from these two sources is collectively reduced by $2</w:t>
      </w:r>
      <w:r w:rsidR="00CC227D">
        <w:rPr>
          <w:rFonts w:asciiTheme="minorHAnsi" w:hAnsiTheme="minorHAnsi" w:cstheme="minorHAnsi"/>
          <w:szCs w:val="18"/>
        </w:rPr>
        <w:t>38</w:t>
      </w:r>
      <w:r w:rsidR="000314C2" w:rsidRPr="000314C2">
        <w:rPr>
          <w:rFonts w:asciiTheme="minorHAnsi" w:hAnsiTheme="minorHAnsi" w:cstheme="minorHAnsi"/>
          <w:szCs w:val="18"/>
        </w:rPr>
        <w:t>.</w:t>
      </w:r>
      <w:r w:rsidR="00CC227D">
        <w:rPr>
          <w:rFonts w:asciiTheme="minorHAnsi" w:hAnsiTheme="minorHAnsi" w:cstheme="minorHAnsi"/>
          <w:szCs w:val="18"/>
        </w:rPr>
        <w:t>9</w:t>
      </w:r>
      <w:r w:rsidR="000314C2" w:rsidRPr="000314C2">
        <w:rPr>
          <w:rFonts w:asciiTheme="minorHAnsi" w:hAnsiTheme="minorHAnsi" w:cstheme="minorHAnsi"/>
          <w:szCs w:val="18"/>
        </w:rPr>
        <w:t xml:space="preserve"> million in FY 2020-21 to $1.2</w:t>
      </w:r>
      <w:r w:rsidR="00EA6126">
        <w:rPr>
          <w:rFonts w:asciiTheme="minorHAnsi" w:hAnsiTheme="minorHAnsi" w:cstheme="minorHAnsi"/>
          <w:szCs w:val="18"/>
        </w:rPr>
        <w:t>2</w:t>
      </w:r>
      <w:r w:rsidR="000314C2" w:rsidRPr="000314C2">
        <w:rPr>
          <w:rFonts w:asciiTheme="minorHAnsi" w:hAnsiTheme="minorHAnsi" w:cstheme="minorHAnsi"/>
          <w:szCs w:val="18"/>
        </w:rPr>
        <w:t xml:space="preserve"> billion which is a drop of 1</w:t>
      </w:r>
      <w:r w:rsidR="007E6EA0">
        <w:rPr>
          <w:rFonts w:asciiTheme="minorHAnsi" w:hAnsiTheme="minorHAnsi" w:cstheme="minorHAnsi"/>
          <w:szCs w:val="18"/>
        </w:rPr>
        <w:t>6</w:t>
      </w:r>
      <w:r w:rsidR="000314C2" w:rsidRPr="000314C2">
        <w:rPr>
          <w:rFonts w:asciiTheme="minorHAnsi" w:hAnsiTheme="minorHAnsi" w:cstheme="minorHAnsi"/>
          <w:szCs w:val="18"/>
        </w:rPr>
        <w:t>.</w:t>
      </w:r>
      <w:r w:rsidR="007E6EA0">
        <w:rPr>
          <w:rFonts w:asciiTheme="minorHAnsi" w:hAnsiTheme="minorHAnsi" w:cstheme="minorHAnsi"/>
          <w:szCs w:val="18"/>
        </w:rPr>
        <w:t>42</w:t>
      </w:r>
      <w:r w:rsidR="000314C2" w:rsidRPr="000314C2">
        <w:rPr>
          <w:rFonts w:asciiTheme="minorHAnsi" w:hAnsiTheme="minorHAnsi" w:cstheme="minorHAnsi"/>
          <w:szCs w:val="18"/>
        </w:rPr>
        <w:t xml:space="preserve">% from the $1.45 billion in adopted budgets in FY 2019-20. </w:t>
      </w:r>
      <w:r w:rsidR="00BD409A">
        <w:rPr>
          <w:rFonts w:asciiTheme="minorHAnsi" w:hAnsiTheme="minorHAnsi" w:cstheme="minorHAnsi"/>
          <w:szCs w:val="18"/>
        </w:rPr>
        <w:t>The m</w:t>
      </w:r>
      <w:r w:rsidR="000314C2" w:rsidRPr="000314C2">
        <w:rPr>
          <w:rFonts w:asciiTheme="minorHAnsi" w:hAnsiTheme="minorHAnsi" w:cstheme="minorHAnsi"/>
          <w:szCs w:val="18"/>
        </w:rPr>
        <w:t xml:space="preserve">ajority of the reduced </w:t>
      </w:r>
      <w:r w:rsidR="00BC3D72">
        <w:rPr>
          <w:rFonts w:asciiTheme="minorHAnsi" w:hAnsiTheme="minorHAnsi" w:cstheme="minorHAnsi"/>
          <w:szCs w:val="18"/>
        </w:rPr>
        <w:t>revenue</w:t>
      </w:r>
      <w:r w:rsidR="000314C2" w:rsidRPr="000314C2">
        <w:rPr>
          <w:rFonts w:asciiTheme="minorHAnsi" w:hAnsiTheme="minorHAnsi" w:cstheme="minorHAnsi"/>
          <w:szCs w:val="18"/>
        </w:rPr>
        <w:t xml:space="preserve"> from these sources relates to the impacts of facility closures in metropolitan councils as a result of COVID-19.</w:t>
      </w:r>
    </w:p>
    <w:p w14:paraId="0F1F1CCB" w14:textId="7846451B" w:rsidR="000314C2" w:rsidRPr="000314C2" w:rsidRDefault="000314C2" w:rsidP="000314C2">
      <w:pPr>
        <w:spacing w:line="276" w:lineRule="auto"/>
        <w:rPr>
          <w:rFonts w:asciiTheme="minorHAnsi" w:hAnsiTheme="minorHAnsi" w:cstheme="minorHAnsi"/>
          <w:szCs w:val="18"/>
        </w:rPr>
      </w:pPr>
      <w:r w:rsidRPr="000314C2">
        <w:rPr>
          <w:rFonts w:asciiTheme="minorHAnsi" w:hAnsiTheme="minorHAnsi" w:cstheme="minorHAnsi"/>
          <w:szCs w:val="18"/>
        </w:rPr>
        <w:t xml:space="preserve">Overall budgeted operating expenditure for FY 2020-21 is expected to increase by </w:t>
      </w:r>
      <w:r w:rsidR="00E51EA5">
        <w:rPr>
          <w:rFonts w:asciiTheme="minorHAnsi" w:hAnsiTheme="minorHAnsi" w:cstheme="minorHAnsi"/>
          <w:szCs w:val="18"/>
        </w:rPr>
        <w:t>6</w:t>
      </w:r>
      <w:r w:rsidRPr="000314C2">
        <w:rPr>
          <w:rFonts w:asciiTheme="minorHAnsi" w:hAnsiTheme="minorHAnsi" w:cstheme="minorHAnsi"/>
          <w:szCs w:val="18"/>
        </w:rPr>
        <w:t>.</w:t>
      </w:r>
      <w:r w:rsidR="00E51EA5">
        <w:rPr>
          <w:rFonts w:asciiTheme="minorHAnsi" w:hAnsiTheme="minorHAnsi" w:cstheme="minorHAnsi"/>
          <w:szCs w:val="18"/>
        </w:rPr>
        <w:t>32</w:t>
      </w:r>
      <w:r w:rsidR="0092170E">
        <w:rPr>
          <w:rFonts w:asciiTheme="minorHAnsi" w:hAnsiTheme="minorHAnsi" w:cstheme="minorHAnsi"/>
          <w:szCs w:val="18"/>
        </w:rPr>
        <w:t>%</w:t>
      </w:r>
      <w:r w:rsidRPr="000314C2">
        <w:rPr>
          <w:rFonts w:asciiTheme="minorHAnsi" w:hAnsiTheme="minorHAnsi" w:cstheme="minorHAnsi"/>
          <w:szCs w:val="18"/>
        </w:rPr>
        <w:t xml:space="preserve">. This is marginally higher than the forecast average increase in recent years with a major component being depreciation and amortisation expenses increasing by </w:t>
      </w:r>
      <w:r w:rsidR="008F5073">
        <w:rPr>
          <w:rFonts w:asciiTheme="minorHAnsi" w:hAnsiTheme="minorHAnsi" w:cstheme="minorHAnsi"/>
          <w:szCs w:val="18"/>
        </w:rPr>
        <w:t>8</w:t>
      </w:r>
      <w:r w:rsidRPr="000314C2">
        <w:rPr>
          <w:rFonts w:asciiTheme="minorHAnsi" w:hAnsiTheme="minorHAnsi" w:cstheme="minorHAnsi"/>
          <w:szCs w:val="18"/>
        </w:rPr>
        <w:t>.</w:t>
      </w:r>
      <w:r w:rsidR="008F5073">
        <w:rPr>
          <w:rFonts w:asciiTheme="minorHAnsi" w:hAnsiTheme="minorHAnsi" w:cstheme="minorHAnsi"/>
          <w:szCs w:val="18"/>
        </w:rPr>
        <w:t>1</w:t>
      </w:r>
      <w:r w:rsidRPr="000314C2">
        <w:rPr>
          <w:rFonts w:asciiTheme="minorHAnsi" w:hAnsiTheme="minorHAnsi" w:cstheme="minorHAnsi"/>
          <w:szCs w:val="18"/>
        </w:rPr>
        <w:t>%.</w:t>
      </w:r>
    </w:p>
    <w:p w14:paraId="37A04E38" w14:textId="3410C2A7" w:rsidR="000314C2" w:rsidRPr="000314C2" w:rsidRDefault="000314C2" w:rsidP="000314C2">
      <w:pPr>
        <w:spacing w:line="276" w:lineRule="auto"/>
        <w:rPr>
          <w:rFonts w:asciiTheme="minorHAnsi" w:hAnsiTheme="minorHAnsi" w:cstheme="minorHAnsi"/>
          <w:szCs w:val="18"/>
        </w:rPr>
      </w:pPr>
      <w:r w:rsidRPr="000314C2">
        <w:rPr>
          <w:rFonts w:asciiTheme="minorHAnsi" w:hAnsiTheme="minorHAnsi" w:cstheme="minorHAnsi"/>
          <w:szCs w:val="18"/>
        </w:rPr>
        <w:t xml:space="preserve">Employee costs, the largest expense for Victorian councils, will increase by a comparatively modest </w:t>
      </w:r>
      <w:r w:rsidR="008D3981">
        <w:rPr>
          <w:rFonts w:asciiTheme="minorHAnsi" w:hAnsiTheme="minorHAnsi" w:cstheme="minorHAnsi"/>
          <w:szCs w:val="18"/>
        </w:rPr>
        <w:t>4</w:t>
      </w:r>
      <w:r w:rsidRPr="000314C2">
        <w:rPr>
          <w:rFonts w:asciiTheme="minorHAnsi" w:hAnsiTheme="minorHAnsi" w:cstheme="minorHAnsi"/>
          <w:szCs w:val="18"/>
        </w:rPr>
        <w:t>.</w:t>
      </w:r>
      <w:r w:rsidR="008D3981">
        <w:rPr>
          <w:rFonts w:asciiTheme="minorHAnsi" w:hAnsiTheme="minorHAnsi" w:cstheme="minorHAnsi"/>
          <w:szCs w:val="18"/>
        </w:rPr>
        <w:t>01</w:t>
      </w:r>
      <w:r w:rsidRPr="000314C2">
        <w:rPr>
          <w:rFonts w:asciiTheme="minorHAnsi" w:hAnsiTheme="minorHAnsi" w:cstheme="minorHAnsi"/>
          <w:szCs w:val="18"/>
        </w:rPr>
        <w:t xml:space="preserve"> per cent compared to 4.54 per cent in FY 2019-20. Materials and services </w:t>
      </w:r>
      <w:r w:rsidR="00A41126">
        <w:rPr>
          <w:rFonts w:asciiTheme="minorHAnsi" w:hAnsiTheme="minorHAnsi" w:cstheme="minorHAnsi"/>
          <w:szCs w:val="18"/>
        </w:rPr>
        <w:t xml:space="preserve">expenses </w:t>
      </w:r>
      <w:r w:rsidRPr="000314C2">
        <w:rPr>
          <w:rFonts w:asciiTheme="minorHAnsi" w:hAnsiTheme="minorHAnsi" w:cstheme="minorHAnsi"/>
          <w:szCs w:val="18"/>
        </w:rPr>
        <w:t xml:space="preserve">will increase by </w:t>
      </w:r>
      <w:r w:rsidR="009958A3">
        <w:rPr>
          <w:rFonts w:asciiTheme="minorHAnsi" w:hAnsiTheme="minorHAnsi" w:cstheme="minorHAnsi"/>
          <w:szCs w:val="18"/>
        </w:rPr>
        <w:t>7</w:t>
      </w:r>
      <w:r w:rsidRPr="000314C2">
        <w:rPr>
          <w:rFonts w:asciiTheme="minorHAnsi" w:hAnsiTheme="minorHAnsi" w:cstheme="minorHAnsi"/>
          <w:szCs w:val="18"/>
        </w:rPr>
        <w:t>.</w:t>
      </w:r>
      <w:r w:rsidR="009958A3">
        <w:rPr>
          <w:rFonts w:asciiTheme="minorHAnsi" w:hAnsiTheme="minorHAnsi" w:cstheme="minorHAnsi"/>
          <w:szCs w:val="18"/>
        </w:rPr>
        <w:t>31</w:t>
      </w:r>
      <w:r w:rsidR="00A41126">
        <w:rPr>
          <w:rFonts w:asciiTheme="minorHAnsi" w:hAnsiTheme="minorHAnsi" w:cstheme="minorHAnsi"/>
          <w:szCs w:val="18"/>
        </w:rPr>
        <w:t>%</w:t>
      </w:r>
      <w:r w:rsidRPr="000314C2">
        <w:rPr>
          <w:rFonts w:asciiTheme="minorHAnsi" w:hAnsiTheme="minorHAnsi" w:cstheme="minorHAnsi"/>
          <w:szCs w:val="18"/>
        </w:rPr>
        <w:t>.</w:t>
      </w:r>
    </w:p>
    <w:p w14:paraId="1BE59635" w14:textId="2F06F99D" w:rsidR="000314C2" w:rsidRPr="000314C2" w:rsidRDefault="000314C2" w:rsidP="000314C2">
      <w:pPr>
        <w:spacing w:line="276" w:lineRule="auto"/>
        <w:rPr>
          <w:rFonts w:asciiTheme="minorHAnsi" w:hAnsiTheme="minorHAnsi" w:cstheme="minorHAnsi"/>
          <w:szCs w:val="18"/>
        </w:rPr>
      </w:pPr>
      <w:r w:rsidRPr="000314C2">
        <w:rPr>
          <w:rFonts w:asciiTheme="minorHAnsi" w:hAnsiTheme="minorHAnsi" w:cstheme="minorHAnsi"/>
          <w:szCs w:val="18"/>
        </w:rPr>
        <w:t xml:space="preserve">Capital works in FY 2020-21 represent a slight </w:t>
      </w:r>
      <w:r w:rsidR="000215D5">
        <w:rPr>
          <w:rFonts w:asciiTheme="minorHAnsi" w:hAnsiTheme="minorHAnsi" w:cstheme="minorHAnsi"/>
          <w:szCs w:val="18"/>
        </w:rPr>
        <w:t>in</w:t>
      </w:r>
      <w:r w:rsidRPr="000314C2">
        <w:rPr>
          <w:rFonts w:asciiTheme="minorHAnsi" w:hAnsiTheme="minorHAnsi" w:cstheme="minorHAnsi"/>
          <w:szCs w:val="18"/>
        </w:rPr>
        <w:t xml:space="preserve">crease of </w:t>
      </w:r>
      <w:r w:rsidR="000215D5">
        <w:rPr>
          <w:rFonts w:asciiTheme="minorHAnsi" w:hAnsiTheme="minorHAnsi" w:cstheme="minorHAnsi"/>
          <w:szCs w:val="18"/>
        </w:rPr>
        <w:t>0.79</w:t>
      </w:r>
      <w:r w:rsidR="00A263AC">
        <w:rPr>
          <w:rFonts w:asciiTheme="minorHAnsi" w:hAnsiTheme="minorHAnsi" w:cstheme="minorHAnsi"/>
          <w:szCs w:val="18"/>
        </w:rPr>
        <w:t>%</w:t>
      </w:r>
      <w:r w:rsidRPr="000314C2">
        <w:rPr>
          <w:rFonts w:asciiTheme="minorHAnsi" w:hAnsiTheme="minorHAnsi" w:cstheme="minorHAnsi"/>
          <w:szCs w:val="18"/>
        </w:rPr>
        <w:t xml:space="preserve"> compared to adopted budget</w:t>
      </w:r>
      <w:r w:rsidR="00B164F8">
        <w:rPr>
          <w:rFonts w:asciiTheme="minorHAnsi" w:hAnsiTheme="minorHAnsi" w:cstheme="minorHAnsi"/>
          <w:szCs w:val="18"/>
        </w:rPr>
        <w:t>s</w:t>
      </w:r>
      <w:r w:rsidRPr="000314C2">
        <w:rPr>
          <w:rFonts w:asciiTheme="minorHAnsi" w:hAnsiTheme="minorHAnsi" w:cstheme="minorHAnsi"/>
          <w:szCs w:val="18"/>
        </w:rPr>
        <w:t xml:space="preserve"> for FY 2019-20 but there is a long-term </w:t>
      </w:r>
      <w:r w:rsidRPr="00710C9F">
        <w:rPr>
          <w:rFonts w:asciiTheme="minorHAnsi" w:hAnsiTheme="minorHAnsi" w:cstheme="minorHAnsi"/>
          <w:szCs w:val="18"/>
        </w:rPr>
        <w:t xml:space="preserve">increase of </w:t>
      </w:r>
      <w:r w:rsidR="00710C9F" w:rsidRPr="00797FE6">
        <w:rPr>
          <w:rFonts w:asciiTheme="minorHAnsi" w:hAnsiTheme="minorHAnsi" w:cstheme="minorHAnsi"/>
          <w:szCs w:val="18"/>
        </w:rPr>
        <w:t>4</w:t>
      </w:r>
      <w:r w:rsidRPr="00710C9F">
        <w:rPr>
          <w:rFonts w:asciiTheme="minorHAnsi" w:hAnsiTheme="minorHAnsi" w:cstheme="minorHAnsi"/>
          <w:szCs w:val="18"/>
        </w:rPr>
        <w:t>%</w:t>
      </w:r>
      <w:r w:rsidRPr="000314C2">
        <w:rPr>
          <w:rFonts w:asciiTheme="minorHAnsi" w:hAnsiTheme="minorHAnsi" w:cstheme="minorHAnsi"/>
          <w:szCs w:val="18"/>
        </w:rPr>
        <w:t xml:space="preserve"> in the budget and SRP years combined resulting in overall capital works of $1</w:t>
      </w:r>
      <w:r w:rsidR="009958A3">
        <w:rPr>
          <w:rFonts w:asciiTheme="minorHAnsi" w:hAnsiTheme="minorHAnsi" w:cstheme="minorHAnsi"/>
          <w:szCs w:val="18"/>
        </w:rPr>
        <w:t>3</w:t>
      </w:r>
      <w:r w:rsidRPr="000314C2">
        <w:rPr>
          <w:rFonts w:asciiTheme="minorHAnsi" w:hAnsiTheme="minorHAnsi" w:cstheme="minorHAnsi"/>
          <w:szCs w:val="18"/>
        </w:rPr>
        <w:t>.</w:t>
      </w:r>
      <w:r w:rsidR="009958A3">
        <w:rPr>
          <w:rFonts w:asciiTheme="minorHAnsi" w:hAnsiTheme="minorHAnsi" w:cstheme="minorHAnsi"/>
          <w:szCs w:val="18"/>
        </w:rPr>
        <w:t>0</w:t>
      </w:r>
      <w:r w:rsidRPr="000314C2">
        <w:rPr>
          <w:rFonts w:asciiTheme="minorHAnsi" w:hAnsiTheme="minorHAnsi" w:cstheme="minorHAnsi"/>
          <w:szCs w:val="18"/>
        </w:rPr>
        <w:t xml:space="preserve"> billion over the next four years. This compares favourably to the $12.53 billion committed in the four-year strategic resource plans for FY 2019-20.</w:t>
      </w:r>
    </w:p>
    <w:p w14:paraId="51C03D41" w14:textId="304D3E45" w:rsidR="000314C2" w:rsidRDefault="00AD7D61" w:rsidP="000314C2">
      <w:pPr>
        <w:spacing w:line="276" w:lineRule="auto"/>
        <w:rPr>
          <w:rFonts w:asciiTheme="minorHAnsi" w:hAnsiTheme="minorHAnsi" w:cstheme="minorHAnsi"/>
          <w:szCs w:val="18"/>
        </w:rPr>
      </w:pPr>
      <w:r>
        <w:rPr>
          <w:rFonts w:asciiTheme="minorHAnsi" w:hAnsiTheme="minorHAnsi" w:cstheme="minorHAnsi"/>
          <w:szCs w:val="18"/>
        </w:rPr>
        <w:t>At 30 June 2021</w:t>
      </w:r>
      <w:r w:rsidR="00284C52">
        <w:rPr>
          <w:rFonts w:asciiTheme="minorHAnsi" w:hAnsiTheme="minorHAnsi" w:cstheme="minorHAnsi"/>
          <w:szCs w:val="18"/>
        </w:rPr>
        <w:t xml:space="preserve"> councils </w:t>
      </w:r>
      <w:r w:rsidR="00D9316B">
        <w:rPr>
          <w:rFonts w:asciiTheme="minorHAnsi" w:hAnsiTheme="minorHAnsi" w:cstheme="minorHAnsi"/>
          <w:szCs w:val="18"/>
        </w:rPr>
        <w:t xml:space="preserve">collectively </w:t>
      </w:r>
      <w:r w:rsidR="00284C52">
        <w:rPr>
          <w:rFonts w:asciiTheme="minorHAnsi" w:hAnsiTheme="minorHAnsi" w:cstheme="minorHAnsi"/>
          <w:szCs w:val="18"/>
        </w:rPr>
        <w:t xml:space="preserve">are </w:t>
      </w:r>
      <w:r w:rsidR="00A069C8">
        <w:rPr>
          <w:rFonts w:asciiTheme="minorHAnsi" w:hAnsiTheme="minorHAnsi" w:cstheme="minorHAnsi"/>
          <w:szCs w:val="18"/>
        </w:rPr>
        <w:t xml:space="preserve">budgeting to manage </w:t>
      </w:r>
      <w:r w:rsidR="00D37245">
        <w:rPr>
          <w:rFonts w:asciiTheme="minorHAnsi" w:hAnsiTheme="minorHAnsi" w:cstheme="minorHAnsi"/>
          <w:szCs w:val="18"/>
        </w:rPr>
        <w:t>non-current assets worth $110.</w:t>
      </w:r>
      <w:r w:rsidR="008C77C3">
        <w:rPr>
          <w:rFonts w:asciiTheme="minorHAnsi" w:hAnsiTheme="minorHAnsi" w:cstheme="minorHAnsi"/>
          <w:szCs w:val="18"/>
        </w:rPr>
        <w:t>3</w:t>
      </w:r>
      <w:r w:rsidR="00D37245">
        <w:rPr>
          <w:rFonts w:asciiTheme="minorHAnsi" w:hAnsiTheme="minorHAnsi" w:cstheme="minorHAnsi"/>
          <w:szCs w:val="18"/>
        </w:rPr>
        <w:t xml:space="preserve">8 billion. The sector is also budgeting to employ </w:t>
      </w:r>
      <w:r w:rsidR="00507392">
        <w:rPr>
          <w:rFonts w:asciiTheme="minorHAnsi" w:hAnsiTheme="minorHAnsi" w:cstheme="minorHAnsi"/>
          <w:szCs w:val="18"/>
        </w:rPr>
        <w:t>staff</w:t>
      </w:r>
      <w:r w:rsidR="00C90EB6">
        <w:rPr>
          <w:rFonts w:asciiTheme="minorHAnsi" w:hAnsiTheme="minorHAnsi" w:cstheme="minorHAnsi"/>
          <w:szCs w:val="18"/>
        </w:rPr>
        <w:t xml:space="preserve"> </w:t>
      </w:r>
      <w:r w:rsidR="00507392">
        <w:rPr>
          <w:rFonts w:asciiTheme="minorHAnsi" w:hAnsiTheme="minorHAnsi" w:cstheme="minorHAnsi"/>
          <w:szCs w:val="18"/>
        </w:rPr>
        <w:t xml:space="preserve">in excess of </w:t>
      </w:r>
      <w:r w:rsidR="00D37245">
        <w:rPr>
          <w:rFonts w:asciiTheme="minorHAnsi" w:hAnsiTheme="minorHAnsi" w:cstheme="minorHAnsi"/>
          <w:szCs w:val="18"/>
        </w:rPr>
        <w:t>3</w:t>
      </w:r>
      <w:r w:rsidR="005A7D87">
        <w:rPr>
          <w:rFonts w:asciiTheme="minorHAnsi" w:hAnsiTheme="minorHAnsi" w:cstheme="minorHAnsi"/>
          <w:szCs w:val="18"/>
        </w:rPr>
        <w:t>9</w:t>
      </w:r>
      <w:r w:rsidR="009E2A73">
        <w:rPr>
          <w:rFonts w:asciiTheme="minorHAnsi" w:hAnsiTheme="minorHAnsi" w:cstheme="minorHAnsi"/>
          <w:szCs w:val="18"/>
        </w:rPr>
        <w:t>,</w:t>
      </w:r>
      <w:r w:rsidR="005A7D87">
        <w:rPr>
          <w:rFonts w:asciiTheme="minorHAnsi" w:hAnsiTheme="minorHAnsi" w:cstheme="minorHAnsi"/>
          <w:szCs w:val="18"/>
        </w:rPr>
        <w:t>221</w:t>
      </w:r>
      <w:r w:rsidR="00014F89">
        <w:rPr>
          <w:rFonts w:asciiTheme="minorHAnsi" w:hAnsiTheme="minorHAnsi" w:cstheme="minorHAnsi"/>
          <w:szCs w:val="18"/>
        </w:rPr>
        <w:t xml:space="preserve"> FTE</w:t>
      </w:r>
      <w:r w:rsidR="00507392">
        <w:rPr>
          <w:rFonts w:asciiTheme="minorHAnsi" w:hAnsiTheme="minorHAnsi" w:cstheme="minorHAnsi"/>
          <w:szCs w:val="18"/>
        </w:rPr>
        <w:t>.</w:t>
      </w:r>
      <w:r w:rsidR="00D37245">
        <w:rPr>
          <w:rFonts w:asciiTheme="minorHAnsi" w:hAnsiTheme="minorHAnsi" w:cstheme="minorHAnsi"/>
          <w:szCs w:val="18"/>
        </w:rPr>
        <w:t xml:space="preserve"> </w:t>
      </w:r>
      <w:r w:rsidR="000314C2" w:rsidRPr="000314C2">
        <w:rPr>
          <w:rFonts w:asciiTheme="minorHAnsi" w:hAnsiTheme="minorHAnsi" w:cstheme="minorHAnsi"/>
          <w:szCs w:val="18"/>
        </w:rPr>
        <w:t>In 2020-21, budgeted total cash and financial assets of $4.3</w:t>
      </w:r>
      <w:r w:rsidR="00F013B3">
        <w:rPr>
          <w:rFonts w:asciiTheme="minorHAnsi" w:hAnsiTheme="minorHAnsi" w:cstheme="minorHAnsi"/>
          <w:szCs w:val="18"/>
        </w:rPr>
        <w:t>0</w:t>
      </w:r>
      <w:r w:rsidR="000314C2" w:rsidRPr="000314C2">
        <w:rPr>
          <w:rFonts w:asciiTheme="minorHAnsi" w:hAnsiTheme="minorHAnsi" w:cstheme="minorHAnsi"/>
          <w:szCs w:val="18"/>
        </w:rPr>
        <w:t xml:space="preserve"> billion against budgeted total debt of $1.4</w:t>
      </w:r>
      <w:r w:rsidR="00C56C97">
        <w:rPr>
          <w:rFonts w:asciiTheme="minorHAnsi" w:hAnsiTheme="minorHAnsi" w:cstheme="minorHAnsi"/>
          <w:szCs w:val="18"/>
        </w:rPr>
        <w:t>0</w:t>
      </w:r>
      <w:r w:rsidR="000314C2" w:rsidRPr="000314C2">
        <w:rPr>
          <w:rFonts w:asciiTheme="minorHAnsi" w:hAnsiTheme="minorHAnsi" w:cstheme="minorHAnsi"/>
          <w:szCs w:val="18"/>
        </w:rPr>
        <w:t xml:space="preserve"> billion indicates that collectively councils remain in a relatively strong and stable liquidity position. 42 out of 79 councils carry interest bearing loans of less than $10 </w:t>
      </w:r>
      <w:r w:rsidR="0079062F">
        <w:rPr>
          <w:rFonts w:asciiTheme="minorHAnsi" w:hAnsiTheme="minorHAnsi" w:cstheme="minorHAnsi"/>
          <w:szCs w:val="18"/>
        </w:rPr>
        <w:t>m</w:t>
      </w:r>
      <w:r w:rsidR="000314C2" w:rsidRPr="000314C2">
        <w:rPr>
          <w:rFonts w:asciiTheme="minorHAnsi" w:hAnsiTheme="minorHAnsi" w:cstheme="minorHAnsi"/>
          <w:szCs w:val="18"/>
        </w:rPr>
        <w:t xml:space="preserve">illion as budgeted at the end of 2020-21 while 14 out of 79 councils remain debt free during the period. Councils carrying debt in excess of $10 </w:t>
      </w:r>
      <w:r w:rsidR="004A106A">
        <w:rPr>
          <w:rFonts w:asciiTheme="minorHAnsi" w:hAnsiTheme="minorHAnsi" w:cstheme="minorHAnsi"/>
          <w:szCs w:val="18"/>
        </w:rPr>
        <w:t>m</w:t>
      </w:r>
      <w:r w:rsidR="000314C2" w:rsidRPr="000314C2">
        <w:rPr>
          <w:rFonts w:asciiTheme="minorHAnsi" w:hAnsiTheme="minorHAnsi" w:cstheme="minorHAnsi"/>
          <w:szCs w:val="18"/>
        </w:rPr>
        <w:t xml:space="preserve">illion are mostly </w:t>
      </w:r>
      <w:r w:rsidR="004A106A">
        <w:rPr>
          <w:rFonts w:asciiTheme="minorHAnsi" w:hAnsiTheme="minorHAnsi" w:cstheme="minorHAnsi"/>
          <w:szCs w:val="18"/>
        </w:rPr>
        <w:t>m</w:t>
      </w:r>
      <w:r w:rsidR="000314C2" w:rsidRPr="000314C2">
        <w:rPr>
          <w:rFonts w:asciiTheme="minorHAnsi" w:hAnsiTheme="minorHAnsi" w:cstheme="minorHAnsi"/>
          <w:szCs w:val="18"/>
        </w:rPr>
        <w:t xml:space="preserve">etropolitan and </w:t>
      </w:r>
      <w:r w:rsidR="004A106A">
        <w:rPr>
          <w:rFonts w:asciiTheme="minorHAnsi" w:hAnsiTheme="minorHAnsi" w:cstheme="minorHAnsi"/>
          <w:szCs w:val="18"/>
        </w:rPr>
        <w:t>i</w:t>
      </w:r>
      <w:r w:rsidR="000314C2" w:rsidRPr="000314C2">
        <w:rPr>
          <w:rFonts w:asciiTheme="minorHAnsi" w:hAnsiTheme="minorHAnsi" w:cstheme="minorHAnsi"/>
          <w:szCs w:val="18"/>
        </w:rPr>
        <w:t>nterface councils.</w:t>
      </w:r>
    </w:p>
    <w:p w14:paraId="7EACB3DC" w14:textId="09AC5A30" w:rsidR="00E00D12" w:rsidRDefault="00C7376D">
      <w:pPr>
        <w:spacing w:before="0" w:line="276" w:lineRule="auto"/>
        <w:rPr>
          <w:rFonts w:asciiTheme="minorHAnsi" w:hAnsiTheme="minorHAnsi" w:cstheme="minorHAnsi"/>
          <w:szCs w:val="18"/>
        </w:rPr>
      </w:pPr>
      <w:r>
        <w:rPr>
          <w:rFonts w:asciiTheme="minorHAnsi" w:hAnsiTheme="minorHAnsi" w:cstheme="minorHAnsi"/>
          <w:szCs w:val="18"/>
        </w:rPr>
        <w:t xml:space="preserve">A </w:t>
      </w:r>
      <w:r w:rsidR="00B02715">
        <w:rPr>
          <w:rFonts w:asciiTheme="minorHAnsi" w:hAnsiTheme="minorHAnsi" w:cstheme="minorHAnsi"/>
          <w:szCs w:val="18"/>
        </w:rPr>
        <w:t xml:space="preserve">table </w:t>
      </w:r>
      <w:r w:rsidR="00DF5DAC">
        <w:rPr>
          <w:rFonts w:asciiTheme="minorHAnsi" w:hAnsiTheme="minorHAnsi" w:cstheme="minorHAnsi"/>
          <w:szCs w:val="18"/>
        </w:rPr>
        <w:t xml:space="preserve">snapshot of the finances </w:t>
      </w:r>
      <w:r w:rsidR="00684E9F">
        <w:rPr>
          <w:rFonts w:asciiTheme="minorHAnsi" w:hAnsiTheme="minorHAnsi" w:cstheme="minorHAnsi"/>
          <w:szCs w:val="18"/>
        </w:rPr>
        <w:t xml:space="preserve">of </w:t>
      </w:r>
      <w:r w:rsidR="00EF634B">
        <w:rPr>
          <w:rFonts w:asciiTheme="minorHAnsi" w:hAnsiTheme="minorHAnsi" w:cstheme="minorHAnsi"/>
          <w:szCs w:val="18"/>
        </w:rPr>
        <w:t xml:space="preserve">the </w:t>
      </w:r>
      <w:r w:rsidR="00741643">
        <w:rPr>
          <w:rFonts w:asciiTheme="minorHAnsi" w:hAnsiTheme="minorHAnsi" w:cstheme="minorHAnsi"/>
          <w:szCs w:val="18"/>
        </w:rPr>
        <w:t xml:space="preserve">79 councils in Victoria </w:t>
      </w:r>
      <w:r w:rsidR="00241B20">
        <w:rPr>
          <w:rFonts w:asciiTheme="minorHAnsi" w:hAnsiTheme="minorHAnsi" w:cstheme="minorHAnsi"/>
          <w:szCs w:val="18"/>
        </w:rPr>
        <w:t xml:space="preserve">from 2020-21 </w:t>
      </w:r>
      <w:r w:rsidR="00EA1BDF">
        <w:rPr>
          <w:rFonts w:asciiTheme="minorHAnsi" w:hAnsiTheme="minorHAnsi" w:cstheme="minorHAnsi"/>
          <w:szCs w:val="18"/>
        </w:rPr>
        <w:t>adopted</w:t>
      </w:r>
      <w:r w:rsidR="00241B20">
        <w:rPr>
          <w:rFonts w:asciiTheme="minorHAnsi" w:hAnsiTheme="minorHAnsi" w:cstheme="minorHAnsi"/>
          <w:szCs w:val="18"/>
        </w:rPr>
        <w:t xml:space="preserve"> budgets</w:t>
      </w:r>
      <w:r w:rsidR="00B02715">
        <w:rPr>
          <w:rFonts w:asciiTheme="minorHAnsi" w:hAnsiTheme="minorHAnsi" w:cstheme="minorHAnsi"/>
          <w:szCs w:val="18"/>
        </w:rPr>
        <w:t xml:space="preserve"> against 2019-20 adopted budgets is available in </w:t>
      </w:r>
      <w:r w:rsidR="00B02715" w:rsidRPr="00B02715">
        <w:rPr>
          <w:rFonts w:asciiTheme="minorHAnsi" w:hAnsiTheme="minorHAnsi" w:cstheme="minorHAnsi"/>
          <w:b/>
          <w:bCs/>
          <w:szCs w:val="18"/>
        </w:rPr>
        <w:t>Appendix B</w:t>
      </w:r>
      <w:r w:rsidR="00B02715">
        <w:rPr>
          <w:rFonts w:asciiTheme="minorHAnsi" w:hAnsiTheme="minorHAnsi" w:cstheme="minorHAnsi"/>
          <w:szCs w:val="18"/>
        </w:rPr>
        <w:t xml:space="preserve">. </w:t>
      </w:r>
    </w:p>
    <w:p w14:paraId="46167B37" w14:textId="6A5B08E4" w:rsidR="000314C2" w:rsidRDefault="000314C2">
      <w:pPr>
        <w:spacing w:before="0" w:line="276" w:lineRule="auto"/>
        <w:rPr>
          <w:rFonts w:asciiTheme="minorHAnsi" w:hAnsiTheme="minorHAnsi" w:cstheme="minorHAnsi"/>
          <w:szCs w:val="18"/>
        </w:rPr>
      </w:pPr>
      <w:r>
        <w:rPr>
          <w:rFonts w:asciiTheme="minorHAnsi" w:hAnsiTheme="minorHAnsi" w:cstheme="minorHAnsi"/>
          <w:szCs w:val="18"/>
        </w:rPr>
        <w:br w:type="page"/>
      </w:r>
    </w:p>
    <w:p w14:paraId="01177065" w14:textId="2C53A136" w:rsidR="000314C2" w:rsidRDefault="000314C2" w:rsidP="000314C2">
      <w:pPr>
        <w:pStyle w:val="Heading1"/>
      </w:pPr>
      <w:bookmarkStart w:id="6" w:name="_Toc75534478"/>
      <w:r>
        <w:lastRenderedPageBreak/>
        <w:t>Introduction and context</w:t>
      </w:r>
      <w:bookmarkEnd w:id="6"/>
    </w:p>
    <w:p w14:paraId="45778214" w14:textId="77777777" w:rsidR="000314C2" w:rsidRPr="000314C2" w:rsidRDefault="000314C2" w:rsidP="000314C2">
      <w:pPr>
        <w:pStyle w:val="IntroFeatureText"/>
        <w:spacing w:after="0" w:line="240" w:lineRule="atLeast"/>
        <w:rPr>
          <w:rFonts w:cs="Times New Roman"/>
          <w:color w:val="53565A" w:themeColor="accent2"/>
          <w:spacing w:val="0"/>
          <w:sz w:val="18"/>
          <w:szCs w:val="18"/>
          <w:lang w:eastAsia="en-US"/>
        </w:rPr>
      </w:pPr>
      <w:r w:rsidRPr="000314C2">
        <w:rPr>
          <w:rFonts w:cs="Times New Roman"/>
          <w:color w:val="53565A" w:themeColor="accent2"/>
          <w:spacing w:val="0"/>
          <w:sz w:val="18"/>
          <w:szCs w:val="18"/>
          <w:lang w:eastAsia="en-US"/>
        </w:rPr>
        <w:t xml:space="preserve">Section 127 of the </w:t>
      </w:r>
      <w:r w:rsidRPr="000314C2">
        <w:rPr>
          <w:rFonts w:cs="Times New Roman"/>
          <w:i/>
          <w:iCs/>
          <w:color w:val="53565A" w:themeColor="accent2"/>
          <w:spacing w:val="0"/>
          <w:sz w:val="18"/>
          <w:szCs w:val="18"/>
          <w:lang w:eastAsia="en-US"/>
        </w:rPr>
        <w:t>Local Government Act 1989</w:t>
      </w:r>
      <w:r w:rsidRPr="000314C2">
        <w:rPr>
          <w:rFonts w:cs="Times New Roman"/>
          <w:color w:val="53565A" w:themeColor="accent2"/>
          <w:spacing w:val="0"/>
          <w:sz w:val="18"/>
          <w:szCs w:val="18"/>
          <w:lang w:eastAsia="en-US"/>
        </w:rPr>
        <w:t xml:space="preserve"> (the Act) requires that councils prepare a budget for each financial year that contains financial statements, a description of the services and initiatives to be funded, and</w:t>
      </w:r>
    </w:p>
    <w:p w14:paraId="14C60EE9" w14:textId="77777777" w:rsidR="000314C2" w:rsidRPr="000314C2" w:rsidRDefault="000314C2" w:rsidP="000314C2">
      <w:pPr>
        <w:pStyle w:val="IntroFeatureText"/>
        <w:spacing w:before="0" w:after="120" w:line="240" w:lineRule="atLeast"/>
        <w:rPr>
          <w:rFonts w:cs="Times New Roman"/>
          <w:color w:val="53565A" w:themeColor="accent2"/>
          <w:spacing w:val="0"/>
          <w:sz w:val="18"/>
          <w:szCs w:val="18"/>
          <w:lang w:eastAsia="en-US"/>
        </w:rPr>
      </w:pPr>
      <w:r w:rsidRPr="000314C2">
        <w:rPr>
          <w:rFonts w:cs="Times New Roman"/>
          <w:color w:val="53565A" w:themeColor="accent2"/>
          <w:spacing w:val="0"/>
          <w:sz w:val="18"/>
          <w:szCs w:val="18"/>
          <w:lang w:eastAsia="en-US"/>
        </w:rPr>
        <w:t>information about rates and charges.</w:t>
      </w:r>
      <w:r w:rsidRPr="000314C2">
        <w:rPr>
          <w:rStyle w:val="FootnoteReference"/>
          <w:color w:val="53565A" w:themeColor="accent2"/>
          <w:sz w:val="18"/>
          <w:szCs w:val="18"/>
          <w:lang w:eastAsia="en-US"/>
        </w:rPr>
        <w:footnoteReference w:id="2"/>
      </w:r>
      <w:r w:rsidRPr="000314C2">
        <w:rPr>
          <w:rStyle w:val="FootnoteReference"/>
          <w:color w:val="53565A" w:themeColor="accent2"/>
          <w:sz w:val="28"/>
          <w:szCs w:val="18"/>
          <w:lang w:eastAsia="en-US"/>
        </w:rPr>
        <w:t xml:space="preserve"> </w:t>
      </w:r>
    </w:p>
    <w:p w14:paraId="0D36CBBA" w14:textId="77777777" w:rsidR="000314C2" w:rsidRPr="000314C2" w:rsidRDefault="000314C2" w:rsidP="000314C2">
      <w:pPr>
        <w:pStyle w:val="IntroFeatureText"/>
        <w:spacing w:after="120" w:line="240" w:lineRule="atLeast"/>
        <w:rPr>
          <w:rFonts w:cs="Times New Roman"/>
          <w:color w:val="53565A" w:themeColor="accent2"/>
          <w:spacing w:val="0"/>
          <w:sz w:val="18"/>
          <w:szCs w:val="18"/>
          <w:lang w:eastAsia="en-US"/>
        </w:rPr>
      </w:pPr>
      <w:r w:rsidRPr="000314C2">
        <w:rPr>
          <w:rFonts w:cs="Times New Roman"/>
          <w:color w:val="53565A" w:themeColor="accent2"/>
          <w:spacing w:val="0"/>
          <w:sz w:val="18"/>
          <w:szCs w:val="18"/>
          <w:lang w:eastAsia="en-US"/>
        </w:rPr>
        <w:t>The budget is council’s key resource planning document for the next financial year (short term), and commonly includes an extract of the four year Strategic Resource Plan (medium term).</w:t>
      </w:r>
    </w:p>
    <w:p w14:paraId="0A325233" w14:textId="7D67D876" w:rsidR="000314C2" w:rsidRPr="000314C2" w:rsidRDefault="000314C2" w:rsidP="000314C2">
      <w:pPr>
        <w:pStyle w:val="BodyText"/>
        <w:rPr>
          <w:color w:val="53565A" w:themeColor="accent2"/>
          <w:sz w:val="18"/>
          <w:szCs w:val="18"/>
        </w:rPr>
      </w:pPr>
      <w:r w:rsidRPr="000314C2">
        <w:rPr>
          <w:color w:val="53565A" w:themeColor="accent2"/>
          <w:sz w:val="18"/>
          <w:szCs w:val="18"/>
        </w:rPr>
        <w:t>Each year Victorian councils must develop a budget for consideration by their community.</w:t>
      </w:r>
      <w:r w:rsidRPr="000314C2">
        <w:rPr>
          <w:rStyle w:val="FootnoteReference"/>
          <w:color w:val="53565A" w:themeColor="accent2"/>
          <w:sz w:val="18"/>
          <w:szCs w:val="18"/>
        </w:rPr>
        <w:footnoteReference w:id="3"/>
      </w:r>
      <w:r w:rsidRPr="000314C2">
        <w:rPr>
          <w:color w:val="53565A" w:themeColor="accent2"/>
          <w:sz w:val="18"/>
          <w:szCs w:val="18"/>
        </w:rPr>
        <w:t xml:space="preserve"> After complying with the relevant legislative requirements, including giving public notice and considering any submissions on the </w:t>
      </w:r>
      <w:r w:rsidR="00B41B4F">
        <w:rPr>
          <w:color w:val="53565A" w:themeColor="accent2"/>
          <w:sz w:val="18"/>
          <w:szCs w:val="18"/>
        </w:rPr>
        <w:t>proposed</w:t>
      </w:r>
      <w:r w:rsidRPr="000314C2">
        <w:rPr>
          <w:color w:val="53565A" w:themeColor="accent2"/>
          <w:sz w:val="18"/>
          <w:szCs w:val="18"/>
        </w:rPr>
        <w:t xml:space="preserve"> budget, a council may adopt its budget.</w:t>
      </w:r>
      <w:r w:rsidRPr="000314C2">
        <w:rPr>
          <w:rStyle w:val="FootnoteReference"/>
          <w:color w:val="53565A" w:themeColor="accent2"/>
          <w:sz w:val="18"/>
          <w:szCs w:val="18"/>
        </w:rPr>
        <w:footnoteReference w:id="4"/>
      </w:r>
    </w:p>
    <w:p w14:paraId="478827C6" w14:textId="4B66785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The development of 2020-21 budgets has occurred in the context of the unprecedented health and economic challenges presented by the coronavirus (COVID-19) pandemic. The pandemic represents the biggest economic shock the world and Victoria have experienced since the Great Depression. </w:t>
      </w:r>
      <w:r w:rsidRPr="000314C2">
        <w:rPr>
          <w:rStyle w:val="FootnoteReference"/>
          <w:color w:val="53565A" w:themeColor="accent2"/>
          <w:sz w:val="18"/>
          <w:szCs w:val="18"/>
        </w:rPr>
        <w:footnoteReference w:id="5"/>
      </w:r>
      <w:r w:rsidRPr="000314C2">
        <w:rPr>
          <w:color w:val="53565A" w:themeColor="accent2"/>
          <w:sz w:val="18"/>
          <w:szCs w:val="18"/>
        </w:rPr>
        <w:t xml:space="preserve"> In addition</w:t>
      </w:r>
      <w:r w:rsidR="009A4F6C">
        <w:rPr>
          <w:color w:val="53565A" w:themeColor="accent2"/>
          <w:sz w:val="18"/>
          <w:szCs w:val="18"/>
        </w:rPr>
        <w:t>,</w:t>
      </w:r>
      <w:r w:rsidRPr="000314C2">
        <w:rPr>
          <w:color w:val="53565A" w:themeColor="accent2"/>
          <w:sz w:val="18"/>
          <w:szCs w:val="18"/>
        </w:rPr>
        <w:t xml:space="preserve"> some rural Victorian councils were impacted by the devastating summer of bushfires resulting in significant resources being devoted to bushfire suppression and recovery initiatives.</w:t>
      </w:r>
    </w:p>
    <w:p w14:paraId="4D6AA814" w14:textId="727C9988" w:rsidR="000314C2" w:rsidRPr="000314C2" w:rsidRDefault="000314C2" w:rsidP="000314C2">
      <w:pPr>
        <w:pStyle w:val="BodyText"/>
        <w:rPr>
          <w:color w:val="53565A" w:themeColor="accent2"/>
          <w:sz w:val="18"/>
          <w:szCs w:val="18"/>
        </w:rPr>
      </w:pPr>
      <w:r w:rsidRPr="000314C2">
        <w:rPr>
          <w:color w:val="53565A" w:themeColor="accent2"/>
          <w:sz w:val="18"/>
          <w:szCs w:val="18"/>
        </w:rPr>
        <w:t>In response, a blanket extension to the adoption date for 2020-21 budgets from 30 June to 31 August 202</w:t>
      </w:r>
      <w:r w:rsidR="00351170">
        <w:rPr>
          <w:color w:val="53565A" w:themeColor="accent2"/>
          <w:sz w:val="18"/>
          <w:szCs w:val="18"/>
        </w:rPr>
        <w:t>0</w:t>
      </w:r>
      <w:r w:rsidRPr="000314C2">
        <w:rPr>
          <w:color w:val="53565A" w:themeColor="accent2"/>
          <w:sz w:val="18"/>
          <w:szCs w:val="18"/>
        </w:rPr>
        <w:t xml:space="preserve"> was granted by the Minister for Local Government  </w:t>
      </w:r>
    </w:p>
    <w:p w14:paraId="0FBED63E" w14:textId="0251311A"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This report is focused on the 79 budgets </w:t>
      </w:r>
      <w:r w:rsidR="00975259">
        <w:rPr>
          <w:color w:val="53565A" w:themeColor="accent2"/>
          <w:sz w:val="18"/>
          <w:szCs w:val="18"/>
        </w:rPr>
        <w:t xml:space="preserve">adopted </w:t>
      </w:r>
      <w:r w:rsidRPr="000314C2">
        <w:rPr>
          <w:color w:val="53565A" w:themeColor="accent2"/>
          <w:sz w:val="18"/>
          <w:szCs w:val="18"/>
        </w:rPr>
        <w:t xml:space="preserve">by Victorian councils </w:t>
      </w:r>
      <w:r w:rsidR="00975259">
        <w:rPr>
          <w:color w:val="53565A" w:themeColor="accent2"/>
          <w:sz w:val="18"/>
          <w:szCs w:val="18"/>
        </w:rPr>
        <w:t xml:space="preserve">following </w:t>
      </w:r>
      <w:r w:rsidRPr="000314C2">
        <w:rPr>
          <w:color w:val="53565A" w:themeColor="accent2"/>
          <w:sz w:val="18"/>
          <w:szCs w:val="18"/>
        </w:rPr>
        <w:t xml:space="preserve">community consultation and submissions. </w:t>
      </w:r>
    </w:p>
    <w:p w14:paraId="272DCD3C" w14:textId="7FD5676B"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The Act also allows for the preparation of a revised budget if circumstances arise which cause a material change in the budget and which affects the financial operations and position of the council. Given the ongoing economic impacts of the coronavirus pandemic it is </w:t>
      </w:r>
      <w:r w:rsidR="00DE3525">
        <w:rPr>
          <w:color w:val="53565A" w:themeColor="accent2"/>
          <w:sz w:val="18"/>
          <w:szCs w:val="18"/>
        </w:rPr>
        <w:t>possible</w:t>
      </w:r>
      <w:r w:rsidRPr="000314C2">
        <w:rPr>
          <w:color w:val="53565A" w:themeColor="accent2"/>
          <w:sz w:val="18"/>
          <w:szCs w:val="18"/>
        </w:rPr>
        <w:t xml:space="preserve"> that some councils will issue a revised 2020-21 budget. </w:t>
      </w:r>
    </w:p>
    <w:p w14:paraId="7B3F900E" w14:textId="60630C60" w:rsidR="000314C2" w:rsidRPr="00DB0DED" w:rsidRDefault="000314C2" w:rsidP="000314C2">
      <w:pPr>
        <w:pStyle w:val="Heading2"/>
      </w:pPr>
      <w:bookmarkStart w:id="7" w:name="_Toc75534479"/>
      <w:r>
        <w:rPr>
          <w:color w:val="100249" w:themeColor="accent4"/>
        </w:rPr>
        <w:t>Victorian Bushfires</w:t>
      </w:r>
      <w:bookmarkEnd w:id="7"/>
    </w:p>
    <w:p w14:paraId="4918457F"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On 2 January 2020 the Victorian Government declared a State of Disaster in six local government areas (Alpine Shire, East Gippsland Shire, Mansfield Shire, Towong Shire, Wangaratta Rural City and Wellington Shire) and the Alpine Resorts. This followed fears that extreme weather conditions would worsen the impact of ongoing bushfires across Victoria, mostly in East Gippsland and the state’s north-east. While the overall economic impact of the bushfires is not known at this stage some rural councils were severely impacted. Damage to public infrastructure assets such as roads and the diversion of scarce council staff resources towards relief and recovery efforts unexpectedly increased council expenditure. These impacts were partly offset by related increases in revenue from insurance claims and Victorian and Commonwealth Government financial support. A number of properties were damaged or destroyed as a result of the bushfires, affecting the rates to be levied across all property owners. This particularly impacted the municipalities of Towong and East Gippsland where numerous properties were destroyed or damaged as a result of the bushfires.  The impact of the bushfires was also significant on the commercial and tourism operators in the six municipalities. </w:t>
      </w:r>
    </w:p>
    <w:p w14:paraId="7204637E" w14:textId="77777777" w:rsidR="000314C2" w:rsidRPr="00DB0DED" w:rsidRDefault="000314C2" w:rsidP="000314C2">
      <w:pPr>
        <w:pStyle w:val="Heading2"/>
      </w:pPr>
      <w:bookmarkStart w:id="8" w:name="_Toc75534480"/>
      <w:r>
        <w:rPr>
          <w:color w:val="100249" w:themeColor="accent4"/>
        </w:rPr>
        <w:t>Coronavirus (COVID-19) pandemic</w:t>
      </w:r>
      <w:bookmarkEnd w:id="8"/>
    </w:p>
    <w:p w14:paraId="2D69C0DA" w14:textId="38ED5DD3" w:rsidR="000314C2" w:rsidRPr="000314C2" w:rsidRDefault="000314C2" w:rsidP="000314C2">
      <w:pPr>
        <w:pStyle w:val="BodyText"/>
        <w:rPr>
          <w:color w:val="53565A" w:themeColor="accent2"/>
          <w:sz w:val="18"/>
          <w:szCs w:val="18"/>
        </w:rPr>
      </w:pPr>
      <w:r w:rsidRPr="000314C2">
        <w:rPr>
          <w:color w:val="53565A" w:themeColor="accent2"/>
          <w:sz w:val="18"/>
          <w:szCs w:val="18"/>
        </w:rPr>
        <w:t>On 12 March 2020 the World Health Organisation formally declared the coronavirus (COVID-19) a pandemic. The Victorian Government declared a State of Emergency in Victoria to combat COVID-19 on 16 March 2020. On 30 March 2020</w:t>
      </w:r>
      <w:r>
        <w:rPr>
          <w:color w:val="53565A" w:themeColor="accent2"/>
          <w:sz w:val="18"/>
          <w:szCs w:val="18"/>
        </w:rPr>
        <w:t>,</w:t>
      </w:r>
      <w:r w:rsidRPr="000314C2">
        <w:rPr>
          <w:color w:val="53565A" w:themeColor="accent2"/>
          <w:sz w:val="18"/>
          <w:szCs w:val="18"/>
        </w:rPr>
        <w:t xml:space="preserve"> stage three restrictions came into effect in Victoria, limiting indoor and outdoor gatherings to no more than two people except for immediate household members and for work or education. A further lockdown in </w:t>
      </w:r>
      <w:r w:rsidRPr="000314C2">
        <w:rPr>
          <w:color w:val="53565A" w:themeColor="accent2"/>
          <w:sz w:val="18"/>
          <w:szCs w:val="18"/>
        </w:rPr>
        <w:lastRenderedPageBreak/>
        <w:t>Victoria and stage three restrictions were reintroduced from 8 July 2020 across metropolitan Melbourne and the Mitchell Shire. On 2 August 2020 Victoria entered a State of Disaster and metropolitan Melbourne moved to stage four restrictions. Mitchell Shire remain</w:t>
      </w:r>
      <w:r w:rsidR="00E31099">
        <w:rPr>
          <w:color w:val="53565A" w:themeColor="accent2"/>
          <w:sz w:val="18"/>
          <w:szCs w:val="18"/>
        </w:rPr>
        <w:t>ed</w:t>
      </w:r>
      <w:r w:rsidRPr="000314C2">
        <w:rPr>
          <w:color w:val="53565A" w:themeColor="accent2"/>
          <w:sz w:val="18"/>
          <w:szCs w:val="18"/>
        </w:rPr>
        <w:t xml:space="preserve"> at stage three restrictions and from 5 August 2020 all other regional Victorian locations also moved to stage three restrictions. The situation continues to evolve.</w:t>
      </w:r>
    </w:p>
    <w:p w14:paraId="4D182A36"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Across Victoria, there have been mandated closures of key community facilities including libraries and museums, sport and recreation centres, child and family day care, senior citizen centres and leisure and arts facilities. Many critical community services (e.g. maternal and child health, environmental health, home-based community care) are affected but continue to operate. The economic impact of COVID-19 on Victorian councils is expected to affect both FY 2019-20 and FY 2020-21. Facility closures have reduced revenue streams such as user fees and associated staff stand downs have impacted employment costs. The full effect of COVID-19 on council finances for FY 2020-21 remains uncertain. </w:t>
      </w:r>
    </w:p>
    <w:p w14:paraId="56E01630" w14:textId="668E6A2E" w:rsidR="000314C2" w:rsidRPr="00DB0DED" w:rsidRDefault="000314C2" w:rsidP="000314C2">
      <w:pPr>
        <w:pStyle w:val="Heading2"/>
      </w:pPr>
      <w:bookmarkStart w:id="9" w:name="_Toc75534481"/>
      <w:r>
        <w:rPr>
          <w:color w:val="100249" w:themeColor="accent4"/>
        </w:rPr>
        <w:t>Financial sustainability of Victorian councils pre-pandemic</w:t>
      </w:r>
      <w:bookmarkEnd w:id="9"/>
    </w:p>
    <w:p w14:paraId="09BF1F92"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The finances of Victorian councils prior to COVID-19 were generally considered to be sound. </w:t>
      </w:r>
    </w:p>
    <w:p w14:paraId="042AE95A"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VAGO tabled their report titled “Results of 2018-19 Audits: Local Government” in Parliament in November 2019. The report summarised the results of VAGO’s 2018-19 audits and included an assessment of all councils against a suite of 7 financial sustainability indicators. VAGO concluded that generally, Victorian councils continue to be financially sound. The report stated,</w:t>
      </w:r>
    </w:p>
    <w:p w14:paraId="7D46D5D8"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“At 30 June 2019, most councils – particularly metropolitan councils – continue to demonstrate strong financial performance, positive operating results, strong liquidity ratios and low debt levels. While the sector demonstrates relatively weaker long-term financial sustainability, the relevant indicators still represent a strong financial position.”</w:t>
      </w:r>
      <w:r w:rsidRPr="000314C2">
        <w:rPr>
          <w:rStyle w:val="FootnoteReference"/>
          <w:color w:val="53565A" w:themeColor="accent2"/>
          <w:sz w:val="18"/>
          <w:szCs w:val="18"/>
        </w:rPr>
        <w:footnoteReference w:id="6"/>
      </w:r>
    </w:p>
    <w:p w14:paraId="2186A97F"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The financial performance and position of individual councils varies considerably across the State.  Rural shires continue to face financial sustainability challenges as a consequence of responsibility for maintaining relatively large road networks, static or declining populations and the impacts of distance and dispersion on service delivery costs.</w:t>
      </w:r>
    </w:p>
    <w:p w14:paraId="6170C97A" w14:textId="10D2EB91" w:rsidR="00C41BE2" w:rsidRPr="00DB0DED" w:rsidRDefault="00C41BE2" w:rsidP="00C41BE2">
      <w:pPr>
        <w:pStyle w:val="Heading2"/>
      </w:pPr>
      <w:bookmarkStart w:id="10" w:name="_Toc75534482"/>
      <w:bookmarkStart w:id="11" w:name="_Toc314822267"/>
      <w:bookmarkEnd w:id="3"/>
      <w:bookmarkEnd w:id="4"/>
      <w:bookmarkEnd w:id="5"/>
      <w:r>
        <w:rPr>
          <w:color w:val="100249" w:themeColor="accent4"/>
        </w:rPr>
        <w:t>Budget Analysis</w:t>
      </w:r>
      <w:bookmarkEnd w:id="10"/>
    </w:p>
    <w:p w14:paraId="7293F0F5" w14:textId="4BCDF61E" w:rsidR="00C41BE2" w:rsidRDefault="00C41BE2" w:rsidP="000314C2">
      <w:pPr>
        <w:pStyle w:val="BodyText"/>
        <w:rPr>
          <w:color w:val="53565A" w:themeColor="accent2"/>
          <w:sz w:val="18"/>
          <w:szCs w:val="18"/>
        </w:rPr>
      </w:pPr>
      <w:r w:rsidRPr="000314C2">
        <w:rPr>
          <w:color w:val="53565A" w:themeColor="accent2"/>
          <w:sz w:val="18"/>
          <w:szCs w:val="18"/>
        </w:rPr>
        <w:t>Th</w:t>
      </w:r>
      <w:r w:rsidR="00EF4905">
        <w:rPr>
          <w:color w:val="53565A" w:themeColor="accent2"/>
          <w:sz w:val="18"/>
          <w:szCs w:val="18"/>
        </w:rPr>
        <w:t>e</w:t>
      </w:r>
      <w:r w:rsidRPr="000314C2">
        <w:rPr>
          <w:color w:val="53565A" w:themeColor="accent2"/>
          <w:sz w:val="18"/>
          <w:szCs w:val="18"/>
        </w:rPr>
        <w:t xml:space="preserve"> section</w:t>
      </w:r>
      <w:r w:rsidR="00EC38D2">
        <w:rPr>
          <w:color w:val="53565A" w:themeColor="accent2"/>
          <w:sz w:val="18"/>
          <w:szCs w:val="18"/>
        </w:rPr>
        <w:t>s</w:t>
      </w:r>
      <w:r w:rsidR="00EF4905">
        <w:rPr>
          <w:color w:val="53565A" w:themeColor="accent2"/>
          <w:sz w:val="18"/>
          <w:szCs w:val="18"/>
        </w:rPr>
        <w:t xml:space="preserve"> below</w:t>
      </w:r>
      <w:r w:rsidRPr="000314C2">
        <w:rPr>
          <w:color w:val="53565A" w:themeColor="accent2"/>
          <w:sz w:val="18"/>
          <w:szCs w:val="18"/>
        </w:rPr>
        <w:t xml:space="preserve"> present commentary on and analysis of the planned revenue, expenditure, cash and financial assets, debt and capital works included in the financial statements of council 2020-21 </w:t>
      </w:r>
      <w:r w:rsidR="00EA1BDF">
        <w:rPr>
          <w:color w:val="53565A" w:themeColor="accent2"/>
          <w:sz w:val="18"/>
          <w:szCs w:val="18"/>
        </w:rPr>
        <w:t>adopted</w:t>
      </w:r>
      <w:r w:rsidRPr="000314C2">
        <w:rPr>
          <w:color w:val="53565A" w:themeColor="accent2"/>
          <w:sz w:val="18"/>
          <w:szCs w:val="18"/>
        </w:rPr>
        <w:t xml:space="preserve"> budgets</w:t>
      </w:r>
      <w:r w:rsidR="00D94429">
        <w:rPr>
          <w:color w:val="53565A" w:themeColor="accent2"/>
          <w:sz w:val="18"/>
          <w:szCs w:val="18"/>
        </w:rPr>
        <w:t>.</w:t>
      </w:r>
    </w:p>
    <w:p w14:paraId="52FEF415" w14:textId="6898E472" w:rsidR="000314C2" w:rsidRPr="00DB0DED" w:rsidRDefault="000314C2" w:rsidP="000314C2">
      <w:pPr>
        <w:pStyle w:val="Heading1"/>
        <w:ind w:left="431" w:hanging="431"/>
      </w:pPr>
      <w:bookmarkStart w:id="12" w:name="_Toc75534483"/>
      <w:r>
        <w:lastRenderedPageBreak/>
        <w:t>Revenue</w:t>
      </w:r>
      <w:bookmarkEnd w:id="12"/>
    </w:p>
    <w:p w14:paraId="0BF917E0" w14:textId="060DF0D8" w:rsidR="000314C2" w:rsidRPr="000314C2" w:rsidRDefault="000314C2" w:rsidP="000314C2">
      <w:pPr>
        <w:pStyle w:val="BodyText"/>
        <w:rPr>
          <w:color w:val="53565A" w:themeColor="accent2"/>
          <w:sz w:val="18"/>
          <w:szCs w:val="18"/>
        </w:rPr>
      </w:pPr>
      <w:r w:rsidRPr="000314C2">
        <w:rPr>
          <w:color w:val="53565A" w:themeColor="accent2"/>
          <w:sz w:val="18"/>
          <w:szCs w:val="18"/>
        </w:rPr>
        <w:t>Councils in aggregate are budgeting for total revenue of $10.9</w:t>
      </w:r>
      <w:r w:rsidR="00F757B6">
        <w:rPr>
          <w:color w:val="53565A" w:themeColor="accent2"/>
          <w:sz w:val="18"/>
          <w:szCs w:val="18"/>
        </w:rPr>
        <w:t>6</w:t>
      </w:r>
      <w:r w:rsidRPr="000314C2">
        <w:rPr>
          <w:color w:val="53565A" w:themeColor="accent2"/>
          <w:sz w:val="18"/>
          <w:szCs w:val="18"/>
        </w:rPr>
        <w:t xml:space="preserve"> billion ($10.71 billion in 2019-20). The composition of this total budgeted revenue is shown in </w:t>
      </w:r>
      <w:r w:rsidRPr="000314C2">
        <w:rPr>
          <w:b/>
          <w:i/>
          <w:color w:val="53565A" w:themeColor="accent2"/>
          <w:sz w:val="18"/>
          <w:szCs w:val="18"/>
        </w:rPr>
        <w:t>Figure 1</w:t>
      </w:r>
      <w:r w:rsidRPr="000314C2">
        <w:rPr>
          <w:color w:val="53565A" w:themeColor="accent2"/>
          <w:sz w:val="18"/>
          <w:szCs w:val="18"/>
        </w:rPr>
        <w:t>. The largest revenue items are rates and charges with $6.4</w:t>
      </w:r>
      <w:r w:rsidR="003B7139">
        <w:rPr>
          <w:color w:val="53565A" w:themeColor="accent2"/>
          <w:sz w:val="18"/>
          <w:szCs w:val="18"/>
        </w:rPr>
        <w:t>5</w:t>
      </w:r>
      <w:r w:rsidRPr="000314C2">
        <w:rPr>
          <w:color w:val="53565A" w:themeColor="accent2"/>
          <w:sz w:val="18"/>
          <w:szCs w:val="18"/>
        </w:rPr>
        <w:t xml:space="preserve"> billion ($6.26 billion in FY 20</w:t>
      </w:r>
      <w:r w:rsidR="00A2153D">
        <w:rPr>
          <w:color w:val="53565A" w:themeColor="accent2"/>
          <w:sz w:val="18"/>
          <w:szCs w:val="18"/>
        </w:rPr>
        <w:t>19</w:t>
      </w:r>
      <w:r w:rsidRPr="000314C2">
        <w:rPr>
          <w:color w:val="53565A" w:themeColor="accent2"/>
          <w:sz w:val="18"/>
          <w:szCs w:val="18"/>
        </w:rPr>
        <w:t>-</w:t>
      </w:r>
      <w:r w:rsidR="00A2153D">
        <w:rPr>
          <w:color w:val="53565A" w:themeColor="accent2"/>
          <w:sz w:val="18"/>
          <w:szCs w:val="18"/>
        </w:rPr>
        <w:t>20</w:t>
      </w:r>
      <w:r w:rsidRPr="000314C2">
        <w:rPr>
          <w:color w:val="53565A" w:themeColor="accent2"/>
          <w:sz w:val="18"/>
          <w:szCs w:val="18"/>
        </w:rPr>
        <w:t xml:space="preserve"> adopted budgets) representing 5</w:t>
      </w:r>
      <w:r w:rsidR="009220F8">
        <w:rPr>
          <w:color w:val="53565A" w:themeColor="accent2"/>
          <w:sz w:val="18"/>
          <w:szCs w:val="18"/>
        </w:rPr>
        <w:t>8</w:t>
      </w:r>
      <w:r w:rsidRPr="000314C2">
        <w:rPr>
          <w:color w:val="53565A" w:themeColor="accent2"/>
          <w:sz w:val="18"/>
          <w:szCs w:val="18"/>
        </w:rPr>
        <w:t>.</w:t>
      </w:r>
      <w:r w:rsidR="009220F8">
        <w:rPr>
          <w:color w:val="53565A" w:themeColor="accent2"/>
          <w:sz w:val="18"/>
          <w:szCs w:val="18"/>
        </w:rPr>
        <w:t>9</w:t>
      </w:r>
      <w:r w:rsidRPr="000314C2">
        <w:rPr>
          <w:color w:val="53565A" w:themeColor="accent2"/>
          <w:sz w:val="18"/>
          <w:szCs w:val="18"/>
        </w:rPr>
        <w:t>% of overall 2020-21 budgeted revenue. Grants of $1.</w:t>
      </w:r>
      <w:r w:rsidR="003F7DAE">
        <w:rPr>
          <w:color w:val="53565A" w:themeColor="accent2"/>
          <w:sz w:val="18"/>
          <w:szCs w:val="18"/>
        </w:rPr>
        <w:t>82</w:t>
      </w:r>
      <w:r w:rsidRPr="000314C2">
        <w:rPr>
          <w:color w:val="53565A" w:themeColor="accent2"/>
          <w:sz w:val="18"/>
          <w:szCs w:val="18"/>
        </w:rPr>
        <w:t xml:space="preserve"> billion ($1.66 billion in FY 2019-20 adopted budgets) represent 1</w:t>
      </w:r>
      <w:r w:rsidR="003F7DAE">
        <w:rPr>
          <w:color w:val="53565A" w:themeColor="accent2"/>
          <w:sz w:val="18"/>
          <w:szCs w:val="18"/>
        </w:rPr>
        <w:t>6</w:t>
      </w:r>
      <w:r w:rsidRPr="000314C2">
        <w:rPr>
          <w:color w:val="53565A" w:themeColor="accent2"/>
          <w:sz w:val="18"/>
          <w:szCs w:val="18"/>
        </w:rPr>
        <w:t>.</w:t>
      </w:r>
      <w:r w:rsidR="00E45030">
        <w:rPr>
          <w:color w:val="53565A" w:themeColor="accent2"/>
          <w:sz w:val="18"/>
          <w:szCs w:val="18"/>
        </w:rPr>
        <w:t>6</w:t>
      </w:r>
      <w:r w:rsidRPr="000314C2">
        <w:rPr>
          <w:color w:val="53565A" w:themeColor="accent2"/>
          <w:sz w:val="18"/>
          <w:szCs w:val="18"/>
        </w:rPr>
        <w:t>% of annual budgeted revenue. User fees and contributions are also key sources of revenue for councils, accounting for 7.</w:t>
      </w:r>
      <w:r w:rsidR="002C7AED">
        <w:rPr>
          <w:color w:val="53565A" w:themeColor="accent2"/>
          <w:sz w:val="18"/>
          <w:szCs w:val="18"/>
        </w:rPr>
        <w:t>6</w:t>
      </w:r>
      <w:r w:rsidRPr="000314C2">
        <w:rPr>
          <w:color w:val="53565A" w:themeColor="accent2"/>
          <w:sz w:val="18"/>
          <w:szCs w:val="18"/>
        </w:rPr>
        <w:t>% and 11.</w:t>
      </w:r>
      <w:r w:rsidR="00756914">
        <w:rPr>
          <w:color w:val="53565A" w:themeColor="accent2"/>
          <w:sz w:val="18"/>
          <w:szCs w:val="18"/>
        </w:rPr>
        <w:t>6</w:t>
      </w:r>
      <w:r w:rsidRPr="000314C2">
        <w:rPr>
          <w:color w:val="53565A" w:themeColor="accent2"/>
          <w:sz w:val="18"/>
          <w:szCs w:val="18"/>
        </w:rPr>
        <w:t xml:space="preserve">% of forecast total revenue, respectively. </w:t>
      </w:r>
    </w:p>
    <w:p w14:paraId="6E15B2F4" w14:textId="369F408B" w:rsidR="000314C2" w:rsidRDefault="000314C2" w:rsidP="000314C2">
      <w:pPr>
        <w:pStyle w:val="Caption"/>
        <w:spacing w:after="60"/>
        <w:rPr>
          <w:b/>
          <w:bCs/>
          <w:i w:val="0"/>
          <w:iCs w:val="0"/>
        </w:rPr>
      </w:pPr>
      <w:r w:rsidRPr="007F133D">
        <w:rPr>
          <w:b/>
          <w:bCs/>
          <w:i w:val="0"/>
          <w:iCs w:val="0"/>
        </w:rPr>
        <w:t xml:space="preserve">Figure </w:t>
      </w:r>
      <w:r w:rsidRPr="007F133D">
        <w:rPr>
          <w:b/>
          <w:bCs/>
          <w:i w:val="0"/>
          <w:iCs w:val="0"/>
        </w:rPr>
        <w:fldChar w:fldCharType="begin"/>
      </w:r>
      <w:r w:rsidRPr="007F133D">
        <w:rPr>
          <w:b/>
          <w:bCs/>
          <w:i w:val="0"/>
          <w:iCs w:val="0"/>
        </w:rPr>
        <w:instrText xml:space="preserve"> SEQ Figure \* ARABIC </w:instrText>
      </w:r>
      <w:r w:rsidRPr="007F133D">
        <w:rPr>
          <w:b/>
          <w:bCs/>
          <w:i w:val="0"/>
          <w:iCs w:val="0"/>
        </w:rPr>
        <w:fldChar w:fldCharType="separate"/>
      </w:r>
      <w:r>
        <w:rPr>
          <w:b/>
          <w:bCs/>
          <w:i w:val="0"/>
          <w:iCs w:val="0"/>
          <w:noProof/>
        </w:rPr>
        <w:t>1</w:t>
      </w:r>
      <w:r w:rsidRPr="007F133D">
        <w:rPr>
          <w:b/>
          <w:bCs/>
          <w:i w:val="0"/>
          <w:iCs w:val="0"/>
        </w:rPr>
        <w:fldChar w:fldCharType="end"/>
      </w:r>
      <w:r w:rsidRPr="007F133D">
        <w:rPr>
          <w:b/>
          <w:bCs/>
          <w:i w:val="0"/>
          <w:iCs w:val="0"/>
        </w:rPr>
        <w:t xml:space="preserve"> Composition of total 2020-21 budgeted revenue</w:t>
      </w:r>
    </w:p>
    <w:p w14:paraId="167BE2A6" w14:textId="26A40E17" w:rsidR="002C7AED" w:rsidRPr="002C7AED" w:rsidRDefault="002C7AED" w:rsidP="002C7AED">
      <w:r>
        <w:rPr>
          <w:noProof/>
        </w:rPr>
        <w:drawing>
          <wp:inline distT="0" distB="0" distL="0" distR="0" wp14:anchorId="7EBD602B" wp14:editId="1AD18FD1">
            <wp:extent cx="5760085" cy="2794000"/>
            <wp:effectExtent l="0" t="0" r="12065" b="6350"/>
            <wp:docPr id="111" name="Chart 111">
              <a:extLst xmlns:a="http://schemas.openxmlformats.org/drawingml/2006/main">
                <a:ext uri="{FF2B5EF4-FFF2-40B4-BE49-F238E27FC236}">
                  <a16:creationId xmlns:a16="http://schemas.microsoft.com/office/drawing/2014/main" id="{5B5DDF5F-5169-455C-9834-F77D529894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9C7B3C" w14:textId="2307E93F" w:rsidR="000314C2" w:rsidRPr="00836333" w:rsidRDefault="000314C2" w:rsidP="000314C2">
      <w:pPr>
        <w:pStyle w:val="BodyText"/>
        <w:spacing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w:t>
      </w:r>
    </w:p>
    <w:p w14:paraId="23306E70" w14:textId="3BDD2067" w:rsidR="000314C2" w:rsidRPr="000314C2" w:rsidRDefault="000314C2" w:rsidP="000314C2">
      <w:pPr>
        <w:pStyle w:val="BodyText"/>
        <w:rPr>
          <w:color w:val="FFFFFF" w:themeColor="background1"/>
          <w:sz w:val="18"/>
          <w:szCs w:val="18"/>
        </w:rPr>
      </w:pPr>
      <w:r w:rsidRPr="000314C2">
        <w:rPr>
          <w:color w:val="53565A" w:themeColor="accent2"/>
          <w:sz w:val="18"/>
          <w:szCs w:val="18"/>
        </w:rPr>
        <w:t xml:space="preserve">The composition of total revenue varies significantly between cohorts, as shown in </w:t>
      </w:r>
      <w:r w:rsidRPr="000314C2">
        <w:rPr>
          <w:b/>
          <w:i/>
          <w:color w:val="53565A" w:themeColor="accent2"/>
          <w:sz w:val="18"/>
          <w:szCs w:val="18"/>
        </w:rPr>
        <w:t>Figure 2</w:t>
      </w:r>
      <w:r w:rsidRPr="000314C2">
        <w:rPr>
          <w:color w:val="53565A" w:themeColor="accent2"/>
          <w:sz w:val="18"/>
          <w:szCs w:val="18"/>
        </w:rPr>
        <w:t>. Small rural councils have a greater dependency on government grants (</w:t>
      </w:r>
      <w:r w:rsidR="004E009B">
        <w:rPr>
          <w:color w:val="53565A" w:themeColor="accent2"/>
          <w:sz w:val="18"/>
          <w:szCs w:val="18"/>
        </w:rPr>
        <w:t>39</w:t>
      </w:r>
      <w:r w:rsidRPr="000314C2">
        <w:rPr>
          <w:color w:val="53565A" w:themeColor="accent2"/>
          <w:sz w:val="18"/>
          <w:szCs w:val="18"/>
        </w:rPr>
        <w:t>% of total revenue) whilst rates and charges represent 5</w:t>
      </w:r>
      <w:r w:rsidR="009D3D1E">
        <w:rPr>
          <w:color w:val="53565A" w:themeColor="accent2"/>
          <w:sz w:val="18"/>
          <w:szCs w:val="18"/>
        </w:rPr>
        <w:t>1</w:t>
      </w:r>
      <w:r w:rsidRPr="000314C2">
        <w:rPr>
          <w:color w:val="53565A" w:themeColor="accent2"/>
          <w:sz w:val="18"/>
          <w:szCs w:val="18"/>
        </w:rPr>
        <w:t>% of total revenue. This reflects the fewer revenue raising options for small rural councils and their significant dependence upon external grant funding.</w:t>
      </w:r>
    </w:p>
    <w:p w14:paraId="140976A9" w14:textId="77777777" w:rsidR="000314C2" w:rsidRDefault="000314C2" w:rsidP="000314C2">
      <w:pPr>
        <w:pStyle w:val="Caption"/>
        <w:spacing w:after="60"/>
        <w:rPr>
          <w:b/>
          <w:bCs/>
          <w:i w:val="0"/>
          <w:iCs w:val="0"/>
        </w:rPr>
      </w:pPr>
      <w:bookmarkStart w:id="13" w:name="_Hlk48048688"/>
      <w:r w:rsidRPr="007F133D">
        <w:rPr>
          <w:b/>
          <w:bCs/>
          <w:i w:val="0"/>
          <w:iCs w:val="0"/>
        </w:rPr>
        <w:t xml:space="preserve">Figure </w:t>
      </w:r>
      <w:r w:rsidRPr="007F133D">
        <w:rPr>
          <w:b/>
          <w:bCs/>
          <w:i w:val="0"/>
          <w:iCs w:val="0"/>
        </w:rPr>
        <w:fldChar w:fldCharType="begin"/>
      </w:r>
      <w:r w:rsidRPr="007F133D">
        <w:rPr>
          <w:b/>
          <w:bCs/>
          <w:i w:val="0"/>
          <w:iCs w:val="0"/>
        </w:rPr>
        <w:instrText xml:space="preserve"> SEQ Figure \* ARABIC </w:instrText>
      </w:r>
      <w:r w:rsidRPr="007F133D">
        <w:rPr>
          <w:b/>
          <w:bCs/>
          <w:i w:val="0"/>
          <w:iCs w:val="0"/>
        </w:rPr>
        <w:fldChar w:fldCharType="separate"/>
      </w:r>
      <w:r>
        <w:rPr>
          <w:b/>
          <w:bCs/>
          <w:i w:val="0"/>
          <w:iCs w:val="0"/>
          <w:noProof/>
        </w:rPr>
        <w:t>2</w:t>
      </w:r>
      <w:r w:rsidRPr="007F133D">
        <w:rPr>
          <w:b/>
          <w:bCs/>
          <w:i w:val="0"/>
          <w:iCs w:val="0"/>
        </w:rPr>
        <w:fldChar w:fldCharType="end"/>
      </w:r>
      <w:r w:rsidRPr="007F133D">
        <w:rPr>
          <w:b/>
          <w:bCs/>
          <w:i w:val="0"/>
          <w:iCs w:val="0"/>
        </w:rPr>
        <w:t xml:space="preserve"> Composition of aggregated </w:t>
      </w:r>
      <w:r>
        <w:rPr>
          <w:b/>
          <w:bCs/>
          <w:i w:val="0"/>
          <w:iCs w:val="0"/>
        </w:rPr>
        <w:t>c</w:t>
      </w:r>
      <w:r w:rsidRPr="007F133D">
        <w:rPr>
          <w:b/>
          <w:bCs/>
          <w:i w:val="0"/>
          <w:iCs w:val="0"/>
        </w:rPr>
        <w:t xml:space="preserve">ouncil </w:t>
      </w:r>
      <w:r>
        <w:rPr>
          <w:b/>
          <w:bCs/>
          <w:i w:val="0"/>
          <w:iCs w:val="0"/>
        </w:rPr>
        <w:t>b</w:t>
      </w:r>
      <w:r w:rsidRPr="007F133D">
        <w:rPr>
          <w:b/>
          <w:bCs/>
          <w:i w:val="0"/>
          <w:iCs w:val="0"/>
        </w:rPr>
        <w:t xml:space="preserve">udgeted </w:t>
      </w:r>
      <w:r>
        <w:rPr>
          <w:b/>
          <w:bCs/>
          <w:i w:val="0"/>
          <w:iCs w:val="0"/>
        </w:rPr>
        <w:t>r</w:t>
      </w:r>
      <w:r w:rsidRPr="007F133D">
        <w:rPr>
          <w:b/>
          <w:bCs/>
          <w:i w:val="0"/>
          <w:iCs w:val="0"/>
        </w:rPr>
        <w:t xml:space="preserve">evenue by </w:t>
      </w:r>
      <w:r>
        <w:rPr>
          <w:b/>
          <w:bCs/>
          <w:i w:val="0"/>
          <w:iCs w:val="0"/>
        </w:rPr>
        <w:t>c</w:t>
      </w:r>
      <w:r w:rsidRPr="007F133D">
        <w:rPr>
          <w:b/>
          <w:bCs/>
          <w:i w:val="0"/>
          <w:iCs w:val="0"/>
        </w:rPr>
        <w:t>ohort, 2020-21</w:t>
      </w:r>
    </w:p>
    <w:p w14:paraId="4A19FF2B" w14:textId="21974A34" w:rsidR="009D3D1E" w:rsidRPr="009D3D1E" w:rsidRDefault="009D3D1E" w:rsidP="009D3D1E">
      <w:r>
        <w:rPr>
          <w:noProof/>
        </w:rPr>
        <w:drawing>
          <wp:inline distT="0" distB="0" distL="0" distR="0" wp14:anchorId="44066CE1" wp14:editId="0837374D">
            <wp:extent cx="5760085" cy="2228850"/>
            <wp:effectExtent l="0" t="0" r="12065" b="0"/>
            <wp:docPr id="112" name="Chart 112">
              <a:extLst xmlns:a="http://schemas.openxmlformats.org/drawingml/2006/main">
                <a:ext uri="{FF2B5EF4-FFF2-40B4-BE49-F238E27FC236}">
                  <a16:creationId xmlns:a16="http://schemas.microsoft.com/office/drawing/2014/main" id="{ABF10F7E-E51D-42A1-A849-D7978F81F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5F034A" w14:textId="6B933CA0" w:rsidR="000314C2" w:rsidRPr="00836333" w:rsidRDefault="000314C2" w:rsidP="000314C2">
      <w:pPr>
        <w:pStyle w:val="BodyText"/>
        <w:spacing w:line="240" w:lineRule="auto"/>
        <w:rPr>
          <w:sz w:val="16"/>
          <w:szCs w:val="16"/>
        </w:rPr>
      </w:pPr>
      <w:bookmarkStart w:id="14" w:name="_Hlk48048636"/>
      <w:bookmarkEnd w:id="13"/>
      <w:r w:rsidRPr="00836333">
        <w:rPr>
          <w:sz w:val="16"/>
          <w:szCs w:val="16"/>
        </w:rPr>
        <w:t xml:space="preserve">Source: 2020-21 </w:t>
      </w:r>
      <w:r w:rsidR="00EA1BDF">
        <w:rPr>
          <w:sz w:val="16"/>
          <w:szCs w:val="16"/>
        </w:rPr>
        <w:t>adopted</w:t>
      </w:r>
      <w:r w:rsidRPr="00836333">
        <w:rPr>
          <w:sz w:val="16"/>
          <w:szCs w:val="16"/>
        </w:rPr>
        <w:t xml:space="preserve"> budgets</w:t>
      </w:r>
    </w:p>
    <w:bookmarkEnd w:id="14"/>
    <w:p w14:paraId="720E1295" w14:textId="51E299A0"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Interface councils are </w:t>
      </w:r>
      <w:r w:rsidR="00005FC3">
        <w:rPr>
          <w:color w:val="53565A" w:themeColor="accent2"/>
          <w:sz w:val="18"/>
          <w:szCs w:val="18"/>
        </w:rPr>
        <w:t xml:space="preserve">the </w:t>
      </w:r>
      <w:r w:rsidRPr="000314C2">
        <w:rPr>
          <w:color w:val="53565A" w:themeColor="accent2"/>
          <w:sz w:val="18"/>
          <w:szCs w:val="18"/>
        </w:rPr>
        <w:t xml:space="preserve">recipients of significant developer contributions </w:t>
      </w:r>
      <w:r w:rsidR="00F173A4">
        <w:rPr>
          <w:color w:val="53565A" w:themeColor="accent2"/>
          <w:sz w:val="18"/>
          <w:szCs w:val="18"/>
        </w:rPr>
        <w:t>representing</w:t>
      </w:r>
      <w:r w:rsidRPr="000314C2">
        <w:rPr>
          <w:color w:val="53565A" w:themeColor="accent2"/>
          <w:sz w:val="18"/>
          <w:szCs w:val="18"/>
        </w:rPr>
        <w:t xml:space="preserve"> 28% of total revenue (both monetary and gifted assets) and also receive 13% of total revenue by way of government grants. General rates and charges contribute 49% of the total revenue in this cohort.</w:t>
      </w:r>
    </w:p>
    <w:p w14:paraId="20EBE321" w14:textId="77777777" w:rsidR="000314C2" w:rsidRPr="000314C2" w:rsidRDefault="000314C2" w:rsidP="000314C2">
      <w:pPr>
        <w:pStyle w:val="BodyText"/>
        <w:rPr>
          <w:color w:val="53565A" w:themeColor="accent2"/>
          <w:sz w:val="18"/>
          <w:szCs w:val="18"/>
        </w:rPr>
      </w:pPr>
      <w:r w:rsidRPr="000314C2">
        <w:rPr>
          <w:b/>
          <w:iCs/>
          <w:color w:val="53565A" w:themeColor="accent2"/>
          <w:sz w:val="18"/>
          <w:szCs w:val="18"/>
        </w:rPr>
        <w:lastRenderedPageBreak/>
        <w:t>Figure 2</w:t>
      </w:r>
      <w:r w:rsidRPr="000314C2">
        <w:rPr>
          <w:color w:val="53565A" w:themeColor="accent2"/>
          <w:sz w:val="18"/>
          <w:szCs w:val="18"/>
        </w:rPr>
        <w:t xml:space="preserve"> shows that 69% of metropolitan council revenue is raised through rates and charges. The proportion of revenue raised by rates and charges for all other cohorts is lower. Across all five cohorts at least half of total revenue is generated through their own-source revenue (OSR) streams of rates and charges, statutory fees and fines and user fees.</w:t>
      </w:r>
    </w:p>
    <w:p w14:paraId="14752C5A" w14:textId="754A15D6" w:rsidR="000314C2" w:rsidRPr="000314C2" w:rsidRDefault="000314C2" w:rsidP="000314C2">
      <w:pPr>
        <w:pStyle w:val="BodyText"/>
        <w:rPr>
          <w:color w:val="53565A" w:themeColor="accent2"/>
          <w:sz w:val="18"/>
          <w:szCs w:val="18"/>
        </w:rPr>
      </w:pPr>
      <w:r w:rsidRPr="000314C2">
        <w:rPr>
          <w:color w:val="53565A" w:themeColor="accent2"/>
          <w:sz w:val="18"/>
          <w:szCs w:val="18"/>
        </w:rPr>
        <w:t>Council OSR has been negatively impacted by COVID-19, particularly in metropolitan councils. Total budgeted revenue from statutory fees and fines and user fees in FY 2020-21 is $1.2</w:t>
      </w:r>
      <w:r w:rsidR="003169BE">
        <w:rPr>
          <w:color w:val="53565A" w:themeColor="accent2"/>
          <w:sz w:val="18"/>
          <w:szCs w:val="18"/>
        </w:rPr>
        <w:t>2</w:t>
      </w:r>
      <w:r w:rsidRPr="000314C2">
        <w:rPr>
          <w:color w:val="53565A" w:themeColor="accent2"/>
          <w:sz w:val="18"/>
          <w:szCs w:val="18"/>
        </w:rPr>
        <w:t xml:space="preserve"> billion ($1.45 billion in FY 2019-20) which is a reduction of $</w:t>
      </w:r>
      <w:r w:rsidR="000F6D12">
        <w:rPr>
          <w:color w:val="53565A" w:themeColor="accent2"/>
          <w:sz w:val="18"/>
          <w:szCs w:val="18"/>
        </w:rPr>
        <w:t>23</w:t>
      </w:r>
      <w:r w:rsidR="000107D8">
        <w:rPr>
          <w:color w:val="53565A" w:themeColor="accent2"/>
          <w:sz w:val="18"/>
          <w:szCs w:val="18"/>
        </w:rPr>
        <w:t>8.9</w:t>
      </w:r>
      <w:r w:rsidRPr="000314C2">
        <w:rPr>
          <w:color w:val="53565A" w:themeColor="accent2"/>
          <w:sz w:val="18"/>
          <w:szCs w:val="18"/>
        </w:rPr>
        <w:t xml:space="preserve"> million or 1</w:t>
      </w:r>
      <w:r w:rsidR="008F6E95">
        <w:rPr>
          <w:color w:val="53565A" w:themeColor="accent2"/>
          <w:sz w:val="18"/>
          <w:szCs w:val="18"/>
        </w:rPr>
        <w:t>6.4</w:t>
      </w:r>
      <w:r w:rsidR="000107D8">
        <w:rPr>
          <w:color w:val="53565A" w:themeColor="accent2"/>
          <w:sz w:val="18"/>
          <w:szCs w:val="18"/>
        </w:rPr>
        <w:t>2</w:t>
      </w:r>
      <w:r w:rsidRPr="000314C2">
        <w:rPr>
          <w:color w:val="53565A" w:themeColor="accent2"/>
          <w:sz w:val="18"/>
          <w:szCs w:val="18"/>
        </w:rPr>
        <w:t xml:space="preserve">%. </w:t>
      </w:r>
    </w:p>
    <w:p w14:paraId="6E33377C" w14:textId="629C3BD6" w:rsidR="000314C2" w:rsidRPr="000314C2" w:rsidRDefault="000314C2" w:rsidP="000314C2">
      <w:pPr>
        <w:pStyle w:val="BodyText"/>
        <w:rPr>
          <w:color w:val="53565A" w:themeColor="accent2"/>
          <w:sz w:val="18"/>
          <w:szCs w:val="18"/>
        </w:rPr>
      </w:pPr>
      <w:r w:rsidRPr="003F6411">
        <w:rPr>
          <w:b/>
          <w:bCs/>
          <w:color w:val="53565A" w:themeColor="accent2"/>
          <w:sz w:val="18"/>
          <w:szCs w:val="18"/>
        </w:rPr>
        <w:t>Figure 2</w:t>
      </w:r>
      <w:r w:rsidRPr="000314C2">
        <w:rPr>
          <w:color w:val="53565A" w:themeColor="accent2"/>
          <w:sz w:val="18"/>
          <w:szCs w:val="18"/>
        </w:rPr>
        <w:t xml:space="preserve"> </w:t>
      </w:r>
      <w:r w:rsidR="006C26AC">
        <w:rPr>
          <w:color w:val="53565A" w:themeColor="accent2"/>
          <w:sz w:val="18"/>
          <w:szCs w:val="18"/>
        </w:rPr>
        <w:t xml:space="preserve">also </w:t>
      </w:r>
      <w:r w:rsidRPr="000314C2">
        <w:rPr>
          <w:color w:val="53565A" w:themeColor="accent2"/>
          <w:sz w:val="18"/>
          <w:szCs w:val="18"/>
        </w:rPr>
        <w:t xml:space="preserve">shows the extent of reliance on revenue from user fees and statutory fees and fines in the metropolitan cohort (14%), regional cities (12%) and large shires (10%). Small shires (6%) and interface councils (8%) are relatively less reliant on these revenue streams.  </w:t>
      </w:r>
    </w:p>
    <w:p w14:paraId="3DE47221" w14:textId="2D98D6C5" w:rsidR="000314C2" w:rsidRPr="000314C2" w:rsidRDefault="000314C2" w:rsidP="000314C2">
      <w:pPr>
        <w:pStyle w:val="BodyText"/>
        <w:rPr>
          <w:color w:val="53565A" w:themeColor="accent2"/>
          <w:sz w:val="18"/>
          <w:szCs w:val="18"/>
        </w:rPr>
      </w:pPr>
      <w:r w:rsidRPr="000314C2">
        <w:rPr>
          <w:b/>
          <w:bCs/>
          <w:color w:val="53565A" w:themeColor="accent2"/>
          <w:sz w:val="18"/>
          <w:szCs w:val="18"/>
        </w:rPr>
        <w:t>Figure 3</w:t>
      </w:r>
      <w:r w:rsidRPr="000314C2">
        <w:rPr>
          <w:color w:val="53565A" w:themeColor="accent2"/>
          <w:sz w:val="18"/>
          <w:szCs w:val="18"/>
        </w:rPr>
        <w:t xml:space="preserve"> shows total budgeted revenue over the past 5 years from adopted budgets (2016-17 to 20</w:t>
      </w:r>
      <w:r w:rsidR="001A2FC1">
        <w:rPr>
          <w:color w:val="53565A" w:themeColor="accent2"/>
          <w:sz w:val="18"/>
          <w:szCs w:val="18"/>
        </w:rPr>
        <w:t>20</w:t>
      </w:r>
      <w:r w:rsidRPr="000314C2">
        <w:rPr>
          <w:color w:val="53565A" w:themeColor="accent2"/>
          <w:sz w:val="18"/>
          <w:szCs w:val="18"/>
        </w:rPr>
        <w:t>-2</w:t>
      </w:r>
      <w:r w:rsidR="001A2FC1">
        <w:rPr>
          <w:color w:val="53565A" w:themeColor="accent2"/>
          <w:sz w:val="18"/>
          <w:szCs w:val="18"/>
        </w:rPr>
        <w:t>1</w:t>
      </w:r>
      <w:r w:rsidRPr="000314C2">
        <w:rPr>
          <w:color w:val="53565A" w:themeColor="accent2"/>
          <w:sz w:val="18"/>
          <w:szCs w:val="18"/>
        </w:rPr>
        <w:t>)</w:t>
      </w:r>
      <w:r w:rsidR="001A2FC1">
        <w:rPr>
          <w:color w:val="53565A" w:themeColor="accent2"/>
          <w:sz w:val="18"/>
          <w:szCs w:val="18"/>
        </w:rPr>
        <w:t>.</w:t>
      </w:r>
      <w:r w:rsidRPr="000314C2">
        <w:rPr>
          <w:color w:val="53565A" w:themeColor="accent2"/>
          <w:sz w:val="18"/>
          <w:szCs w:val="18"/>
        </w:rPr>
        <w:t xml:space="preserve"> Growth in total revenue exceeded $411 million in 2017-18, $549 million in 2018-19 and $593 million in 2019-20. However the 2020-21 </w:t>
      </w:r>
      <w:r w:rsidR="00EA1BDF">
        <w:rPr>
          <w:color w:val="53565A" w:themeColor="accent2"/>
          <w:sz w:val="18"/>
          <w:szCs w:val="18"/>
        </w:rPr>
        <w:t>adopted</w:t>
      </w:r>
      <w:r w:rsidRPr="000314C2">
        <w:rPr>
          <w:color w:val="53565A" w:themeColor="accent2"/>
          <w:sz w:val="18"/>
          <w:szCs w:val="18"/>
        </w:rPr>
        <w:t xml:space="preserve"> budgets show growth in total revenue of only $2</w:t>
      </w:r>
      <w:r w:rsidR="00423B8E">
        <w:rPr>
          <w:color w:val="53565A" w:themeColor="accent2"/>
          <w:sz w:val="18"/>
          <w:szCs w:val="18"/>
        </w:rPr>
        <w:t>38</w:t>
      </w:r>
      <w:r w:rsidRPr="000314C2">
        <w:rPr>
          <w:color w:val="53565A" w:themeColor="accent2"/>
          <w:sz w:val="18"/>
          <w:szCs w:val="18"/>
        </w:rPr>
        <w:t xml:space="preserve"> million. While the growth in total budgeted revenue appears linear in </w:t>
      </w:r>
      <w:r w:rsidRPr="000314C2">
        <w:rPr>
          <w:b/>
          <w:bCs/>
          <w:color w:val="53565A" w:themeColor="accent2"/>
          <w:sz w:val="18"/>
          <w:szCs w:val="18"/>
        </w:rPr>
        <w:t>Figure 3</w:t>
      </w:r>
      <w:r w:rsidRPr="000314C2">
        <w:rPr>
          <w:color w:val="53565A" w:themeColor="accent2"/>
          <w:sz w:val="18"/>
          <w:szCs w:val="18"/>
        </w:rPr>
        <w:t xml:space="preserve">, the rate of growth has slowed. </w:t>
      </w:r>
    </w:p>
    <w:p w14:paraId="61F9A6F2" w14:textId="469E1CA6" w:rsidR="000314C2" w:rsidRDefault="000314C2" w:rsidP="000314C2">
      <w:pPr>
        <w:pStyle w:val="Caption"/>
        <w:spacing w:after="60"/>
        <w:rPr>
          <w:b/>
          <w:bCs/>
          <w:i w:val="0"/>
          <w:iCs w:val="0"/>
        </w:rPr>
      </w:pPr>
      <w:r w:rsidRPr="00B6229F">
        <w:rPr>
          <w:b/>
          <w:bCs/>
          <w:i w:val="0"/>
          <w:iCs w:val="0"/>
        </w:rPr>
        <w:t xml:space="preserve">Figure </w:t>
      </w:r>
      <w:r w:rsidRPr="00B6229F">
        <w:rPr>
          <w:b/>
          <w:bCs/>
          <w:i w:val="0"/>
          <w:iCs w:val="0"/>
        </w:rPr>
        <w:fldChar w:fldCharType="begin"/>
      </w:r>
      <w:r w:rsidRPr="00B6229F">
        <w:rPr>
          <w:b/>
          <w:bCs/>
          <w:i w:val="0"/>
          <w:iCs w:val="0"/>
        </w:rPr>
        <w:instrText xml:space="preserve"> SEQ Figure \* ARABIC </w:instrText>
      </w:r>
      <w:r w:rsidRPr="00B6229F">
        <w:rPr>
          <w:b/>
          <w:bCs/>
          <w:i w:val="0"/>
          <w:iCs w:val="0"/>
        </w:rPr>
        <w:fldChar w:fldCharType="separate"/>
      </w:r>
      <w:r>
        <w:rPr>
          <w:b/>
          <w:bCs/>
          <w:i w:val="0"/>
          <w:iCs w:val="0"/>
          <w:noProof/>
        </w:rPr>
        <w:t>3</w:t>
      </w:r>
      <w:r w:rsidRPr="00B6229F">
        <w:rPr>
          <w:b/>
          <w:bCs/>
          <w:i w:val="0"/>
          <w:iCs w:val="0"/>
        </w:rPr>
        <w:fldChar w:fldCharType="end"/>
      </w:r>
      <w:r w:rsidRPr="00B6229F">
        <w:rPr>
          <w:b/>
          <w:bCs/>
          <w:i w:val="0"/>
          <w:iCs w:val="0"/>
        </w:rPr>
        <w:t xml:space="preserve"> Budgeted total revenue 2016-17 to 2020-21</w:t>
      </w:r>
    </w:p>
    <w:p w14:paraId="60B1F0D0" w14:textId="5947FD3C" w:rsidR="000314C2" w:rsidRPr="00836333" w:rsidRDefault="003B678B" w:rsidP="00592E3F">
      <w:pPr>
        <w:rPr>
          <w:sz w:val="16"/>
          <w:szCs w:val="16"/>
        </w:rPr>
      </w:pPr>
      <w:r>
        <w:rPr>
          <w:noProof/>
        </w:rPr>
        <w:drawing>
          <wp:anchor distT="0" distB="0" distL="114300" distR="114300" simplePos="0" relativeHeight="251658241" behindDoc="0" locked="0" layoutInCell="1" allowOverlap="1" wp14:anchorId="471BB3CF" wp14:editId="322DA8A4">
            <wp:simplePos x="0" y="0"/>
            <wp:positionH relativeFrom="column">
              <wp:posOffset>-2540</wp:posOffset>
            </wp:positionH>
            <wp:positionV relativeFrom="paragraph">
              <wp:posOffset>36195</wp:posOffset>
            </wp:positionV>
            <wp:extent cx="5760085" cy="2667000"/>
            <wp:effectExtent l="0" t="0" r="12065" b="0"/>
            <wp:wrapSquare wrapText="bothSides"/>
            <wp:docPr id="20" name="Chart 20">
              <a:extLst xmlns:a="http://schemas.openxmlformats.org/drawingml/2006/main">
                <a:ext uri="{FF2B5EF4-FFF2-40B4-BE49-F238E27FC236}">
                  <a16:creationId xmlns:a16="http://schemas.microsoft.com/office/drawing/2014/main" id="{F3DEE175-41A8-4F20-B076-996DF9944B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0314C2"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000314C2" w:rsidRPr="00836333">
        <w:rPr>
          <w:sz w:val="16"/>
          <w:szCs w:val="16"/>
        </w:rPr>
        <w:t>budgets</w:t>
      </w:r>
    </w:p>
    <w:p w14:paraId="5F69A34F" w14:textId="1C767FB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The change in the rate of growth in total revenue between 2016-17 and 2020-21 is shown in percentage terms in </w:t>
      </w:r>
      <w:r w:rsidRPr="000314C2">
        <w:rPr>
          <w:b/>
          <w:bCs/>
          <w:color w:val="53565A" w:themeColor="accent2"/>
          <w:sz w:val="18"/>
          <w:szCs w:val="18"/>
        </w:rPr>
        <w:t>Figure 4</w:t>
      </w:r>
      <w:r w:rsidRPr="000314C2">
        <w:rPr>
          <w:i/>
          <w:iCs/>
          <w:color w:val="53565A" w:themeColor="accent2"/>
          <w:sz w:val="18"/>
          <w:szCs w:val="18"/>
        </w:rPr>
        <w:t>.</w:t>
      </w:r>
      <w:r w:rsidRPr="000314C2">
        <w:rPr>
          <w:color w:val="53565A" w:themeColor="accent2"/>
          <w:sz w:val="18"/>
          <w:szCs w:val="18"/>
        </w:rPr>
        <w:t xml:space="preserve"> While total revenue in FY 2020-21 is still budgeted to grow, the rate of growth is lower when compared to the rates of growth in previous years. The slowdown in the rate of revenue growth in 2020-21 to </w:t>
      </w:r>
      <w:r w:rsidR="00592E3F">
        <w:rPr>
          <w:color w:val="53565A" w:themeColor="accent2"/>
          <w:sz w:val="18"/>
          <w:szCs w:val="18"/>
        </w:rPr>
        <w:t>2.22</w:t>
      </w:r>
      <w:r w:rsidRPr="000314C2">
        <w:rPr>
          <w:color w:val="53565A" w:themeColor="accent2"/>
          <w:sz w:val="18"/>
          <w:szCs w:val="18"/>
        </w:rPr>
        <w:t xml:space="preserve"> per cent is explored further in subsequent sections. </w:t>
      </w:r>
    </w:p>
    <w:p w14:paraId="641994D2" w14:textId="3A94750F" w:rsidR="000314C2" w:rsidRPr="000314C2" w:rsidRDefault="00364674" w:rsidP="000314C2">
      <w:pPr>
        <w:pStyle w:val="Caption"/>
        <w:spacing w:after="60"/>
        <w:rPr>
          <w:b/>
          <w:bCs/>
          <w:i w:val="0"/>
          <w:iCs w:val="0"/>
        </w:rPr>
      </w:pPr>
      <w:r>
        <w:rPr>
          <w:noProof/>
        </w:rPr>
        <w:drawing>
          <wp:anchor distT="0" distB="0" distL="114300" distR="114300" simplePos="0" relativeHeight="251658242" behindDoc="0" locked="0" layoutInCell="1" allowOverlap="1" wp14:anchorId="59EE7B8D" wp14:editId="411B33F2">
            <wp:simplePos x="0" y="0"/>
            <wp:positionH relativeFrom="margin">
              <wp:align>left</wp:align>
            </wp:positionH>
            <wp:positionV relativeFrom="paragraph">
              <wp:posOffset>168910</wp:posOffset>
            </wp:positionV>
            <wp:extent cx="5705475" cy="2317750"/>
            <wp:effectExtent l="0" t="0" r="9525" b="6350"/>
            <wp:wrapSquare wrapText="bothSides"/>
            <wp:docPr id="22" name="Chart 22">
              <a:extLst xmlns:a="http://schemas.openxmlformats.org/drawingml/2006/main">
                <a:ext uri="{FF2B5EF4-FFF2-40B4-BE49-F238E27FC236}">
                  <a16:creationId xmlns:a16="http://schemas.microsoft.com/office/drawing/2014/main" id="{8B877EFC-C960-41EC-8A48-F223CD63C7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0314C2" w:rsidRPr="000314C2">
        <w:rPr>
          <w:b/>
          <w:bCs/>
          <w:i w:val="0"/>
          <w:iCs w:val="0"/>
        </w:rPr>
        <w:t xml:space="preserve">Figure </w:t>
      </w:r>
      <w:r w:rsidR="000314C2" w:rsidRPr="000314C2">
        <w:rPr>
          <w:b/>
          <w:bCs/>
          <w:i w:val="0"/>
          <w:iCs w:val="0"/>
        </w:rPr>
        <w:fldChar w:fldCharType="begin"/>
      </w:r>
      <w:r w:rsidR="000314C2" w:rsidRPr="000314C2">
        <w:rPr>
          <w:b/>
          <w:bCs/>
          <w:i w:val="0"/>
          <w:iCs w:val="0"/>
        </w:rPr>
        <w:instrText xml:space="preserve"> SEQ Figure \* ARABIC </w:instrText>
      </w:r>
      <w:r w:rsidR="000314C2" w:rsidRPr="000314C2">
        <w:rPr>
          <w:b/>
          <w:bCs/>
          <w:i w:val="0"/>
          <w:iCs w:val="0"/>
        </w:rPr>
        <w:fldChar w:fldCharType="separate"/>
      </w:r>
      <w:r w:rsidR="000314C2" w:rsidRPr="000314C2">
        <w:rPr>
          <w:b/>
          <w:bCs/>
          <w:i w:val="0"/>
          <w:iCs w:val="0"/>
          <w:noProof/>
        </w:rPr>
        <w:t>4</w:t>
      </w:r>
      <w:r w:rsidR="000314C2" w:rsidRPr="000314C2">
        <w:rPr>
          <w:b/>
          <w:bCs/>
          <w:i w:val="0"/>
          <w:iCs w:val="0"/>
        </w:rPr>
        <w:fldChar w:fldCharType="end"/>
      </w:r>
      <w:r w:rsidR="000314C2" w:rsidRPr="000314C2">
        <w:rPr>
          <w:b/>
          <w:bCs/>
          <w:i w:val="0"/>
          <w:iCs w:val="0"/>
        </w:rPr>
        <w:t xml:space="preserve"> Percentage change in budgeted total revenue 2016-17 to 2020-21</w:t>
      </w:r>
    </w:p>
    <w:p w14:paraId="3FBF148F" w14:textId="77777777" w:rsidR="00364674" w:rsidRDefault="00364674" w:rsidP="000314C2">
      <w:pPr>
        <w:pStyle w:val="BodyText"/>
        <w:spacing w:before="0" w:after="0" w:line="240" w:lineRule="auto"/>
        <w:rPr>
          <w:rFonts w:cstheme="minorHAnsi"/>
          <w:sz w:val="16"/>
          <w:szCs w:val="16"/>
        </w:rPr>
      </w:pPr>
    </w:p>
    <w:p w14:paraId="786836DA" w14:textId="603762A4" w:rsidR="000314C2" w:rsidRPr="000314C2" w:rsidRDefault="000314C2" w:rsidP="000314C2">
      <w:pPr>
        <w:pStyle w:val="BodyText"/>
        <w:spacing w:before="0" w:after="0" w:line="240" w:lineRule="auto"/>
        <w:rPr>
          <w:rFonts w:cstheme="minorHAnsi"/>
          <w:sz w:val="16"/>
          <w:szCs w:val="16"/>
        </w:rPr>
      </w:pPr>
      <w:r w:rsidRPr="000314C2">
        <w:rPr>
          <w:rFonts w:cstheme="minorHAnsi"/>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Pr="000314C2">
        <w:rPr>
          <w:rFonts w:cstheme="minorHAnsi"/>
          <w:sz w:val="16"/>
          <w:szCs w:val="16"/>
        </w:rPr>
        <w:t>budgets</w:t>
      </w:r>
    </w:p>
    <w:p w14:paraId="543D14BA" w14:textId="2D13DE78" w:rsidR="000314C2" w:rsidRPr="00B660D3" w:rsidRDefault="000314C2" w:rsidP="000314C2">
      <w:pPr>
        <w:pStyle w:val="Heading2"/>
      </w:pPr>
      <w:bookmarkStart w:id="15" w:name="_Toc75534484"/>
      <w:r>
        <w:lastRenderedPageBreak/>
        <w:t>Rates and charges</w:t>
      </w:r>
      <w:bookmarkEnd w:id="15"/>
    </w:p>
    <w:p w14:paraId="27F384F3" w14:textId="5212C697" w:rsidR="000314C2" w:rsidRPr="000314C2" w:rsidRDefault="000314C2" w:rsidP="000314C2">
      <w:pPr>
        <w:pStyle w:val="BodyText"/>
        <w:rPr>
          <w:rFonts w:cstheme="minorHAnsi"/>
          <w:color w:val="53565A" w:themeColor="accent2"/>
          <w:sz w:val="18"/>
          <w:szCs w:val="18"/>
        </w:rPr>
      </w:pPr>
      <w:bookmarkStart w:id="16" w:name="_Hlk47711614"/>
      <w:bookmarkStart w:id="17" w:name="_Hlk47711626"/>
      <w:r w:rsidRPr="000314C2">
        <w:rPr>
          <w:rFonts w:cstheme="minorHAnsi"/>
          <w:color w:val="53565A" w:themeColor="accent2"/>
          <w:sz w:val="18"/>
          <w:szCs w:val="18"/>
        </w:rPr>
        <w:t>Rates and charges remain the primary revenue stream for Victorian councils. Councils are budgeting for total rates and charges revenue of $</w:t>
      </w:r>
      <w:bookmarkEnd w:id="16"/>
      <w:r w:rsidRPr="000314C2">
        <w:rPr>
          <w:rFonts w:cstheme="minorHAnsi"/>
          <w:color w:val="53565A" w:themeColor="accent2"/>
          <w:sz w:val="18"/>
          <w:szCs w:val="18"/>
        </w:rPr>
        <w:t>6.4</w:t>
      </w:r>
      <w:r w:rsidR="009660A3">
        <w:rPr>
          <w:rFonts w:cstheme="minorHAnsi"/>
          <w:color w:val="53565A" w:themeColor="accent2"/>
          <w:sz w:val="18"/>
          <w:szCs w:val="18"/>
        </w:rPr>
        <w:t>5</w:t>
      </w:r>
      <w:r w:rsidRPr="000314C2">
        <w:rPr>
          <w:rFonts w:cstheme="minorHAnsi"/>
          <w:color w:val="53565A" w:themeColor="accent2"/>
          <w:sz w:val="18"/>
          <w:szCs w:val="18"/>
        </w:rPr>
        <w:t xml:space="preserve"> billion ($</w:t>
      </w:r>
      <w:bookmarkEnd w:id="17"/>
      <w:r w:rsidRPr="000314C2">
        <w:rPr>
          <w:rFonts w:cstheme="minorHAnsi"/>
          <w:color w:val="53565A" w:themeColor="accent2"/>
          <w:sz w:val="18"/>
          <w:szCs w:val="18"/>
        </w:rPr>
        <w:t xml:space="preserve">6.26 billion in 2019-20). </w:t>
      </w:r>
      <w:r w:rsidRPr="000314C2">
        <w:rPr>
          <w:rFonts w:cstheme="minorHAnsi"/>
          <w:b/>
          <w:bCs/>
          <w:color w:val="53565A" w:themeColor="accent2"/>
          <w:sz w:val="18"/>
          <w:szCs w:val="18"/>
        </w:rPr>
        <w:t>Figure 5</w:t>
      </w:r>
      <w:r w:rsidRPr="000314C2">
        <w:rPr>
          <w:rFonts w:cstheme="minorHAnsi"/>
          <w:color w:val="53565A" w:themeColor="accent2"/>
          <w:sz w:val="18"/>
          <w:szCs w:val="18"/>
        </w:rPr>
        <w:t xml:space="preserve"> shows that the forecast actual rates and charges revenue for 2019-20 is $6.27 billion.</w:t>
      </w:r>
    </w:p>
    <w:p w14:paraId="44401666" w14:textId="5AB96D37" w:rsidR="000314C2" w:rsidRDefault="000314C2" w:rsidP="000314C2">
      <w:pPr>
        <w:pStyle w:val="Caption"/>
        <w:spacing w:after="60"/>
        <w:rPr>
          <w:rFonts w:cstheme="minorHAnsi"/>
          <w:b/>
          <w:bCs/>
          <w:i w:val="0"/>
          <w:iCs w:val="0"/>
        </w:rPr>
      </w:pPr>
      <w:r w:rsidRPr="000314C2">
        <w:rPr>
          <w:rFonts w:cstheme="minorHAnsi"/>
          <w:b/>
          <w:bCs/>
          <w:i w:val="0"/>
          <w:iCs w:val="0"/>
        </w:rPr>
        <w:t>Figure 5 Budgeted rates and charges revenue 2016-17 to 2020-21</w:t>
      </w:r>
    </w:p>
    <w:p w14:paraId="169FB219" w14:textId="53F6EE0E" w:rsidR="009660A3" w:rsidRPr="009660A3" w:rsidRDefault="009660A3" w:rsidP="009660A3">
      <w:r>
        <w:rPr>
          <w:noProof/>
        </w:rPr>
        <w:drawing>
          <wp:anchor distT="0" distB="0" distL="114300" distR="114300" simplePos="0" relativeHeight="251658243" behindDoc="0" locked="0" layoutInCell="1" allowOverlap="1" wp14:anchorId="431783C0" wp14:editId="69DAF7C1">
            <wp:simplePos x="0" y="0"/>
            <wp:positionH relativeFrom="column">
              <wp:posOffset>-2540</wp:posOffset>
            </wp:positionH>
            <wp:positionV relativeFrom="paragraph">
              <wp:posOffset>34925</wp:posOffset>
            </wp:positionV>
            <wp:extent cx="5178426" cy="2809875"/>
            <wp:effectExtent l="0" t="0" r="3175" b="9525"/>
            <wp:wrapSquare wrapText="bothSides"/>
            <wp:docPr id="27" name="Chart 27">
              <a:extLst xmlns:a="http://schemas.openxmlformats.org/drawingml/2006/main">
                <a:ext uri="{FF2B5EF4-FFF2-40B4-BE49-F238E27FC236}">
                  <a16:creationId xmlns:a16="http://schemas.microsoft.com/office/drawing/2014/main" id="{22CA053B-B99D-45AD-9051-9D081622C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69A822C4" w14:textId="4B3F71D8" w:rsidR="000314C2" w:rsidRDefault="000314C2" w:rsidP="000314C2">
      <w:pPr>
        <w:spacing w:after="0"/>
      </w:pPr>
    </w:p>
    <w:p w14:paraId="58CCAD65" w14:textId="77777777" w:rsidR="009660A3" w:rsidRDefault="009660A3" w:rsidP="000314C2">
      <w:pPr>
        <w:pStyle w:val="BodyText"/>
        <w:spacing w:before="0" w:line="240" w:lineRule="auto"/>
        <w:rPr>
          <w:rFonts w:cstheme="minorHAnsi"/>
          <w:sz w:val="16"/>
          <w:szCs w:val="16"/>
        </w:rPr>
      </w:pPr>
    </w:p>
    <w:p w14:paraId="44A083F4" w14:textId="77777777" w:rsidR="00092AA7" w:rsidRDefault="00092AA7" w:rsidP="000314C2">
      <w:pPr>
        <w:pStyle w:val="BodyText"/>
        <w:spacing w:before="0" w:line="240" w:lineRule="auto"/>
        <w:rPr>
          <w:rFonts w:cstheme="minorHAnsi"/>
          <w:sz w:val="16"/>
          <w:szCs w:val="16"/>
        </w:rPr>
      </w:pPr>
    </w:p>
    <w:p w14:paraId="0171C6EB" w14:textId="77777777" w:rsidR="00092AA7" w:rsidRDefault="00092AA7" w:rsidP="000314C2">
      <w:pPr>
        <w:pStyle w:val="BodyText"/>
        <w:spacing w:before="0" w:line="240" w:lineRule="auto"/>
        <w:rPr>
          <w:rFonts w:cstheme="minorHAnsi"/>
          <w:sz w:val="16"/>
          <w:szCs w:val="16"/>
        </w:rPr>
      </w:pPr>
    </w:p>
    <w:p w14:paraId="065ECB0A" w14:textId="77777777" w:rsidR="00092AA7" w:rsidRDefault="00092AA7" w:rsidP="000314C2">
      <w:pPr>
        <w:pStyle w:val="BodyText"/>
        <w:spacing w:before="0" w:line="240" w:lineRule="auto"/>
        <w:rPr>
          <w:rFonts w:cstheme="minorHAnsi"/>
          <w:sz w:val="16"/>
          <w:szCs w:val="16"/>
        </w:rPr>
      </w:pPr>
    </w:p>
    <w:p w14:paraId="2935B740" w14:textId="77777777" w:rsidR="00092AA7" w:rsidRDefault="00092AA7" w:rsidP="000314C2">
      <w:pPr>
        <w:pStyle w:val="BodyText"/>
        <w:spacing w:before="0" w:line="240" w:lineRule="auto"/>
        <w:rPr>
          <w:rFonts w:cstheme="minorHAnsi"/>
          <w:sz w:val="16"/>
          <w:szCs w:val="16"/>
        </w:rPr>
      </w:pPr>
    </w:p>
    <w:p w14:paraId="4343CADA" w14:textId="77777777" w:rsidR="00092AA7" w:rsidRDefault="00092AA7" w:rsidP="000314C2">
      <w:pPr>
        <w:pStyle w:val="BodyText"/>
        <w:spacing w:before="0" w:line="240" w:lineRule="auto"/>
        <w:rPr>
          <w:rFonts w:cstheme="minorHAnsi"/>
          <w:sz w:val="16"/>
          <w:szCs w:val="16"/>
        </w:rPr>
      </w:pPr>
    </w:p>
    <w:p w14:paraId="24AA945E" w14:textId="77777777" w:rsidR="00092AA7" w:rsidRDefault="00092AA7" w:rsidP="000314C2">
      <w:pPr>
        <w:pStyle w:val="BodyText"/>
        <w:spacing w:before="0" w:line="240" w:lineRule="auto"/>
        <w:rPr>
          <w:rFonts w:cstheme="minorHAnsi"/>
          <w:sz w:val="16"/>
          <w:szCs w:val="16"/>
        </w:rPr>
      </w:pPr>
    </w:p>
    <w:p w14:paraId="37F36F1E" w14:textId="77777777" w:rsidR="00092AA7" w:rsidRDefault="00092AA7" w:rsidP="000314C2">
      <w:pPr>
        <w:pStyle w:val="BodyText"/>
        <w:spacing w:before="0" w:line="240" w:lineRule="auto"/>
        <w:rPr>
          <w:rFonts w:cstheme="minorHAnsi"/>
          <w:sz w:val="16"/>
          <w:szCs w:val="16"/>
        </w:rPr>
      </w:pPr>
    </w:p>
    <w:p w14:paraId="1694DF7D" w14:textId="77777777" w:rsidR="00092AA7" w:rsidRDefault="00092AA7" w:rsidP="000314C2">
      <w:pPr>
        <w:pStyle w:val="BodyText"/>
        <w:spacing w:before="0" w:line="240" w:lineRule="auto"/>
        <w:rPr>
          <w:rFonts w:cstheme="minorHAnsi"/>
          <w:sz w:val="16"/>
          <w:szCs w:val="16"/>
        </w:rPr>
      </w:pPr>
    </w:p>
    <w:p w14:paraId="49D12007" w14:textId="77777777" w:rsidR="00092AA7" w:rsidRDefault="00092AA7" w:rsidP="000314C2">
      <w:pPr>
        <w:pStyle w:val="BodyText"/>
        <w:spacing w:before="0" w:line="240" w:lineRule="auto"/>
        <w:rPr>
          <w:rFonts w:cstheme="minorHAnsi"/>
          <w:sz w:val="16"/>
          <w:szCs w:val="16"/>
        </w:rPr>
      </w:pPr>
    </w:p>
    <w:p w14:paraId="75C63A07" w14:textId="77777777" w:rsidR="00092AA7" w:rsidRDefault="00092AA7" w:rsidP="000314C2">
      <w:pPr>
        <w:pStyle w:val="BodyText"/>
        <w:spacing w:before="0" w:line="240" w:lineRule="auto"/>
        <w:rPr>
          <w:rFonts w:cstheme="minorHAnsi"/>
          <w:sz w:val="16"/>
          <w:szCs w:val="16"/>
        </w:rPr>
      </w:pPr>
    </w:p>
    <w:p w14:paraId="143E1159" w14:textId="77777777" w:rsidR="00092AA7" w:rsidRDefault="00092AA7" w:rsidP="000314C2">
      <w:pPr>
        <w:pStyle w:val="BodyText"/>
        <w:spacing w:before="0" w:line="240" w:lineRule="auto"/>
        <w:rPr>
          <w:rFonts w:cstheme="minorHAnsi"/>
          <w:sz w:val="16"/>
          <w:szCs w:val="16"/>
        </w:rPr>
      </w:pPr>
    </w:p>
    <w:p w14:paraId="1F913D0C" w14:textId="77777777" w:rsidR="00092AA7" w:rsidRDefault="00092AA7" w:rsidP="000314C2">
      <w:pPr>
        <w:pStyle w:val="BodyText"/>
        <w:spacing w:before="0" w:line="240" w:lineRule="auto"/>
        <w:rPr>
          <w:rFonts w:cstheme="minorHAnsi"/>
          <w:sz w:val="16"/>
          <w:szCs w:val="16"/>
        </w:rPr>
      </w:pPr>
    </w:p>
    <w:p w14:paraId="724A9FA1" w14:textId="72D0B3C1" w:rsidR="000314C2" w:rsidRPr="000314C2" w:rsidRDefault="000314C2" w:rsidP="000314C2">
      <w:pPr>
        <w:pStyle w:val="BodyText"/>
        <w:spacing w:before="0" w:line="240" w:lineRule="auto"/>
        <w:rPr>
          <w:rFonts w:cstheme="minorHAnsi"/>
          <w:sz w:val="16"/>
          <w:szCs w:val="16"/>
        </w:rPr>
      </w:pPr>
      <w:r w:rsidRPr="000314C2">
        <w:rPr>
          <w:rFonts w:cstheme="minorHAnsi"/>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Pr="000314C2">
        <w:rPr>
          <w:rFonts w:cstheme="minorHAnsi"/>
          <w:sz w:val="16"/>
          <w:szCs w:val="16"/>
        </w:rPr>
        <w:t>budgets</w:t>
      </w:r>
    </w:p>
    <w:p w14:paraId="58AE8041" w14:textId="756EF2AB" w:rsidR="000314C2" w:rsidRPr="00810194" w:rsidRDefault="000314C2" w:rsidP="00810194">
      <w:pPr>
        <w:pStyle w:val="Caption"/>
        <w:rPr>
          <w:rFonts w:eastAsia="Times New Roman" w:cs="Times New Roman"/>
          <w:b/>
          <w:bCs/>
          <w:i w:val="0"/>
          <w:iCs w:val="0"/>
          <w:color w:val="53565A" w:themeColor="accent2"/>
        </w:rPr>
      </w:pPr>
      <w:r w:rsidRPr="000314C2">
        <w:rPr>
          <w:rFonts w:eastAsia="Times New Roman" w:cs="Times New Roman"/>
          <w:i w:val="0"/>
          <w:iCs w:val="0"/>
          <w:color w:val="53565A" w:themeColor="accent2"/>
        </w:rPr>
        <w:t xml:space="preserve">It is important to note that in referring to ‘rates and charges’ in this context it includes general rates, municipal charges and waste charges. </w:t>
      </w:r>
      <w:r w:rsidRPr="000314C2">
        <w:rPr>
          <w:rFonts w:eastAsia="Times New Roman" w:cs="Times New Roman"/>
          <w:b/>
          <w:bCs/>
          <w:i w:val="0"/>
          <w:iCs w:val="0"/>
          <w:color w:val="53565A" w:themeColor="accent2"/>
        </w:rPr>
        <w:t xml:space="preserve">Figure 6 </w:t>
      </w:r>
      <w:r w:rsidRPr="000314C2">
        <w:rPr>
          <w:rFonts w:eastAsia="Times New Roman" w:cs="Times New Roman"/>
          <w:i w:val="0"/>
          <w:iCs w:val="0"/>
          <w:color w:val="53565A" w:themeColor="accent2"/>
        </w:rPr>
        <w:t xml:space="preserve">shows </w:t>
      </w:r>
      <w:r w:rsidR="004E4283">
        <w:rPr>
          <w:rFonts w:eastAsia="Times New Roman" w:cs="Times New Roman"/>
          <w:i w:val="0"/>
          <w:iCs w:val="0"/>
          <w:color w:val="53565A" w:themeColor="accent2"/>
        </w:rPr>
        <w:t xml:space="preserve">the composition of </w:t>
      </w:r>
      <w:r w:rsidR="00AC27B1">
        <w:rPr>
          <w:rFonts w:eastAsia="Times New Roman" w:cs="Times New Roman"/>
          <w:i w:val="0"/>
          <w:iCs w:val="0"/>
          <w:color w:val="53565A" w:themeColor="accent2"/>
        </w:rPr>
        <w:t xml:space="preserve">budgeted </w:t>
      </w:r>
      <w:r w:rsidR="004E4283">
        <w:rPr>
          <w:rFonts w:eastAsia="Times New Roman" w:cs="Times New Roman"/>
          <w:i w:val="0"/>
          <w:iCs w:val="0"/>
          <w:color w:val="53565A" w:themeColor="accent2"/>
        </w:rPr>
        <w:t>rates and charges revenue</w:t>
      </w:r>
      <w:r w:rsidR="00063AD8">
        <w:rPr>
          <w:rFonts w:eastAsia="Times New Roman" w:cs="Times New Roman"/>
          <w:i w:val="0"/>
          <w:iCs w:val="0"/>
          <w:color w:val="53565A" w:themeColor="accent2"/>
        </w:rPr>
        <w:t xml:space="preserve"> in FY 20</w:t>
      </w:r>
      <w:r w:rsidR="00F13535">
        <w:rPr>
          <w:rFonts w:eastAsia="Times New Roman" w:cs="Times New Roman"/>
          <w:i w:val="0"/>
          <w:iCs w:val="0"/>
          <w:color w:val="53565A" w:themeColor="accent2"/>
        </w:rPr>
        <w:t>20</w:t>
      </w:r>
      <w:r w:rsidR="00063AD8">
        <w:rPr>
          <w:rFonts w:eastAsia="Times New Roman" w:cs="Times New Roman"/>
          <w:i w:val="0"/>
          <w:iCs w:val="0"/>
          <w:color w:val="53565A" w:themeColor="accent2"/>
        </w:rPr>
        <w:t>-2</w:t>
      </w:r>
      <w:r w:rsidR="006A3F7E">
        <w:rPr>
          <w:rFonts w:eastAsia="Times New Roman" w:cs="Times New Roman"/>
          <w:i w:val="0"/>
          <w:iCs w:val="0"/>
          <w:color w:val="53565A" w:themeColor="accent2"/>
        </w:rPr>
        <w:t>1</w:t>
      </w:r>
      <w:r w:rsidR="00063AD8">
        <w:rPr>
          <w:rFonts w:eastAsia="Times New Roman" w:cs="Times New Roman"/>
          <w:i w:val="0"/>
          <w:iCs w:val="0"/>
          <w:color w:val="53565A" w:themeColor="accent2"/>
        </w:rPr>
        <w:t xml:space="preserve">. </w:t>
      </w:r>
      <w:r w:rsidRPr="000314C2">
        <w:rPr>
          <w:rFonts w:eastAsia="Times New Roman" w:cs="Times New Roman"/>
          <w:i w:val="0"/>
          <w:iCs w:val="0"/>
          <w:color w:val="53565A" w:themeColor="accent2"/>
        </w:rPr>
        <w:t>$5.</w:t>
      </w:r>
      <w:r w:rsidR="006A3F7E">
        <w:rPr>
          <w:rFonts w:eastAsia="Times New Roman" w:cs="Times New Roman"/>
          <w:i w:val="0"/>
          <w:iCs w:val="0"/>
          <w:color w:val="53565A" w:themeColor="accent2"/>
        </w:rPr>
        <w:t>48</w:t>
      </w:r>
      <w:r w:rsidRPr="000314C2">
        <w:rPr>
          <w:rFonts w:eastAsia="Times New Roman" w:cs="Times New Roman"/>
          <w:i w:val="0"/>
          <w:iCs w:val="0"/>
          <w:color w:val="53565A" w:themeColor="accent2"/>
        </w:rPr>
        <w:t xml:space="preserve"> billion (8</w:t>
      </w:r>
      <w:r w:rsidR="005056FA">
        <w:rPr>
          <w:rFonts w:eastAsia="Times New Roman" w:cs="Times New Roman"/>
          <w:i w:val="0"/>
          <w:iCs w:val="0"/>
          <w:color w:val="53565A" w:themeColor="accent2"/>
        </w:rPr>
        <w:t>4.8</w:t>
      </w:r>
      <w:r w:rsidRPr="000314C2">
        <w:rPr>
          <w:rFonts w:eastAsia="Times New Roman" w:cs="Times New Roman"/>
          <w:i w:val="0"/>
          <w:iCs w:val="0"/>
          <w:color w:val="53565A" w:themeColor="accent2"/>
        </w:rPr>
        <w:t xml:space="preserve">%) of total rates and charges revenue </w:t>
      </w:r>
      <w:r w:rsidR="00836971">
        <w:rPr>
          <w:rFonts w:eastAsia="Times New Roman" w:cs="Times New Roman"/>
          <w:i w:val="0"/>
          <w:iCs w:val="0"/>
          <w:color w:val="53565A" w:themeColor="accent2"/>
        </w:rPr>
        <w:t>was</w:t>
      </w:r>
      <w:r w:rsidRPr="000314C2">
        <w:rPr>
          <w:rFonts w:eastAsia="Times New Roman" w:cs="Times New Roman"/>
          <w:i w:val="0"/>
          <w:iCs w:val="0"/>
          <w:color w:val="53565A" w:themeColor="accent2"/>
        </w:rPr>
        <w:t xml:space="preserve"> </w:t>
      </w:r>
      <w:r w:rsidR="00836971">
        <w:rPr>
          <w:rFonts w:eastAsia="Times New Roman" w:cs="Times New Roman"/>
          <w:i w:val="0"/>
          <w:iCs w:val="0"/>
          <w:color w:val="53565A" w:themeColor="accent2"/>
        </w:rPr>
        <w:t xml:space="preserve">budgeted to be </w:t>
      </w:r>
      <w:r w:rsidRPr="000314C2">
        <w:rPr>
          <w:rFonts w:eastAsia="Times New Roman" w:cs="Times New Roman"/>
          <w:i w:val="0"/>
          <w:iCs w:val="0"/>
          <w:color w:val="53565A" w:themeColor="accent2"/>
        </w:rPr>
        <w:t xml:space="preserve">raised through general rates, while the rest </w:t>
      </w:r>
      <w:r w:rsidR="00191498">
        <w:rPr>
          <w:rFonts w:eastAsia="Times New Roman" w:cs="Times New Roman"/>
          <w:i w:val="0"/>
          <w:iCs w:val="0"/>
          <w:color w:val="53565A" w:themeColor="accent2"/>
        </w:rPr>
        <w:t>wa</w:t>
      </w:r>
      <w:r w:rsidRPr="000314C2">
        <w:rPr>
          <w:rFonts w:eastAsia="Times New Roman" w:cs="Times New Roman"/>
          <w:i w:val="0"/>
          <w:iCs w:val="0"/>
          <w:color w:val="53565A" w:themeColor="accent2"/>
        </w:rPr>
        <w:t xml:space="preserve">s </w:t>
      </w:r>
      <w:r w:rsidR="00191498">
        <w:rPr>
          <w:rFonts w:eastAsia="Times New Roman" w:cs="Times New Roman"/>
          <w:i w:val="0"/>
          <w:iCs w:val="0"/>
          <w:color w:val="53565A" w:themeColor="accent2"/>
        </w:rPr>
        <w:t xml:space="preserve">budgeted to be </w:t>
      </w:r>
      <w:r w:rsidRPr="000314C2">
        <w:rPr>
          <w:rFonts w:eastAsia="Times New Roman" w:cs="Times New Roman"/>
          <w:i w:val="0"/>
          <w:iCs w:val="0"/>
          <w:color w:val="53565A" w:themeColor="accent2"/>
        </w:rPr>
        <w:t>raised through waste, municipal and other charges.</w:t>
      </w:r>
      <w:r w:rsidRPr="000314C2">
        <w:rPr>
          <w:rFonts w:eastAsia="Times New Roman" w:cs="Times New Roman"/>
          <w:b/>
          <w:bCs/>
          <w:i w:val="0"/>
          <w:iCs w:val="0"/>
          <w:color w:val="53565A" w:themeColor="accent2"/>
        </w:rPr>
        <w:t xml:space="preserve"> </w:t>
      </w:r>
    </w:p>
    <w:p w14:paraId="1559F19B" w14:textId="48C6F209" w:rsidR="000314C2" w:rsidRDefault="000314C2" w:rsidP="000314C2">
      <w:pPr>
        <w:pStyle w:val="Caption"/>
        <w:spacing w:after="60"/>
        <w:rPr>
          <w:b/>
          <w:bCs/>
          <w:i w:val="0"/>
          <w:iCs w:val="0"/>
        </w:rPr>
      </w:pPr>
      <w:r w:rsidRPr="00B6229F">
        <w:rPr>
          <w:b/>
          <w:bCs/>
          <w:i w:val="0"/>
          <w:iCs w:val="0"/>
        </w:rPr>
        <w:t xml:space="preserve">Figure </w:t>
      </w:r>
      <w:r>
        <w:rPr>
          <w:b/>
          <w:bCs/>
          <w:i w:val="0"/>
          <w:iCs w:val="0"/>
        </w:rPr>
        <w:t>6 Composition of rates and charges revenue – FY 20</w:t>
      </w:r>
      <w:r w:rsidR="005056FA">
        <w:rPr>
          <w:b/>
          <w:bCs/>
          <w:i w:val="0"/>
          <w:iCs w:val="0"/>
        </w:rPr>
        <w:t>20</w:t>
      </w:r>
      <w:r>
        <w:rPr>
          <w:b/>
          <w:bCs/>
          <w:i w:val="0"/>
          <w:iCs w:val="0"/>
        </w:rPr>
        <w:t>-2</w:t>
      </w:r>
      <w:r w:rsidR="005056FA">
        <w:rPr>
          <w:b/>
          <w:bCs/>
          <w:i w:val="0"/>
          <w:iCs w:val="0"/>
        </w:rPr>
        <w:t>1</w:t>
      </w:r>
    </w:p>
    <w:p w14:paraId="3696729E" w14:textId="0FF95773" w:rsidR="007F2927" w:rsidRPr="007F2927" w:rsidRDefault="007F2927" w:rsidP="007F2927">
      <w:r>
        <w:rPr>
          <w:noProof/>
        </w:rPr>
        <w:drawing>
          <wp:inline distT="0" distB="0" distL="0" distR="0" wp14:anchorId="6B9C8887" wp14:editId="43AC2918">
            <wp:extent cx="5760085" cy="2286000"/>
            <wp:effectExtent l="0" t="0" r="12065" b="0"/>
            <wp:docPr id="113" name="Chart 113">
              <a:extLst xmlns:a="http://schemas.openxmlformats.org/drawingml/2006/main">
                <a:ext uri="{FF2B5EF4-FFF2-40B4-BE49-F238E27FC236}">
                  <a16:creationId xmlns:a16="http://schemas.microsoft.com/office/drawing/2014/main" id="{D78FE4F0-D848-4866-8239-F0F32BECE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B7F0CA" w14:textId="3A581FA9" w:rsidR="000314C2" w:rsidRDefault="000314C2" w:rsidP="000314C2">
      <w:pPr>
        <w:pStyle w:val="BodyText"/>
        <w:spacing w:before="0" w:line="240" w:lineRule="auto"/>
        <w:rPr>
          <w:sz w:val="16"/>
          <w:szCs w:val="16"/>
        </w:rPr>
      </w:pPr>
      <w:r w:rsidRPr="00836333">
        <w:rPr>
          <w:sz w:val="16"/>
          <w:szCs w:val="16"/>
        </w:rPr>
        <w:t>Source: 20</w:t>
      </w:r>
      <w:r w:rsidR="00755F60">
        <w:rPr>
          <w:sz w:val="16"/>
          <w:szCs w:val="16"/>
        </w:rPr>
        <w:t>20</w:t>
      </w:r>
      <w:r w:rsidRPr="00836333">
        <w:rPr>
          <w:sz w:val="16"/>
          <w:szCs w:val="16"/>
        </w:rPr>
        <w:t>-2</w:t>
      </w:r>
      <w:r w:rsidR="00755F60">
        <w:rPr>
          <w:sz w:val="16"/>
          <w:szCs w:val="16"/>
        </w:rPr>
        <w:t>1</w:t>
      </w:r>
      <w:r w:rsidRPr="00836333">
        <w:rPr>
          <w:sz w:val="16"/>
          <w:szCs w:val="16"/>
        </w:rPr>
        <w:t xml:space="preserve"> adopted budgets</w:t>
      </w:r>
    </w:p>
    <w:p w14:paraId="5F9D439B" w14:textId="6F4ACA5C" w:rsidR="000314C2" w:rsidRPr="000314C2" w:rsidRDefault="000314C2" w:rsidP="000314C2">
      <w:pPr>
        <w:pStyle w:val="Caption"/>
        <w:rPr>
          <w:rFonts w:eastAsia="Times New Roman" w:cs="Times New Roman"/>
          <w:i w:val="0"/>
          <w:iCs w:val="0"/>
          <w:color w:val="53565A" w:themeColor="accent2"/>
        </w:rPr>
      </w:pPr>
      <w:r w:rsidRPr="000314C2">
        <w:rPr>
          <w:rFonts w:eastAsia="Times New Roman" w:cs="Times New Roman"/>
          <w:i w:val="0"/>
          <w:iCs w:val="0"/>
          <w:color w:val="53565A" w:themeColor="accent2"/>
        </w:rPr>
        <w:t xml:space="preserve">The growth in rates and charges revenue </w:t>
      </w:r>
      <w:r w:rsidR="00EC1A3B">
        <w:rPr>
          <w:rFonts w:eastAsia="Times New Roman" w:cs="Times New Roman"/>
          <w:i w:val="0"/>
          <w:iCs w:val="0"/>
          <w:color w:val="53565A" w:themeColor="accent2"/>
        </w:rPr>
        <w:t xml:space="preserve">since </w:t>
      </w:r>
      <w:r w:rsidR="001D0B38">
        <w:rPr>
          <w:rFonts w:eastAsia="Times New Roman" w:cs="Times New Roman"/>
          <w:i w:val="0"/>
          <w:iCs w:val="0"/>
          <w:color w:val="53565A" w:themeColor="accent2"/>
        </w:rPr>
        <w:t xml:space="preserve">FY </w:t>
      </w:r>
      <w:r w:rsidR="00EC1A3B">
        <w:rPr>
          <w:rFonts w:eastAsia="Times New Roman" w:cs="Times New Roman"/>
          <w:i w:val="0"/>
          <w:iCs w:val="0"/>
          <w:color w:val="53565A" w:themeColor="accent2"/>
        </w:rPr>
        <w:t>2016-17</w:t>
      </w:r>
      <w:r w:rsidRPr="000314C2">
        <w:rPr>
          <w:rFonts w:eastAsia="Times New Roman" w:cs="Times New Roman"/>
          <w:i w:val="0"/>
          <w:iCs w:val="0"/>
          <w:color w:val="53565A" w:themeColor="accent2"/>
        </w:rPr>
        <w:t xml:space="preserve"> is therefore due to a combination of the </w:t>
      </w:r>
      <w:r w:rsidR="00DC79DA">
        <w:rPr>
          <w:rFonts w:eastAsia="Times New Roman" w:cs="Times New Roman"/>
          <w:i w:val="0"/>
          <w:iCs w:val="0"/>
          <w:color w:val="53565A" w:themeColor="accent2"/>
        </w:rPr>
        <w:t>rate increase</w:t>
      </w:r>
      <w:r w:rsidRPr="000314C2">
        <w:rPr>
          <w:rFonts w:eastAsia="Times New Roman" w:cs="Times New Roman"/>
          <w:i w:val="0"/>
          <w:iCs w:val="0"/>
          <w:color w:val="53565A" w:themeColor="accent2"/>
        </w:rPr>
        <w:t xml:space="preserve"> allowed under the FGRS rate cap, the growth in waste charges and the growth in the number of rateable assessments</w:t>
      </w:r>
      <w:r w:rsidR="00AC1FA2">
        <w:rPr>
          <w:rFonts w:eastAsia="Times New Roman" w:cs="Times New Roman"/>
          <w:i w:val="0"/>
          <w:iCs w:val="0"/>
          <w:color w:val="53565A" w:themeColor="accent2"/>
        </w:rPr>
        <w:t>.</w:t>
      </w:r>
      <w:r w:rsidRPr="000314C2">
        <w:rPr>
          <w:rFonts w:eastAsia="Times New Roman" w:cs="Times New Roman"/>
          <w:i w:val="0"/>
          <w:iCs w:val="0"/>
          <w:color w:val="53565A" w:themeColor="accent2"/>
        </w:rPr>
        <w:t xml:space="preserve"> </w:t>
      </w:r>
      <w:r w:rsidR="00F12BB4">
        <w:rPr>
          <w:rFonts w:eastAsia="Times New Roman" w:cs="Times New Roman"/>
          <w:i w:val="0"/>
          <w:iCs w:val="0"/>
          <w:color w:val="53565A" w:themeColor="accent2"/>
        </w:rPr>
        <w:t xml:space="preserve">The number of rateable assessments </w:t>
      </w:r>
      <w:r w:rsidRPr="000314C2">
        <w:rPr>
          <w:rFonts w:eastAsia="Times New Roman" w:cs="Times New Roman"/>
          <w:i w:val="0"/>
          <w:iCs w:val="0"/>
          <w:color w:val="53565A" w:themeColor="accent2"/>
        </w:rPr>
        <w:t xml:space="preserve">has grown by 2.16% on average in </w:t>
      </w:r>
      <w:r w:rsidR="00925473">
        <w:rPr>
          <w:rFonts w:eastAsia="Times New Roman" w:cs="Times New Roman"/>
          <w:i w:val="0"/>
          <w:iCs w:val="0"/>
          <w:color w:val="53565A" w:themeColor="accent2"/>
        </w:rPr>
        <w:t xml:space="preserve">the </w:t>
      </w:r>
      <w:r w:rsidRPr="000314C2">
        <w:rPr>
          <w:rFonts w:eastAsia="Times New Roman" w:cs="Times New Roman"/>
          <w:i w:val="0"/>
          <w:iCs w:val="0"/>
          <w:color w:val="53565A" w:themeColor="accent2"/>
        </w:rPr>
        <w:t>past three years.</w:t>
      </w:r>
    </w:p>
    <w:p w14:paraId="04AB1537" w14:textId="77777777" w:rsidR="00810194" w:rsidRDefault="00810194" w:rsidP="000314C2">
      <w:pPr>
        <w:rPr>
          <w:b/>
          <w:bCs/>
          <w:szCs w:val="18"/>
        </w:rPr>
      </w:pPr>
    </w:p>
    <w:p w14:paraId="1B4BD7DC" w14:textId="77777777" w:rsidR="00810194" w:rsidRDefault="00810194" w:rsidP="000314C2">
      <w:pPr>
        <w:rPr>
          <w:b/>
          <w:bCs/>
          <w:szCs w:val="18"/>
        </w:rPr>
      </w:pPr>
    </w:p>
    <w:p w14:paraId="2F37836D" w14:textId="1EA8DA24" w:rsidR="000314C2" w:rsidRPr="000314C2" w:rsidRDefault="000314C2" w:rsidP="000314C2">
      <w:pPr>
        <w:rPr>
          <w:szCs w:val="18"/>
        </w:rPr>
      </w:pPr>
      <w:r w:rsidRPr="000314C2">
        <w:rPr>
          <w:b/>
          <w:bCs/>
          <w:szCs w:val="18"/>
        </w:rPr>
        <w:lastRenderedPageBreak/>
        <w:t>Figure 7</w:t>
      </w:r>
      <w:r w:rsidRPr="000314C2">
        <w:rPr>
          <w:szCs w:val="18"/>
        </w:rPr>
        <w:t xml:space="preserve"> shows the rate of growth in budgeted rates and charges </w:t>
      </w:r>
      <w:r w:rsidR="004B0997">
        <w:rPr>
          <w:szCs w:val="18"/>
        </w:rPr>
        <w:t xml:space="preserve">revenue </w:t>
      </w:r>
      <w:r w:rsidRPr="000314C2">
        <w:rPr>
          <w:szCs w:val="18"/>
        </w:rPr>
        <w:t>between 2016-17 and 2020-21</w:t>
      </w:r>
      <w:r w:rsidR="00E94966">
        <w:rPr>
          <w:szCs w:val="18"/>
        </w:rPr>
        <w:t>.</w:t>
      </w:r>
      <w:r w:rsidR="00B96176" w:rsidRPr="00B96176">
        <w:t xml:space="preserve"> </w:t>
      </w:r>
      <w:r w:rsidR="00B96176" w:rsidRPr="00B96176">
        <w:rPr>
          <w:szCs w:val="18"/>
        </w:rPr>
        <w:t>The additional revenue budgeted for 2020-21 from rates and charges is $222.1 million which represents a 3.</w:t>
      </w:r>
      <w:r w:rsidR="002F5A31">
        <w:rPr>
          <w:szCs w:val="18"/>
        </w:rPr>
        <w:t>08</w:t>
      </w:r>
      <w:r w:rsidR="00B96176" w:rsidRPr="00B96176">
        <w:rPr>
          <w:szCs w:val="18"/>
        </w:rPr>
        <w:t xml:space="preserve"> per cent increase on the total from 2019-20 adopted budgets. </w:t>
      </w:r>
      <w:r w:rsidR="00E94966">
        <w:rPr>
          <w:szCs w:val="18"/>
        </w:rPr>
        <w:t xml:space="preserve"> </w:t>
      </w:r>
      <w:r w:rsidRPr="000314C2">
        <w:rPr>
          <w:szCs w:val="18"/>
        </w:rPr>
        <w:t xml:space="preserve"> </w:t>
      </w:r>
    </w:p>
    <w:p w14:paraId="7FB9B892" w14:textId="30B714B1" w:rsidR="000314C2" w:rsidRDefault="000314C2" w:rsidP="000314C2">
      <w:pPr>
        <w:pStyle w:val="Caption"/>
        <w:spacing w:after="60"/>
        <w:rPr>
          <w:b/>
          <w:bCs/>
          <w:i w:val="0"/>
          <w:iCs w:val="0"/>
        </w:rPr>
      </w:pPr>
      <w:r w:rsidRPr="000314C2">
        <w:rPr>
          <w:b/>
          <w:bCs/>
          <w:i w:val="0"/>
          <w:iCs w:val="0"/>
        </w:rPr>
        <w:t>Figure 7 Growth in budgeted rates and charges revenue 2016-17 to 2020-21</w:t>
      </w:r>
    </w:p>
    <w:p w14:paraId="52DF851D" w14:textId="60765EC2" w:rsidR="000314C2" w:rsidRDefault="004A510C" w:rsidP="008D6D25">
      <w:pPr>
        <w:rPr>
          <w:sz w:val="16"/>
          <w:szCs w:val="16"/>
        </w:rPr>
      </w:pPr>
      <w:r>
        <w:rPr>
          <w:noProof/>
        </w:rPr>
        <w:drawing>
          <wp:anchor distT="0" distB="0" distL="114300" distR="114300" simplePos="0" relativeHeight="251658254" behindDoc="0" locked="0" layoutInCell="1" allowOverlap="1" wp14:anchorId="64BF71F0" wp14:editId="45E23283">
            <wp:simplePos x="0" y="0"/>
            <wp:positionH relativeFrom="column">
              <wp:posOffset>3810</wp:posOffset>
            </wp:positionH>
            <wp:positionV relativeFrom="paragraph">
              <wp:posOffset>35560</wp:posOffset>
            </wp:positionV>
            <wp:extent cx="5597526" cy="1993900"/>
            <wp:effectExtent l="0" t="0" r="3175" b="6350"/>
            <wp:wrapSquare wrapText="bothSides"/>
            <wp:docPr id="47" name="Chart 47">
              <a:extLst xmlns:a="http://schemas.openxmlformats.org/drawingml/2006/main">
                <a:ext uri="{FF2B5EF4-FFF2-40B4-BE49-F238E27FC236}">
                  <a16:creationId xmlns:a16="http://schemas.microsoft.com/office/drawing/2014/main" id="{9743D06D-9FE8-4633-B850-87D2539E57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0314C2"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000314C2" w:rsidRPr="00836333">
        <w:rPr>
          <w:sz w:val="16"/>
          <w:szCs w:val="16"/>
        </w:rPr>
        <w:t>budgets</w:t>
      </w:r>
    </w:p>
    <w:p w14:paraId="64028625" w14:textId="6EFB1E9E" w:rsidR="000314C2" w:rsidRPr="000314C2" w:rsidRDefault="004D67E6" w:rsidP="00186E76">
      <w:pPr>
        <w:pStyle w:val="BodyText"/>
        <w:spacing w:before="0"/>
        <w:rPr>
          <w:color w:val="53565A" w:themeColor="accent2"/>
          <w:sz w:val="18"/>
          <w:szCs w:val="18"/>
        </w:rPr>
      </w:pPr>
      <w:r w:rsidRPr="004D67E6">
        <w:rPr>
          <w:b/>
          <w:bCs/>
          <w:color w:val="53565A" w:themeColor="accent2"/>
          <w:sz w:val="18"/>
          <w:szCs w:val="18"/>
        </w:rPr>
        <w:t>Figure 8</w:t>
      </w:r>
      <w:r w:rsidRPr="004D67E6">
        <w:rPr>
          <w:color w:val="53565A" w:themeColor="accent2"/>
          <w:sz w:val="18"/>
          <w:szCs w:val="18"/>
        </w:rPr>
        <w:t xml:space="preserve"> shows the rate of growth in budgeted waste charges between 201</w:t>
      </w:r>
      <w:r w:rsidR="00E32AD3">
        <w:rPr>
          <w:color w:val="53565A" w:themeColor="accent2"/>
          <w:sz w:val="18"/>
          <w:szCs w:val="18"/>
        </w:rPr>
        <w:t>6</w:t>
      </w:r>
      <w:r w:rsidRPr="004D67E6">
        <w:rPr>
          <w:color w:val="53565A" w:themeColor="accent2"/>
          <w:sz w:val="18"/>
          <w:szCs w:val="18"/>
        </w:rPr>
        <w:t>-1</w:t>
      </w:r>
      <w:r w:rsidR="00E32AD3">
        <w:rPr>
          <w:color w:val="53565A" w:themeColor="accent2"/>
          <w:sz w:val="18"/>
          <w:szCs w:val="18"/>
        </w:rPr>
        <w:t>7</w:t>
      </w:r>
      <w:r w:rsidRPr="004D67E6">
        <w:rPr>
          <w:color w:val="53565A" w:themeColor="accent2"/>
          <w:sz w:val="18"/>
          <w:szCs w:val="18"/>
        </w:rPr>
        <w:t xml:space="preserve"> and 2020-21. </w:t>
      </w:r>
      <w:r w:rsidR="000314C2" w:rsidRPr="000314C2">
        <w:rPr>
          <w:color w:val="53565A" w:themeColor="accent2"/>
          <w:sz w:val="18"/>
          <w:szCs w:val="18"/>
        </w:rPr>
        <w:t>The increase in budgeted waste charges revenue over the last f</w:t>
      </w:r>
      <w:r w:rsidR="00394AB8">
        <w:rPr>
          <w:color w:val="53565A" w:themeColor="accent2"/>
          <w:sz w:val="18"/>
          <w:szCs w:val="18"/>
        </w:rPr>
        <w:t>ive</w:t>
      </w:r>
      <w:r w:rsidR="000314C2" w:rsidRPr="000314C2">
        <w:rPr>
          <w:color w:val="53565A" w:themeColor="accent2"/>
          <w:sz w:val="18"/>
          <w:szCs w:val="18"/>
        </w:rPr>
        <w:t xml:space="preserve"> years has been substantially higher than both budgeted general rates revenue and consumer price index increases</w:t>
      </w:r>
      <w:r w:rsidR="00DA037F">
        <w:rPr>
          <w:color w:val="53565A" w:themeColor="accent2"/>
          <w:sz w:val="18"/>
          <w:szCs w:val="18"/>
        </w:rPr>
        <w:t>. Budgeted waste charges revenue</w:t>
      </w:r>
      <w:r w:rsidR="00F57C20">
        <w:rPr>
          <w:color w:val="53565A" w:themeColor="accent2"/>
          <w:sz w:val="18"/>
          <w:szCs w:val="18"/>
        </w:rPr>
        <w:t xml:space="preserve"> grew</w:t>
      </w:r>
      <w:r w:rsidR="000314C2" w:rsidRPr="000314C2">
        <w:rPr>
          <w:color w:val="53565A" w:themeColor="accent2"/>
          <w:sz w:val="18"/>
          <w:szCs w:val="18"/>
        </w:rPr>
        <w:t xml:space="preserve"> 5.7% in 2017-18, 11.0% in 2018-19, 5.8% in 2019-20 and </w:t>
      </w:r>
      <w:r w:rsidR="00EF5E50">
        <w:rPr>
          <w:color w:val="53565A" w:themeColor="accent2"/>
          <w:sz w:val="18"/>
          <w:szCs w:val="18"/>
        </w:rPr>
        <w:t>6</w:t>
      </w:r>
      <w:r w:rsidR="000314C2" w:rsidRPr="000314C2">
        <w:rPr>
          <w:color w:val="53565A" w:themeColor="accent2"/>
          <w:sz w:val="18"/>
          <w:szCs w:val="18"/>
        </w:rPr>
        <w:t>.</w:t>
      </w:r>
      <w:r w:rsidR="00EF5E50">
        <w:rPr>
          <w:color w:val="53565A" w:themeColor="accent2"/>
          <w:sz w:val="18"/>
          <w:szCs w:val="18"/>
        </w:rPr>
        <w:t>50</w:t>
      </w:r>
      <w:r w:rsidR="000314C2" w:rsidRPr="000314C2">
        <w:rPr>
          <w:color w:val="53565A" w:themeColor="accent2"/>
          <w:sz w:val="18"/>
          <w:szCs w:val="18"/>
        </w:rPr>
        <w:t>% in 2020-21.</w:t>
      </w:r>
      <w:r w:rsidR="00315020">
        <w:rPr>
          <w:color w:val="53565A" w:themeColor="accent2"/>
          <w:sz w:val="18"/>
          <w:szCs w:val="18"/>
        </w:rPr>
        <w:t xml:space="preserve"> </w:t>
      </w:r>
      <w:r w:rsidR="00186E76" w:rsidRPr="00186E76">
        <w:rPr>
          <w:color w:val="53565A" w:themeColor="accent2"/>
          <w:sz w:val="18"/>
          <w:szCs w:val="18"/>
        </w:rPr>
        <w:t>The main</w:t>
      </w:r>
      <w:r w:rsidR="00186E76">
        <w:rPr>
          <w:color w:val="53565A" w:themeColor="accent2"/>
          <w:sz w:val="18"/>
          <w:szCs w:val="18"/>
        </w:rPr>
        <w:t xml:space="preserve"> </w:t>
      </w:r>
      <w:r w:rsidR="00186E76" w:rsidRPr="00186E76">
        <w:rPr>
          <w:color w:val="53565A" w:themeColor="accent2"/>
          <w:sz w:val="18"/>
          <w:szCs w:val="18"/>
        </w:rPr>
        <w:t>driver of increased waste charges in recent years has been the change in China’s policy in 2018 to stop the</w:t>
      </w:r>
      <w:r w:rsidR="00186E76">
        <w:rPr>
          <w:color w:val="53565A" w:themeColor="accent2"/>
          <w:sz w:val="18"/>
          <w:szCs w:val="18"/>
        </w:rPr>
        <w:t xml:space="preserve"> </w:t>
      </w:r>
      <w:r w:rsidR="00186E76" w:rsidRPr="00186E76">
        <w:rPr>
          <w:color w:val="53565A" w:themeColor="accent2"/>
          <w:sz w:val="18"/>
          <w:szCs w:val="18"/>
        </w:rPr>
        <w:t>import of low quality mixed recyclable materials.</w:t>
      </w:r>
    </w:p>
    <w:p w14:paraId="732764AB" w14:textId="7A52CA0C" w:rsidR="00851293" w:rsidRDefault="000314C2" w:rsidP="000314C2">
      <w:pPr>
        <w:pStyle w:val="Caption"/>
        <w:spacing w:after="60"/>
        <w:rPr>
          <w:b/>
          <w:bCs/>
          <w:i w:val="0"/>
          <w:iCs w:val="0"/>
        </w:rPr>
      </w:pPr>
      <w:r w:rsidRPr="00B6229F">
        <w:rPr>
          <w:b/>
          <w:bCs/>
          <w:i w:val="0"/>
          <w:iCs w:val="0"/>
        </w:rPr>
        <w:t xml:space="preserve">Figure </w:t>
      </w:r>
      <w:r>
        <w:rPr>
          <w:b/>
          <w:bCs/>
          <w:i w:val="0"/>
          <w:iCs w:val="0"/>
        </w:rPr>
        <w:t>8</w:t>
      </w:r>
      <w:r w:rsidRPr="00B6229F">
        <w:rPr>
          <w:b/>
          <w:bCs/>
          <w:i w:val="0"/>
          <w:iCs w:val="0"/>
        </w:rPr>
        <w:t xml:space="preserve"> </w:t>
      </w:r>
      <w:r>
        <w:rPr>
          <w:b/>
          <w:bCs/>
          <w:i w:val="0"/>
          <w:iCs w:val="0"/>
        </w:rPr>
        <w:t xml:space="preserve">Growth in budgeted </w:t>
      </w:r>
      <w:r w:rsidR="00831511">
        <w:rPr>
          <w:b/>
          <w:bCs/>
          <w:i w:val="0"/>
          <w:iCs w:val="0"/>
        </w:rPr>
        <w:t>w</w:t>
      </w:r>
      <w:r>
        <w:rPr>
          <w:b/>
          <w:bCs/>
          <w:i w:val="0"/>
          <w:iCs w:val="0"/>
        </w:rPr>
        <w:t>aste charges revenue 2016-17 to 2020-21</w:t>
      </w:r>
    </w:p>
    <w:p w14:paraId="0B98E135" w14:textId="5AFB751D" w:rsidR="000314C2" w:rsidRDefault="00A1596E" w:rsidP="008D6D25">
      <w:pPr>
        <w:rPr>
          <w:sz w:val="16"/>
          <w:szCs w:val="16"/>
        </w:rPr>
      </w:pPr>
      <w:r>
        <w:rPr>
          <w:noProof/>
        </w:rPr>
        <w:drawing>
          <wp:anchor distT="0" distB="0" distL="114300" distR="114300" simplePos="0" relativeHeight="251658255" behindDoc="0" locked="0" layoutInCell="1" allowOverlap="1" wp14:anchorId="70A7FF09" wp14:editId="79C65ACA">
            <wp:simplePos x="0" y="0"/>
            <wp:positionH relativeFrom="column">
              <wp:posOffset>3810</wp:posOffset>
            </wp:positionH>
            <wp:positionV relativeFrom="paragraph">
              <wp:posOffset>34290</wp:posOffset>
            </wp:positionV>
            <wp:extent cx="5610225" cy="1701800"/>
            <wp:effectExtent l="0" t="0" r="9525" b="12700"/>
            <wp:wrapSquare wrapText="bothSides"/>
            <wp:docPr id="5" name="Chart 5">
              <a:extLst xmlns:a="http://schemas.openxmlformats.org/drawingml/2006/main">
                <a:ext uri="{FF2B5EF4-FFF2-40B4-BE49-F238E27FC236}">
                  <a16:creationId xmlns:a16="http://schemas.microsoft.com/office/drawing/2014/main" id="{1B211FD8-D83C-40CD-B495-D0AD656E2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0314C2"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000314C2" w:rsidRPr="00836333">
        <w:rPr>
          <w:sz w:val="16"/>
          <w:szCs w:val="16"/>
        </w:rPr>
        <w:t>budgets</w:t>
      </w:r>
    </w:p>
    <w:p w14:paraId="030463FB" w14:textId="23EBC2EE" w:rsidR="000314C2" w:rsidRDefault="005B2087" w:rsidP="000314C2">
      <w:pPr>
        <w:pStyle w:val="Caption"/>
        <w:rPr>
          <w:rFonts w:eastAsia="Times New Roman" w:cs="Times New Roman"/>
          <w:i w:val="0"/>
          <w:iCs w:val="0"/>
          <w:color w:val="53565A" w:themeColor="accent2"/>
        </w:rPr>
      </w:pPr>
      <w:r w:rsidRPr="005B2087">
        <w:rPr>
          <w:rFonts w:eastAsia="Times New Roman" w:cs="Times New Roman"/>
          <w:b/>
          <w:bCs/>
          <w:i w:val="0"/>
          <w:iCs w:val="0"/>
          <w:color w:val="53565A" w:themeColor="accent2"/>
        </w:rPr>
        <w:t>Figure 9</w:t>
      </w:r>
      <w:r w:rsidRPr="005B2087">
        <w:rPr>
          <w:rFonts w:eastAsia="Times New Roman" w:cs="Times New Roman"/>
          <w:i w:val="0"/>
          <w:iCs w:val="0"/>
          <w:color w:val="53565A" w:themeColor="accent2"/>
        </w:rPr>
        <w:t xml:space="preserve"> shows the increasing trend in new rateable properties (assessments) from 2013-14 to 20</w:t>
      </w:r>
      <w:r w:rsidR="007522BB">
        <w:rPr>
          <w:rFonts w:eastAsia="Times New Roman" w:cs="Times New Roman"/>
          <w:i w:val="0"/>
          <w:iCs w:val="0"/>
          <w:color w:val="53565A" w:themeColor="accent2"/>
        </w:rPr>
        <w:t>20</w:t>
      </w:r>
      <w:r w:rsidRPr="005B2087">
        <w:rPr>
          <w:rFonts w:eastAsia="Times New Roman" w:cs="Times New Roman"/>
          <w:i w:val="0"/>
          <w:iCs w:val="0"/>
          <w:color w:val="53565A" w:themeColor="accent2"/>
        </w:rPr>
        <w:t>-2</w:t>
      </w:r>
      <w:r w:rsidR="007522BB">
        <w:rPr>
          <w:rFonts w:eastAsia="Times New Roman" w:cs="Times New Roman"/>
          <w:i w:val="0"/>
          <w:iCs w:val="0"/>
          <w:color w:val="53565A" w:themeColor="accent2"/>
        </w:rPr>
        <w:t>1</w:t>
      </w:r>
      <w:r w:rsidRPr="005B2087">
        <w:rPr>
          <w:rFonts w:eastAsia="Times New Roman" w:cs="Times New Roman"/>
          <w:i w:val="0"/>
          <w:iCs w:val="0"/>
          <w:color w:val="53565A" w:themeColor="accent2"/>
        </w:rPr>
        <w:t xml:space="preserve"> by cohort.</w:t>
      </w:r>
      <w:r>
        <w:rPr>
          <w:rFonts w:eastAsia="Times New Roman" w:cs="Times New Roman"/>
          <w:i w:val="0"/>
          <w:iCs w:val="0"/>
          <w:color w:val="53565A" w:themeColor="accent2"/>
        </w:rPr>
        <w:t xml:space="preserve"> </w:t>
      </w:r>
      <w:r w:rsidR="000314C2" w:rsidRPr="000314C2">
        <w:rPr>
          <w:rFonts w:eastAsia="Times New Roman" w:cs="Times New Roman"/>
          <w:i w:val="0"/>
          <w:iCs w:val="0"/>
          <w:color w:val="53565A" w:themeColor="accent2"/>
        </w:rPr>
        <w:t xml:space="preserve">The steady growth in assessments is also reflected in the percentage increase in total rates and charges revenue in </w:t>
      </w:r>
      <w:r w:rsidR="000314C2" w:rsidRPr="009403DF">
        <w:rPr>
          <w:rFonts w:eastAsia="Times New Roman" w:cs="Times New Roman"/>
          <w:b/>
          <w:bCs/>
          <w:i w:val="0"/>
          <w:iCs w:val="0"/>
          <w:color w:val="53565A" w:themeColor="accent2"/>
        </w:rPr>
        <w:t xml:space="preserve">Figure </w:t>
      </w:r>
      <w:r w:rsidR="009403DF">
        <w:rPr>
          <w:rFonts w:eastAsia="Times New Roman" w:cs="Times New Roman"/>
          <w:b/>
          <w:bCs/>
          <w:i w:val="0"/>
          <w:iCs w:val="0"/>
          <w:color w:val="53565A" w:themeColor="accent2"/>
        </w:rPr>
        <w:t>7</w:t>
      </w:r>
      <w:r w:rsidR="000314C2" w:rsidRPr="000314C2">
        <w:rPr>
          <w:rFonts w:eastAsia="Times New Roman" w:cs="Times New Roman"/>
          <w:i w:val="0"/>
          <w:iCs w:val="0"/>
          <w:color w:val="53565A" w:themeColor="accent2"/>
        </w:rPr>
        <w:t xml:space="preserve"> above</w:t>
      </w:r>
      <w:r w:rsidR="00216557">
        <w:rPr>
          <w:rFonts w:eastAsia="Times New Roman" w:cs="Times New Roman"/>
          <w:i w:val="0"/>
          <w:iCs w:val="0"/>
          <w:color w:val="53565A" w:themeColor="accent2"/>
        </w:rPr>
        <w:t>.</w:t>
      </w:r>
    </w:p>
    <w:p w14:paraId="5A7C50B9" w14:textId="546186B0" w:rsidR="000314C2" w:rsidRDefault="000314C2" w:rsidP="000314C2">
      <w:pPr>
        <w:pStyle w:val="Caption"/>
        <w:spacing w:after="60"/>
        <w:rPr>
          <w:b/>
          <w:bCs/>
          <w:i w:val="0"/>
          <w:iCs w:val="0"/>
        </w:rPr>
      </w:pPr>
      <w:r w:rsidRPr="00B6229F">
        <w:rPr>
          <w:b/>
          <w:bCs/>
          <w:i w:val="0"/>
          <w:iCs w:val="0"/>
        </w:rPr>
        <w:t xml:space="preserve">Figure </w:t>
      </w:r>
      <w:r>
        <w:rPr>
          <w:b/>
          <w:bCs/>
          <w:i w:val="0"/>
          <w:iCs w:val="0"/>
        </w:rPr>
        <w:t>9</w:t>
      </w:r>
      <w:r w:rsidRPr="00B6229F">
        <w:rPr>
          <w:b/>
          <w:bCs/>
          <w:i w:val="0"/>
          <w:iCs w:val="0"/>
        </w:rPr>
        <w:t xml:space="preserve"> </w:t>
      </w:r>
      <w:r>
        <w:rPr>
          <w:b/>
          <w:bCs/>
          <w:i w:val="0"/>
          <w:iCs w:val="0"/>
        </w:rPr>
        <w:t>Number of assessments by council cohort from 2013-14 to 20</w:t>
      </w:r>
      <w:r w:rsidR="007522BB">
        <w:rPr>
          <w:b/>
          <w:bCs/>
          <w:i w:val="0"/>
          <w:iCs w:val="0"/>
        </w:rPr>
        <w:t>20</w:t>
      </w:r>
      <w:r>
        <w:rPr>
          <w:b/>
          <w:bCs/>
          <w:i w:val="0"/>
          <w:iCs w:val="0"/>
        </w:rPr>
        <w:t>-2</w:t>
      </w:r>
      <w:r w:rsidR="007522BB">
        <w:rPr>
          <w:b/>
          <w:bCs/>
          <w:i w:val="0"/>
          <w:iCs w:val="0"/>
        </w:rPr>
        <w:t>1</w:t>
      </w:r>
    </w:p>
    <w:p w14:paraId="05AFB958" w14:textId="3C39CE2B" w:rsidR="000314C2" w:rsidRDefault="00E569F0" w:rsidP="008D6D25">
      <w:pPr>
        <w:rPr>
          <w:sz w:val="16"/>
          <w:szCs w:val="16"/>
        </w:rPr>
      </w:pPr>
      <w:r>
        <w:rPr>
          <w:noProof/>
        </w:rPr>
        <w:drawing>
          <wp:anchor distT="0" distB="0" distL="114300" distR="114300" simplePos="0" relativeHeight="251658256" behindDoc="0" locked="0" layoutInCell="1" allowOverlap="1" wp14:anchorId="2E373923" wp14:editId="26DF6C18">
            <wp:simplePos x="0" y="0"/>
            <wp:positionH relativeFrom="column">
              <wp:posOffset>3810</wp:posOffset>
            </wp:positionH>
            <wp:positionV relativeFrom="paragraph">
              <wp:posOffset>36830</wp:posOffset>
            </wp:positionV>
            <wp:extent cx="5848350" cy="1800225"/>
            <wp:effectExtent l="0" t="0" r="0" b="9525"/>
            <wp:wrapSquare wrapText="bothSides"/>
            <wp:docPr id="13" name="Chart 13">
              <a:extLst xmlns:a="http://schemas.openxmlformats.org/drawingml/2006/main">
                <a:ext uri="{FF2B5EF4-FFF2-40B4-BE49-F238E27FC236}">
                  <a16:creationId xmlns:a16="http://schemas.microsoft.com/office/drawing/2014/main" id="{AC8DC58F-A0A4-47C7-B7A3-A6AFC13EE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0314C2" w:rsidRPr="00836333">
        <w:rPr>
          <w:sz w:val="16"/>
          <w:szCs w:val="16"/>
        </w:rPr>
        <w:t xml:space="preserve">Source: </w:t>
      </w:r>
      <w:r w:rsidR="000314C2">
        <w:rPr>
          <w:sz w:val="16"/>
          <w:szCs w:val="16"/>
        </w:rPr>
        <w:t xml:space="preserve">2013-14 - </w:t>
      </w:r>
      <w:r w:rsidR="000314C2" w:rsidRPr="00836333">
        <w:rPr>
          <w:sz w:val="16"/>
          <w:szCs w:val="16"/>
        </w:rPr>
        <w:t>20</w:t>
      </w:r>
      <w:r w:rsidR="007522BB">
        <w:rPr>
          <w:sz w:val="16"/>
          <w:szCs w:val="16"/>
        </w:rPr>
        <w:t>20</w:t>
      </w:r>
      <w:r w:rsidR="000314C2" w:rsidRPr="00836333">
        <w:rPr>
          <w:sz w:val="16"/>
          <w:szCs w:val="16"/>
        </w:rPr>
        <w:t>-2</w:t>
      </w:r>
      <w:r w:rsidR="007522BB">
        <w:rPr>
          <w:sz w:val="16"/>
          <w:szCs w:val="16"/>
        </w:rPr>
        <w:t>1</w:t>
      </w:r>
      <w:r w:rsidR="000314C2" w:rsidRPr="00836333">
        <w:rPr>
          <w:sz w:val="16"/>
          <w:szCs w:val="16"/>
        </w:rPr>
        <w:t xml:space="preserve"> adopted budgets</w:t>
      </w:r>
    </w:p>
    <w:p w14:paraId="51077795" w14:textId="7E7DCE47" w:rsidR="00E22DF6" w:rsidRPr="00145250" w:rsidRDefault="00DB4BF4" w:rsidP="00797FE6">
      <w:pPr>
        <w:pStyle w:val="Caption"/>
        <w:rPr>
          <w:color w:val="53565A" w:themeColor="accent2"/>
        </w:rPr>
      </w:pPr>
      <w:r w:rsidRPr="00145250">
        <w:rPr>
          <w:rFonts w:eastAsia="Times New Roman" w:cs="Times New Roman"/>
          <w:i w:val="0"/>
          <w:iCs w:val="0"/>
          <w:color w:val="53565A" w:themeColor="accent2"/>
        </w:rPr>
        <w:lastRenderedPageBreak/>
        <w:t>The collective growth</w:t>
      </w:r>
      <w:r>
        <w:rPr>
          <w:rFonts w:eastAsia="Times New Roman" w:cs="Times New Roman"/>
          <w:i w:val="0"/>
          <w:iCs w:val="0"/>
          <w:color w:val="53565A" w:themeColor="accent2"/>
        </w:rPr>
        <w:t xml:space="preserve"> in number of assessments</w:t>
      </w:r>
      <w:r w:rsidRPr="00145250">
        <w:rPr>
          <w:rFonts w:eastAsia="Times New Roman" w:cs="Times New Roman"/>
          <w:i w:val="0"/>
          <w:iCs w:val="0"/>
          <w:color w:val="53565A" w:themeColor="accent2"/>
        </w:rPr>
        <w:t xml:space="preserve"> has averaged around 1.</w:t>
      </w:r>
      <w:r>
        <w:rPr>
          <w:rFonts w:eastAsia="Times New Roman" w:cs="Times New Roman"/>
          <w:i w:val="0"/>
          <w:iCs w:val="0"/>
          <w:color w:val="53565A" w:themeColor="accent2"/>
        </w:rPr>
        <w:t>9</w:t>
      </w:r>
      <w:r w:rsidRPr="00145250">
        <w:rPr>
          <w:rFonts w:eastAsia="Times New Roman" w:cs="Times New Roman"/>
          <w:i w:val="0"/>
          <w:iCs w:val="0"/>
          <w:color w:val="53565A" w:themeColor="accent2"/>
        </w:rPr>
        <w:t xml:space="preserve">% per annum over the past </w:t>
      </w:r>
      <w:r>
        <w:rPr>
          <w:rFonts w:eastAsia="Times New Roman" w:cs="Times New Roman"/>
          <w:i w:val="0"/>
          <w:iCs w:val="0"/>
          <w:color w:val="53565A" w:themeColor="accent2"/>
        </w:rPr>
        <w:t>seven</w:t>
      </w:r>
      <w:r w:rsidRPr="00145250">
        <w:rPr>
          <w:rFonts w:eastAsia="Times New Roman" w:cs="Times New Roman"/>
          <w:i w:val="0"/>
          <w:iCs w:val="0"/>
          <w:color w:val="53565A" w:themeColor="accent2"/>
        </w:rPr>
        <w:t xml:space="preserve"> years.</w:t>
      </w:r>
      <w:r>
        <w:rPr>
          <w:rFonts w:eastAsia="Times New Roman" w:cs="Times New Roman"/>
          <w:i w:val="0"/>
          <w:iCs w:val="0"/>
          <w:color w:val="53565A" w:themeColor="accent2"/>
        </w:rPr>
        <w:t xml:space="preserve"> </w:t>
      </w:r>
      <w:r w:rsidRPr="00797FE6">
        <w:rPr>
          <w:rFonts w:eastAsia="Times New Roman" w:cs="Times New Roman"/>
          <w:b/>
          <w:bCs/>
          <w:i w:val="0"/>
          <w:iCs w:val="0"/>
          <w:color w:val="53565A" w:themeColor="accent2"/>
        </w:rPr>
        <w:t>Figure 9a</w:t>
      </w:r>
      <w:r>
        <w:rPr>
          <w:rFonts w:eastAsia="Times New Roman" w:cs="Times New Roman"/>
          <w:i w:val="0"/>
          <w:iCs w:val="0"/>
          <w:color w:val="53565A" w:themeColor="accent2"/>
        </w:rPr>
        <w:t xml:space="preserve"> </w:t>
      </w:r>
      <w:r w:rsidRPr="00145250">
        <w:rPr>
          <w:rFonts w:eastAsia="Times New Roman" w:cs="Times New Roman"/>
          <w:i w:val="0"/>
          <w:iCs w:val="0"/>
          <w:color w:val="53565A" w:themeColor="accent2"/>
        </w:rPr>
        <w:t>shows the change in number of assessments between 2014-15 and 20</w:t>
      </w:r>
      <w:r w:rsidR="00B97812">
        <w:rPr>
          <w:rFonts w:eastAsia="Times New Roman" w:cs="Times New Roman"/>
          <w:i w:val="0"/>
          <w:iCs w:val="0"/>
          <w:color w:val="53565A" w:themeColor="accent2"/>
        </w:rPr>
        <w:t>20</w:t>
      </w:r>
      <w:r w:rsidRPr="00145250">
        <w:rPr>
          <w:rFonts w:eastAsia="Times New Roman" w:cs="Times New Roman"/>
          <w:i w:val="0"/>
          <w:iCs w:val="0"/>
          <w:color w:val="53565A" w:themeColor="accent2"/>
        </w:rPr>
        <w:t>-2</w:t>
      </w:r>
      <w:r w:rsidR="00B97812">
        <w:rPr>
          <w:rFonts w:eastAsia="Times New Roman" w:cs="Times New Roman"/>
          <w:i w:val="0"/>
          <w:iCs w:val="0"/>
          <w:color w:val="53565A" w:themeColor="accent2"/>
        </w:rPr>
        <w:t>1</w:t>
      </w:r>
      <w:r w:rsidRPr="00145250">
        <w:rPr>
          <w:rFonts w:eastAsia="Times New Roman" w:cs="Times New Roman"/>
          <w:i w:val="0"/>
          <w:iCs w:val="0"/>
          <w:color w:val="53565A" w:themeColor="accent2"/>
        </w:rPr>
        <w:t xml:space="preserve"> by</w:t>
      </w:r>
      <w:r>
        <w:rPr>
          <w:rFonts w:eastAsia="Times New Roman" w:cs="Times New Roman"/>
          <w:i w:val="0"/>
          <w:iCs w:val="0"/>
          <w:color w:val="53565A" w:themeColor="accent2"/>
        </w:rPr>
        <w:t xml:space="preserve"> </w:t>
      </w:r>
      <w:r w:rsidRPr="00145250">
        <w:rPr>
          <w:rFonts w:eastAsia="Times New Roman" w:cs="Times New Roman"/>
          <w:i w:val="0"/>
          <w:iCs w:val="0"/>
          <w:color w:val="53565A" w:themeColor="accent2"/>
        </w:rPr>
        <w:t>cohort.</w:t>
      </w:r>
    </w:p>
    <w:p w14:paraId="599501C5" w14:textId="48915DAB" w:rsidR="00DB4BF4" w:rsidRDefault="00DB4BF4" w:rsidP="00DB4BF4">
      <w:pPr>
        <w:pStyle w:val="Caption"/>
        <w:spacing w:after="60"/>
        <w:rPr>
          <w:b/>
          <w:bCs/>
          <w:i w:val="0"/>
          <w:iCs w:val="0"/>
        </w:rPr>
      </w:pPr>
      <w:r w:rsidRPr="00B6229F">
        <w:rPr>
          <w:b/>
          <w:bCs/>
          <w:i w:val="0"/>
          <w:iCs w:val="0"/>
        </w:rPr>
        <w:t xml:space="preserve">Figure </w:t>
      </w:r>
      <w:r>
        <w:rPr>
          <w:b/>
          <w:bCs/>
          <w:i w:val="0"/>
          <w:iCs w:val="0"/>
        </w:rPr>
        <w:t>9</w:t>
      </w:r>
      <w:r w:rsidR="00145250">
        <w:rPr>
          <w:b/>
          <w:bCs/>
          <w:i w:val="0"/>
          <w:iCs w:val="0"/>
        </w:rPr>
        <w:t>a</w:t>
      </w:r>
      <w:r w:rsidRPr="00B6229F">
        <w:rPr>
          <w:b/>
          <w:bCs/>
          <w:i w:val="0"/>
          <w:iCs w:val="0"/>
        </w:rPr>
        <w:t xml:space="preserve"> </w:t>
      </w:r>
      <w:r w:rsidR="00B97812">
        <w:rPr>
          <w:b/>
          <w:bCs/>
          <w:i w:val="0"/>
          <w:iCs w:val="0"/>
        </w:rPr>
        <w:t>Percentage change in</w:t>
      </w:r>
      <w:r>
        <w:rPr>
          <w:b/>
          <w:bCs/>
          <w:i w:val="0"/>
          <w:iCs w:val="0"/>
        </w:rPr>
        <w:t xml:space="preserve"> assessments by council cohort from 201</w:t>
      </w:r>
      <w:r w:rsidR="0018464B">
        <w:rPr>
          <w:b/>
          <w:bCs/>
          <w:i w:val="0"/>
          <w:iCs w:val="0"/>
        </w:rPr>
        <w:t>4</w:t>
      </w:r>
      <w:r>
        <w:rPr>
          <w:b/>
          <w:bCs/>
          <w:i w:val="0"/>
          <w:iCs w:val="0"/>
        </w:rPr>
        <w:t>-1</w:t>
      </w:r>
      <w:r w:rsidR="0018464B">
        <w:rPr>
          <w:b/>
          <w:bCs/>
          <w:i w:val="0"/>
          <w:iCs w:val="0"/>
        </w:rPr>
        <w:t>5</w:t>
      </w:r>
      <w:r>
        <w:rPr>
          <w:b/>
          <w:bCs/>
          <w:i w:val="0"/>
          <w:iCs w:val="0"/>
        </w:rPr>
        <w:t xml:space="preserve"> to 2020-21</w:t>
      </w:r>
    </w:p>
    <w:p w14:paraId="2C48AA89" w14:textId="0A3D7CC0" w:rsidR="00DB4BF4" w:rsidRDefault="00DB4BF4" w:rsidP="00DB4BF4">
      <w:pPr>
        <w:rPr>
          <w:sz w:val="16"/>
          <w:szCs w:val="16"/>
        </w:rPr>
      </w:pPr>
      <w:r w:rsidRPr="00797FE6">
        <w:rPr>
          <w:noProof/>
          <w:sz w:val="16"/>
          <w:szCs w:val="18"/>
        </w:rPr>
        <w:drawing>
          <wp:inline distT="0" distB="0" distL="0" distR="0" wp14:anchorId="1B8C6345" wp14:editId="5E26C6DF">
            <wp:extent cx="5760085" cy="1807535"/>
            <wp:effectExtent l="0" t="0" r="12065" b="2540"/>
            <wp:docPr id="3" name="Chart 3">
              <a:extLst xmlns:a="http://schemas.openxmlformats.org/drawingml/2006/main">
                <a:ext uri="{FF2B5EF4-FFF2-40B4-BE49-F238E27FC236}">
                  <a16:creationId xmlns:a16="http://schemas.microsoft.com/office/drawing/2014/main" id="{A2278A22-B076-46B3-B0BE-58635CAE49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sz w:val="16"/>
          <w:szCs w:val="16"/>
        </w:rPr>
        <w:t>S</w:t>
      </w:r>
      <w:r w:rsidRPr="00836333">
        <w:rPr>
          <w:sz w:val="16"/>
          <w:szCs w:val="16"/>
        </w:rPr>
        <w:t xml:space="preserve">ource: </w:t>
      </w:r>
      <w:r>
        <w:rPr>
          <w:sz w:val="16"/>
          <w:szCs w:val="16"/>
        </w:rPr>
        <w:t xml:space="preserve">2013-14 - </w:t>
      </w:r>
      <w:r w:rsidRPr="00836333">
        <w:rPr>
          <w:sz w:val="16"/>
          <w:szCs w:val="16"/>
        </w:rPr>
        <w:t>20</w:t>
      </w:r>
      <w:r>
        <w:rPr>
          <w:sz w:val="16"/>
          <w:szCs w:val="16"/>
        </w:rPr>
        <w:t>20</w:t>
      </w:r>
      <w:r w:rsidRPr="00836333">
        <w:rPr>
          <w:sz w:val="16"/>
          <w:szCs w:val="16"/>
        </w:rPr>
        <w:t>-2</w:t>
      </w:r>
      <w:r>
        <w:rPr>
          <w:sz w:val="16"/>
          <w:szCs w:val="16"/>
        </w:rPr>
        <w:t>1</w:t>
      </w:r>
      <w:r w:rsidRPr="00836333">
        <w:rPr>
          <w:sz w:val="16"/>
          <w:szCs w:val="16"/>
        </w:rPr>
        <w:t xml:space="preserve"> adopted budgets</w:t>
      </w:r>
    </w:p>
    <w:p w14:paraId="01D01D75" w14:textId="1F7759A2" w:rsidR="00C8011E" w:rsidRPr="00145250" w:rsidRDefault="00C8011E" w:rsidP="00797FE6">
      <w:pPr>
        <w:pStyle w:val="Caption"/>
        <w:rPr>
          <w:color w:val="53565A" w:themeColor="accent2"/>
        </w:rPr>
      </w:pPr>
      <w:r w:rsidRPr="00145250">
        <w:rPr>
          <w:rFonts w:eastAsia="Times New Roman" w:cs="Times New Roman"/>
          <w:i w:val="0"/>
          <w:iCs w:val="0"/>
          <w:color w:val="53565A" w:themeColor="accent2"/>
        </w:rPr>
        <w:t>The average growth in local government assessments is broadly consistent with Victoria’s population growth between 2011 and 2020, which averaged an increase of 2% per annum.</w:t>
      </w:r>
      <w:r w:rsidR="008F256F">
        <w:rPr>
          <w:rFonts w:eastAsia="Times New Roman" w:cs="Times New Roman"/>
          <w:i w:val="0"/>
          <w:iCs w:val="0"/>
          <w:color w:val="53565A" w:themeColor="accent2"/>
        </w:rPr>
        <w:t xml:space="preserve"> This is shown in </w:t>
      </w:r>
      <w:r w:rsidR="008F256F" w:rsidRPr="008F256F">
        <w:rPr>
          <w:rFonts w:eastAsia="Times New Roman" w:cs="Times New Roman"/>
          <w:b/>
          <w:bCs/>
          <w:i w:val="0"/>
          <w:iCs w:val="0"/>
          <w:color w:val="53565A" w:themeColor="accent2"/>
        </w:rPr>
        <w:t>Figure 9b</w:t>
      </w:r>
      <w:r w:rsidR="008F256F">
        <w:rPr>
          <w:rFonts w:eastAsia="Times New Roman" w:cs="Times New Roman"/>
          <w:i w:val="0"/>
          <w:iCs w:val="0"/>
          <w:color w:val="53565A" w:themeColor="accent2"/>
        </w:rPr>
        <w:t>.</w:t>
      </w:r>
    </w:p>
    <w:p w14:paraId="01A28EFF" w14:textId="20B7C05D" w:rsidR="003D26AC" w:rsidRDefault="003D26AC" w:rsidP="003D26AC">
      <w:pPr>
        <w:pStyle w:val="Caption"/>
        <w:spacing w:after="60"/>
        <w:rPr>
          <w:b/>
          <w:bCs/>
          <w:i w:val="0"/>
          <w:iCs w:val="0"/>
        </w:rPr>
      </w:pPr>
      <w:r w:rsidRPr="00B6229F">
        <w:rPr>
          <w:b/>
          <w:bCs/>
          <w:i w:val="0"/>
          <w:iCs w:val="0"/>
        </w:rPr>
        <w:t xml:space="preserve">Figure </w:t>
      </w:r>
      <w:r>
        <w:rPr>
          <w:b/>
          <w:bCs/>
          <w:i w:val="0"/>
          <w:iCs w:val="0"/>
        </w:rPr>
        <w:t>9</w:t>
      </w:r>
      <w:r w:rsidR="00DB4BF4">
        <w:rPr>
          <w:b/>
          <w:bCs/>
          <w:i w:val="0"/>
          <w:iCs w:val="0"/>
        </w:rPr>
        <w:t>b</w:t>
      </w:r>
      <w:r w:rsidRPr="00B6229F">
        <w:rPr>
          <w:b/>
          <w:bCs/>
          <w:i w:val="0"/>
          <w:iCs w:val="0"/>
        </w:rPr>
        <w:t xml:space="preserve"> </w:t>
      </w:r>
      <w:r w:rsidR="00DB4BF4">
        <w:rPr>
          <w:b/>
          <w:bCs/>
          <w:i w:val="0"/>
          <w:iCs w:val="0"/>
        </w:rPr>
        <w:t>Percentage change in population</w:t>
      </w:r>
      <w:r>
        <w:rPr>
          <w:b/>
          <w:bCs/>
          <w:i w:val="0"/>
          <w:iCs w:val="0"/>
        </w:rPr>
        <w:t xml:space="preserve"> from 20</w:t>
      </w:r>
      <w:r w:rsidR="00DB4BF4">
        <w:rPr>
          <w:b/>
          <w:bCs/>
          <w:i w:val="0"/>
          <w:iCs w:val="0"/>
        </w:rPr>
        <w:t>11</w:t>
      </w:r>
      <w:r>
        <w:rPr>
          <w:b/>
          <w:bCs/>
          <w:i w:val="0"/>
          <w:iCs w:val="0"/>
        </w:rPr>
        <w:t xml:space="preserve"> to 2020</w:t>
      </w:r>
    </w:p>
    <w:p w14:paraId="5BE1FF9F" w14:textId="592E3981" w:rsidR="00C8011E" w:rsidRPr="00797FE6" w:rsidRDefault="00C8011E" w:rsidP="000314C2">
      <w:pPr>
        <w:pStyle w:val="BodyText"/>
        <w:rPr>
          <w:rFonts w:ascii="Arial" w:hAnsi="Arial"/>
          <w:color w:val="53565A" w:themeColor="accent2"/>
          <w:sz w:val="16"/>
          <w:szCs w:val="16"/>
        </w:rPr>
      </w:pPr>
      <w:r w:rsidRPr="00797FE6">
        <w:rPr>
          <w:noProof/>
          <w:sz w:val="18"/>
          <w:szCs w:val="18"/>
        </w:rPr>
        <w:drawing>
          <wp:inline distT="0" distB="0" distL="0" distR="0" wp14:anchorId="5648B4C2" wp14:editId="32A83E55">
            <wp:extent cx="5760085" cy="2009554"/>
            <wp:effectExtent l="0" t="0" r="12065" b="10160"/>
            <wp:docPr id="2" name="Chart 2">
              <a:extLst xmlns:a="http://schemas.openxmlformats.org/drawingml/2006/main">
                <a:ext uri="{FF2B5EF4-FFF2-40B4-BE49-F238E27FC236}">
                  <a16:creationId xmlns:a16="http://schemas.microsoft.com/office/drawing/2014/main" id="{20BC464E-07A7-41F5-94DE-702235701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797FE6">
        <w:rPr>
          <w:rFonts w:ascii="Arial" w:hAnsi="Arial"/>
          <w:color w:val="53565A" w:themeColor="accent2"/>
          <w:sz w:val="16"/>
          <w:szCs w:val="16"/>
        </w:rPr>
        <w:t xml:space="preserve">Source: </w:t>
      </w:r>
      <w:r w:rsidR="00DB4BF4">
        <w:rPr>
          <w:rFonts w:ascii="Arial" w:hAnsi="Arial"/>
          <w:color w:val="53565A" w:themeColor="accent2"/>
          <w:sz w:val="16"/>
          <w:szCs w:val="16"/>
        </w:rPr>
        <w:t>ABS estimated residential population (ERP)</w:t>
      </w:r>
      <w:r w:rsidR="00DB4BF4" w:rsidRPr="00DB4BF4">
        <w:rPr>
          <w:rFonts w:ascii="Arial" w:hAnsi="Arial"/>
          <w:color w:val="53565A" w:themeColor="accent2"/>
          <w:sz w:val="16"/>
          <w:szCs w:val="16"/>
        </w:rPr>
        <w:t xml:space="preserve"> by LGA (ASGS 2020), 2001 to 2020</w:t>
      </w:r>
    </w:p>
    <w:p w14:paraId="41660ACF" w14:textId="47A1EBF0" w:rsidR="000314C2" w:rsidRPr="000314C2" w:rsidRDefault="000314C2" w:rsidP="000314C2">
      <w:pPr>
        <w:pStyle w:val="BodyText"/>
        <w:rPr>
          <w:color w:val="53565A" w:themeColor="accent2"/>
          <w:sz w:val="18"/>
          <w:szCs w:val="18"/>
        </w:rPr>
      </w:pPr>
      <w:r w:rsidRPr="000314C2">
        <w:rPr>
          <w:color w:val="53565A" w:themeColor="accent2"/>
          <w:sz w:val="18"/>
          <w:szCs w:val="18"/>
        </w:rPr>
        <w:t>Legally</w:t>
      </w:r>
      <w:r w:rsidR="00E22DF6">
        <w:rPr>
          <w:color w:val="53565A" w:themeColor="accent2"/>
          <w:sz w:val="18"/>
          <w:szCs w:val="18"/>
        </w:rPr>
        <w:t>,</w:t>
      </w:r>
      <w:r w:rsidRPr="000314C2">
        <w:rPr>
          <w:color w:val="53565A" w:themeColor="accent2"/>
          <w:sz w:val="18"/>
          <w:szCs w:val="18"/>
        </w:rPr>
        <w:t xml:space="preserve"> rates represent a first charge against a property so councils can ultimately collect this revenue stream. However the economic conditions resulting from COVID-19 have placed many residents and businesses into financial hardship. As the third tier of government in Australia councils are responsible for assisting and supporting their communities, particularly those in financial distress. Many have responded by introducing rate waivers or deferrals and revising their financial hardship policies. </w:t>
      </w:r>
    </w:p>
    <w:p w14:paraId="02B976A1" w14:textId="480B5838" w:rsidR="000314C2" w:rsidRPr="000314C2" w:rsidRDefault="00C6315B" w:rsidP="000314C2">
      <w:pPr>
        <w:pStyle w:val="BodyText"/>
        <w:rPr>
          <w:color w:val="53565A" w:themeColor="accent2"/>
          <w:sz w:val="18"/>
          <w:szCs w:val="18"/>
        </w:rPr>
      </w:pPr>
      <w:r>
        <w:rPr>
          <w:color w:val="53565A" w:themeColor="accent2"/>
          <w:sz w:val="18"/>
          <w:szCs w:val="18"/>
        </w:rPr>
        <w:t xml:space="preserve">The </w:t>
      </w:r>
      <w:r w:rsidR="000314C2" w:rsidRPr="000314C2">
        <w:rPr>
          <w:color w:val="53565A" w:themeColor="accent2"/>
          <w:sz w:val="18"/>
          <w:szCs w:val="18"/>
        </w:rPr>
        <w:t xml:space="preserve">Local Government Finance Professionals (FinPro) is </w:t>
      </w:r>
      <w:r w:rsidR="00ED316D">
        <w:rPr>
          <w:color w:val="53565A" w:themeColor="accent2"/>
          <w:sz w:val="18"/>
          <w:szCs w:val="18"/>
        </w:rPr>
        <w:t xml:space="preserve">the </w:t>
      </w:r>
      <w:r w:rsidR="000314C2" w:rsidRPr="000314C2">
        <w:rPr>
          <w:color w:val="53565A" w:themeColor="accent2"/>
          <w:sz w:val="18"/>
          <w:szCs w:val="18"/>
        </w:rPr>
        <w:t xml:space="preserve">peak body for finance professionals in </w:t>
      </w:r>
      <w:r w:rsidR="005D1A98">
        <w:rPr>
          <w:color w:val="53565A" w:themeColor="accent2"/>
          <w:sz w:val="18"/>
          <w:szCs w:val="18"/>
        </w:rPr>
        <w:t xml:space="preserve">the </w:t>
      </w:r>
      <w:r w:rsidR="000314C2" w:rsidRPr="000314C2">
        <w:rPr>
          <w:color w:val="53565A" w:themeColor="accent2"/>
          <w:sz w:val="18"/>
          <w:szCs w:val="18"/>
        </w:rPr>
        <w:t>local government sector in Victoria</w:t>
      </w:r>
      <w:r w:rsidR="005D1A98">
        <w:rPr>
          <w:color w:val="53565A" w:themeColor="accent2"/>
          <w:sz w:val="18"/>
          <w:szCs w:val="18"/>
        </w:rPr>
        <w:t>. FinPro r</w:t>
      </w:r>
      <w:r w:rsidR="000314C2" w:rsidRPr="000314C2">
        <w:rPr>
          <w:color w:val="53565A" w:themeColor="accent2"/>
          <w:sz w:val="18"/>
          <w:szCs w:val="18"/>
        </w:rPr>
        <w:t>ecently undertook a survey of its 79 member councils to understand some aspects of how the sector was responding to the COVID-19 pandemic through the</w:t>
      </w:r>
      <w:r w:rsidR="005C7119">
        <w:rPr>
          <w:color w:val="53565A" w:themeColor="accent2"/>
          <w:sz w:val="18"/>
          <w:szCs w:val="18"/>
        </w:rPr>
        <w:t>ir</w:t>
      </w:r>
      <w:r w:rsidR="000314C2" w:rsidRPr="000314C2">
        <w:rPr>
          <w:color w:val="53565A" w:themeColor="accent2"/>
          <w:sz w:val="18"/>
          <w:szCs w:val="18"/>
        </w:rPr>
        <w:t xml:space="preserve"> 2020-21 </w:t>
      </w:r>
      <w:r w:rsidR="005C7119">
        <w:rPr>
          <w:color w:val="53565A" w:themeColor="accent2"/>
          <w:sz w:val="18"/>
          <w:szCs w:val="18"/>
        </w:rPr>
        <w:t>annual budgets</w:t>
      </w:r>
      <w:r w:rsidR="000314C2" w:rsidRPr="000314C2">
        <w:rPr>
          <w:color w:val="53565A" w:themeColor="accent2"/>
          <w:sz w:val="18"/>
          <w:szCs w:val="18"/>
        </w:rPr>
        <w:t>. The report</w:t>
      </w:r>
      <w:r w:rsidR="000314C2" w:rsidRPr="000314C2">
        <w:rPr>
          <w:rStyle w:val="FootnoteReference"/>
          <w:color w:val="53565A" w:themeColor="accent2"/>
          <w:sz w:val="18"/>
          <w:szCs w:val="18"/>
        </w:rPr>
        <w:footnoteReference w:id="7"/>
      </w:r>
      <w:r w:rsidR="000314C2" w:rsidRPr="000314C2">
        <w:rPr>
          <w:color w:val="53565A" w:themeColor="accent2"/>
          <w:sz w:val="18"/>
          <w:szCs w:val="18"/>
        </w:rPr>
        <w:t xml:space="preserve"> on the survey stated:</w:t>
      </w:r>
    </w:p>
    <w:p w14:paraId="2008A049" w14:textId="77777777" w:rsidR="000314C2" w:rsidRPr="000314C2" w:rsidRDefault="000314C2" w:rsidP="000314C2">
      <w:pPr>
        <w:pStyle w:val="BodyText"/>
        <w:ind w:left="737" w:right="737"/>
        <w:rPr>
          <w:i/>
          <w:iCs/>
          <w:color w:val="53565A" w:themeColor="accent2"/>
          <w:sz w:val="18"/>
          <w:szCs w:val="18"/>
        </w:rPr>
      </w:pPr>
      <w:r w:rsidRPr="000314C2">
        <w:rPr>
          <w:i/>
          <w:iCs/>
          <w:color w:val="53565A" w:themeColor="accent2"/>
          <w:sz w:val="18"/>
          <w:szCs w:val="18"/>
        </w:rPr>
        <w:t>“Overall, the survey found that every council offered some amount of targeted support to their community and businesses in their 2020-21 budgets.</w:t>
      </w:r>
    </w:p>
    <w:p w14:paraId="05F9C0EE" w14:textId="67AF4CA2" w:rsidR="000314C2" w:rsidRDefault="000314C2" w:rsidP="000314C2">
      <w:pPr>
        <w:pStyle w:val="BodyText"/>
        <w:ind w:left="737" w:right="737"/>
        <w:rPr>
          <w:i/>
          <w:iCs/>
          <w:color w:val="53565A" w:themeColor="accent2"/>
          <w:sz w:val="18"/>
          <w:szCs w:val="18"/>
        </w:rPr>
      </w:pPr>
      <w:r w:rsidRPr="000314C2">
        <w:rPr>
          <w:i/>
          <w:iCs/>
          <w:color w:val="53565A" w:themeColor="accent2"/>
          <w:sz w:val="18"/>
          <w:szCs w:val="18"/>
        </w:rPr>
        <w:t>Most councils developed a COVID-19 financial hardship policy either as a standalone or as an extension of existing rate hardship policies.”</w:t>
      </w:r>
    </w:p>
    <w:p w14:paraId="596B1B9D" w14:textId="584C9AF6" w:rsidR="000314C2" w:rsidRDefault="000314C2" w:rsidP="000314C2">
      <w:pPr>
        <w:pStyle w:val="BodyText"/>
        <w:rPr>
          <w:color w:val="53565A" w:themeColor="accent2"/>
          <w:sz w:val="18"/>
          <w:szCs w:val="18"/>
        </w:rPr>
      </w:pPr>
      <w:r w:rsidRPr="000314C2">
        <w:rPr>
          <w:color w:val="53565A" w:themeColor="accent2"/>
          <w:sz w:val="18"/>
          <w:szCs w:val="18"/>
        </w:rPr>
        <w:t xml:space="preserve">Given the significance of rates and charges to total council revenues the sector will need to monitor their cash flows closely to ensure they remain able to meet their own financial obligations as and when they fall due. Council responses to the COVID-19 pandemic </w:t>
      </w:r>
      <w:r w:rsidR="009F7AA9">
        <w:rPr>
          <w:color w:val="53565A" w:themeColor="accent2"/>
          <w:sz w:val="18"/>
          <w:szCs w:val="18"/>
        </w:rPr>
        <w:t>are</w:t>
      </w:r>
      <w:r w:rsidRPr="000314C2">
        <w:rPr>
          <w:color w:val="53565A" w:themeColor="accent2"/>
          <w:sz w:val="18"/>
          <w:szCs w:val="18"/>
        </w:rPr>
        <w:t xml:space="preserve"> </w:t>
      </w:r>
      <w:r w:rsidR="00A5632E">
        <w:rPr>
          <w:color w:val="53565A" w:themeColor="accent2"/>
          <w:sz w:val="18"/>
          <w:szCs w:val="18"/>
        </w:rPr>
        <w:t xml:space="preserve">considered further </w:t>
      </w:r>
      <w:r w:rsidRPr="000314C2">
        <w:rPr>
          <w:color w:val="53565A" w:themeColor="accent2"/>
          <w:sz w:val="18"/>
          <w:szCs w:val="18"/>
        </w:rPr>
        <w:t>below</w:t>
      </w:r>
      <w:r>
        <w:rPr>
          <w:color w:val="53565A" w:themeColor="accent2"/>
          <w:sz w:val="18"/>
          <w:szCs w:val="18"/>
        </w:rPr>
        <w:t>.</w:t>
      </w:r>
    </w:p>
    <w:p w14:paraId="656FA1CE" w14:textId="77777777" w:rsidR="000314C2" w:rsidRPr="00741719" w:rsidRDefault="000314C2" w:rsidP="000314C2">
      <w:pPr>
        <w:pStyle w:val="Heading2"/>
      </w:pPr>
      <w:bookmarkStart w:id="18" w:name="_Toc48848010"/>
      <w:bookmarkStart w:id="19" w:name="_Toc75534485"/>
      <w:r w:rsidRPr="00741719">
        <w:lastRenderedPageBreak/>
        <w:t>Fair Go Rates</w:t>
      </w:r>
      <w:r>
        <w:t xml:space="preserve"> System and council responses to COVID-19</w:t>
      </w:r>
      <w:bookmarkEnd w:id="18"/>
      <w:bookmarkEnd w:id="19"/>
    </w:p>
    <w:p w14:paraId="069F4E08" w14:textId="68BEA58D" w:rsidR="000314C2" w:rsidRDefault="000314C2" w:rsidP="000314C2">
      <w:pPr>
        <w:pStyle w:val="BodyText"/>
        <w:rPr>
          <w:color w:val="53565A" w:themeColor="accent2"/>
          <w:sz w:val="18"/>
          <w:szCs w:val="18"/>
        </w:rPr>
      </w:pPr>
      <w:r w:rsidRPr="000314C2">
        <w:rPr>
          <w:color w:val="53565A" w:themeColor="accent2"/>
          <w:sz w:val="18"/>
          <w:szCs w:val="18"/>
        </w:rPr>
        <w:t>The Fair Go Rates System (FGRS) was introduced in the 2016-17 financial year and caps council rate rises. The Victorian Government set the rate cap for 2020-21 at 2.0 per cent. The cap applies to general rates and municipal charges but does not currently apply to service charges (commonly levied to cover the cost of waste and</w:t>
      </w:r>
      <w:r w:rsidR="005411D1">
        <w:rPr>
          <w:color w:val="53565A" w:themeColor="accent2"/>
          <w:sz w:val="18"/>
          <w:szCs w:val="18"/>
        </w:rPr>
        <w:t xml:space="preserve"> </w:t>
      </w:r>
      <w:r w:rsidR="00756EAF">
        <w:rPr>
          <w:color w:val="53565A" w:themeColor="accent2"/>
          <w:sz w:val="18"/>
          <w:szCs w:val="18"/>
        </w:rPr>
        <w:t>r</w:t>
      </w:r>
      <w:r w:rsidRPr="000314C2">
        <w:rPr>
          <w:color w:val="53565A" w:themeColor="accent2"/>
          <w:sz w:val="18"/>
          <w:szCs w:val="18"/>
        </w:rPr>
        <w:t xml:space="preserve">ecycling). </w:t>
      </w:r>
    </w:p>
    <w:p w14:paraId="1881FACD" w14:textId="1A9690F4" w:rsidR="000212A9" w:rsidRDefault="000212A9" w:rsidP="000212A9">
      <w:pPr>
        <w:pStyle w:val="BodyText"/>
        <w:rPr>
          <w:b/>
          <w:bCs/>
          <w:color w:val="53565A" w:themeColor="accent2"/>
          <w:sz w:val="18"/>
          <w:szCs w:val="18"/>
        </w:rPr>
      </w:pPr>
      <w:r w:rsidRPr="00797FE6">
        <w:rPr>
          <w:b/>
          <w:bCs/>
          <w:color w:val="53565A" w:themeColor="accent2"/>
          <w:sz w:val="18"/>
          <w:szCs w:val="18"/>
        </w:rPr>
        <w:t>Average Assessments</w:t>
      </w:r>
    </w:p>
    <w:p w14:paraId="0F1D819F" w14:textId="77777777" w:rsidR="000212A9" w:rsidRDefault="000212A9" w:rsidP="000212A9">
      <w:pPr>
        <w:pStyle w:val="BodyText"/>
        <w:rPr>
          <w:color w:val="53565A" w:themeColor="accent2"/>
          <w:sz w:val="18"/>
          <w:szCs w:val="18"/>
        </w:rPr>
      </w:pPr>
      <w:r w:rsidRPr="000212A9">
        <w:rPr>
          <w:color w:val="53565A" w:themeColor="accent2"/>
          <w:sz w:val="18"/>
          <w:szCs w:val="18"/>
        </w:rPr>
        <w:t>An indicator of the change in rates and charges over time is the calculation of an average assessment by</w:t>
      </w:r>
      <w:r>
        <w:rPr>
          <w:color w:val="53565A" w:themeColor="accent2"/>
          <w:sz w:val="18"/>
          <w:szCs w:val="18"/>
        </w:rPr>
        <w:t xml:space="preserve"> </w:t>
      </w:r>
      <w:r w:rsidRPr="000212A9">
        <w:rPr>
          <w:color w:val="53565A" w:themeColor="accent2"/>
          <w:sz w:val="18"/>
          <w:szCs w:val="18"/>
        </w:rPr>
        <w:t xml:space="preserve">cohort as shown in </w:t>
      </w:r>
      <w:r w:rsidRPr="00797FE6">
        <w:rPr>
          <w:b/>
          <w:bCs/>
          <w:color w:val="53565A" w:themeColor="accent2"/>
          <w:sz w:val="18"/>
          <w:szCs w:val="18"/>
        </w:rPr>
        <w:t>Figure 10</w:t>
      </w:r>
      <w:r w:rsidRPr="000212A9">
        <w:rPr>
          <w:color w:val="53565A" w:themeColor="accent2"/>
          <w:sz w:val="18"/>
          <w:szCs w:val="18"/>
        </w:rPr>
        <w:t>. The average assessment represents the total (by cohort) of general rates and</w:t>
      </w:r>
      <w:r>
        <w:rPr>
          <w:color w:val="53565A" w:themeColor="accent2"/>
          <w:sz w:val="18"/>
          <w:szCs w:val="18"/>
        </w:rPr>
        <w:t xml:space="preserve"> </w:t>
      </w:r>
      <w:r w:rsidRPr="000212A9">
        <w:rPr>
          <w:color w:val="53565A" w:themeColor="accent2"/>
          <w:sz w:val="18"/>
          <w:szCs w:val="18"/>
        </w:rPr>
        <w:t>municipal charges divided by the total number of assessments. When considered over time this calculation</w:t>
      </w:r>
      <w:r>
        <w:rPr>
          <w:color w:val="53565A" w:themeColor="accent2"/>
          <w:sz w:val="18"/>
          <w:szCs w:val="18"/>
        </w:rPr>
        <w:t xml:space="preserve"> </w:t>
      </w:r>
      <w:r w:rsidRPr="000212A9">
        <w:rPr>
          <w:color w:val="53565A" w:themeColor="accent2"/>
          <w:sz w:val="18"/>
          <w:szCs w:val="18"/>
        </w:rPr>
        <w:t>of the average amount raised per assessment can be used to measure the change in rates and charges.</w:t>
      </w:r>
      <w:r>
        <w:rPr>
          <w:color w:val="53565A" w:themeColor="accent2"/>
          <w:sz w:val="18"/>
          <w:szCs w:val="18"/>
        </w:rPr>
        <w:t xml:space="preserve"> </w:t>
      </w:r>
    </w:p>
    <w:p w14:paraId="683DB77F" w14:textId="74E20E27" w:rsidR="000212A9" w:rsidRDefault="000212A9" w:rsidP="000212A9">
      <w:pPr>
        <w:pStyle w:val="BodyText"/>
        <w:rPr>
          <w:color w:val="53565A" w:themeColor="accent2"/>
          <w:sz w:val="18"/>
          <w:szCs w:val="18"/>
        </w:rPr>
      </w:pPr>
      <w:r w:rsidRPr="00797FE6">
        <w:rPr>
          <w:b/>
          <w:bCs/>
          <w:color w:val="53565A" w:themeColor="accent2"/>
          <w:sz w:val="18"/>
          <w:szCs w:val="18"/>
        </w:rPr>
        <w:t>Figure 10</w:t>
      </w:r>
      <w:r w:rsidRPr="000212A9">
        <w:rPr>
          <w:color w:val="53565A" w:themeColor="accent2"/>
          <w:sz w:val="18"/>
          <w:szCs w:val="18"/>
        </w:rPr>
        <w:t xml:space="preserve"> shows the average assessment has risen steadily in all council cohorts between 2013-14 and</w:t>
      </w:r>
      <w:r>
        <w:rPr>
          <w:color w:val="53565A" w:themeColor="accent2"/>
          <w:sz w:val="18"/>
          <w:szCs w:val="18"/>
        </w:rPr>
        <w:t xml:space="preserve"> </w:t>
      </w:r>
      <w:r w:rsidRPr="000212A9">
        <w:rPr>
          <w:color w:val="53565A" w:themeColor="accent2"/>
          <w:sz w:val="18"/>
          <w:szCs w:val="18"/>
        </w:rPr>
        <w:t>20</w:t>
      </w:r>
      <w:r>
        <w:rPr>
          <w:color w:val="53565A" w:themeColor="accent2"/>
          <w:sz w:val="18"/>
          <w:szCs w:val="18"/>
        </w:rPr>
        <w:t>20</w:t>
      </w:r>
      <w:r w:rsidRPr="000212A9">
        <w:rPr>
          <w:color w:val="53565A" w:themeColor="accent2"/>
          <w:sz w:val="18"/>
          <w:szCs w:val="18"/>
        </w:rPr>
        <w:t>-2</w:t>
      </w:r>
      <w:r>
        <w:rPr>
          <w:color w:val="53565A" w:themeColor="accent2"/>
          <w:sz w:val="18"/>
          <w:szCs w:val="18"/>
        </w:rPr>
        <w:t>1</w:t>
      </w:r>
      <w:r w:rsidRPr="000212A9">
        <w:rPr>
          <w:color w:val="53565A" w:themeColor="accent2"/>
          <w:sz w:val="18"/>
          <w:szCs w:val="18"/>
        </w:rPr>
        <w:t>. It also shows that following the introduction of the Fair Go Rates System (FGRS) in 2016-17 the</w:t>
      </w:r>
      <w:r>
        <w:rPr>
          <w:color w:val="53565A" w:themeColor="accent2"/>
          <w:sz w:val="18"/>
          <w:szCs w:val="18"/>
        </w:rPr>
        <w:t xml:space="preserve"> </w:t>
      </w:r>
      <w:r w:rsidRPr="000212A9">
        <w:rPr>
          <w:color w:val="53565A" w:themeColor="accent2"/>
          <w:sz w:val="18"/>
          <w:szCs w:val="18"/>
        </w:rPr>
        <w:t>original trajectory of the year on year increase of the average assessment has flattened for all council</w:t>
      </w:r>
      <w:r>
        <w:rPr>
          <w:color w:val="53565A" w:themeColor="accent2"/>
          <w:sz w:val="18"/>
          <w:szCs w:val="18"/>
        </w:rPr>
        <w:t xml:space="preserve"> </w:t>
      </w:r>
      <w:r w:rsidRPr="000212A9">
        <w:rPr>
          <w:color w:val="53565A" w:themeColor="accent2"/>
          <w:sz w:val="18"/>
          <w:szCs w:val="18"/>
        </w:rPr>
        <w:t xml:space="preserve">cohorts, showing the effect of the rate cap. </w:t>
      </w:r>
    </w:p>
    <w:p w14:paraId="6DE457DC" w14:textId="77777777" w:rsidR="005411D1" w:rsidRPr="00794BBC" w:rsidRDefault="005411D1" w:rsidP="005411D1">
      <w:pPr>
        <w:pStyle w:val="Caption"/>
        <w:spacing w:after="60"/>
        <w:rPr>
          <w:b/>
          <w:bCs/>
          <w:i w:val="0"/>
          <w:iCs w:val="0"/>
        </w:rPr>
      </w:pPr>
      <w:r w:rsidRPr="00B6229F">
        <w:rPr>
          <w:b/>
          <w:bCs/>
          <w:i w:val="0"/>
          <w:iCs w:val="0"/>
        </w:rPr>
        <w:t xml:space="preserve">Figure </w:t>
      </w:r>
      <w:r>
        <w:rPr>
          <w:b/>
          <w:bCs/>
          <w:i w:val="0"/>
          <w:iCs w:val="0"/>
        </w:rPr>
        <w:t>10 Rate rises from 2020-21 adopted budgets by council cohort</w:t>
      </w:r>
    </w:p>
    <w:p w14:paraId="69F35FEF" w14:textId="4A7A57C1" w:rsidR="000212A9" w:rsidRDefault="000212A9" w:rsidP="000212A9">
      <w:pPr>
        <w:pStyle w:val="BodyText"/>
        <w:rPr>
          <w:color w:val="53565A" w:themeColor="accent2"/>
          <w:sz w:val="18"/>
          <w:szCs w:val="18"/>
        </w:rPr>
      </w:pPr>
      <w:r w:rsidRPr="00797FE6">
        <w:rPr>
          <w:noProof/>
          <w:sz w:val="12"/>
          <w:szCs w:val="12"/>
        </w:rPr>
        <w:drawing>
          <wp:inline distT="0" distB="0" distL="0" distR="0" wp14:anchorId="528564EC" wp14:editId="5AD5B378">
            <wp:extent cx="5760085" cy="3104707"/>
            <wp:effectExtent l="0" t="0" r="12065" b="635"/>
            <wp:docPr id="4" name="Chart 4">
              <a:extLst xmlns:a="http://schemas.openxmlformats.org/drawingml/2006/main">
                <a:ext uri="{FF2B5EF4-FFF2-40B4-BE49-F238E27FC236}">
                  <a16:creationId xmlns:a16="http://schemas.microsoft.com/office/drawing/2014/main" id="{CC399CDB-2171-4787-A1A0-C18FF63E1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390C77" w14:textId="77777777" w:rsidR="005411D1" w:rsidRDefault="005411D1" w:rsidP="005411D1">
      <w:pPr>
        <w:rPr>
          <w:sz w:val="16"/>
          <w:szCs w:val="16"/>
        </w:rPr>
      </w:pPr>
      <w:r>
        <w:rPr>
          <w:sz w:val="16"/>
          <w:szCs w:val="16"/>
        </w:rPr>
        <w:t>S</w:t>
      </w:r>
      <w:r w:rsidRPr="00836333">
        <w:rPr>
          <w:sz w:val="16"/>
          <w:szCs w:val="16"/>
        </w:rPr>
        <w:t xml:space="preserve">ource: </w:t>
      </w:r>
      <w:r>
        <w:rPr>
          <w:sz w:val="16"/>
          <w:szCs w:val="16"/>
        </w:rPr>
        <w:t xml:space="preserve">2013-14 - </w:t>
      </w:r>
      <w:r w:rsidRPr="00836333">
        <w:rPr>
          <w:sz w:val="16"/>
          <w:szCs w:val="16"/>
        </w:rPr>
        <w:t>20</w:t>
      </w:r>
      <w:r>
        <w:rPr>
          <w:sz w:val="16"/>
          <w:szCs w:val="16"/>
        </w:rPr>
        <w:t>20</w:t>
      </w:r>
      <w:r w:rsidRPr="00836333">
        <w:rPr>
          <w:sz w:val="16"/>
          <w:szCs w:val="16"/>
        </w:rPr>
        <w:t>-2</w:t>
      </w:r>
      <w:r>
        <w:rPr>
          <w:sz w:val="16"/>
          <w:szCs w:val="16"/>
        </w:rPr>
        <w:t>1</w:t>
      </w:r>
      <w:r w:rsidRPr="00836333">
        <w:rPr>
          <w:sz w:val="16"/>
          <w:szCs w:val="16"/>
        </w:rPr>
        <w:t xml:space="preserve"> adopted budgets</w:t>
      </w:r>
    </w:p>
    <w:p w14:paraId="2881357E" w14:textId="1F45D8A5" w:rsidR="000314C2" w:rsidRPr="000314C2" w:rsidRDefault="000314C2" w:rsidP="000314C2">
      <w:pPr>
        <w:pStyle w:val="BodyText"/>
        <w:rPr>
          <w:color w:val="53565A" w:themeColor="accent2"/>
          <w:sz w:val="18"/>
          <w:szCs w:val="18"/>
        </w:rPr>
      </w:pPr>
      <w:r w:rsidRPr="000314C2">
        <w:rPr>
          <w:color w:val="53565A" w:themeColor="accent2"/>
          <w:sz w:val="18"/>
          <w:szCs w:val="18"/>
        </w:rPr>
        <w:t>For 2020-21 most councils (</w:t>
      </w:r>
      <w:r w:rsidR="006E5E25">
        <w:rPr>
          <w:color w:val="53565A" w:themeColor="accent2"/>
          <w:sz w:val="18"/>
          <w:szCs w:val="18"/>
        </w:rPr>
        <w:t>5</w:t>
      </w:r>
      <w:r w:rsidR="00241809">
        <w:rPr>
          <w:color w:val="53565A" w:themeColor="accent2"/>
          <w:sz w:val="18"/>
          <w:szCs w:val="18"/>
        </w:rPr>
        <w:t>5</w:t>
      </w:r>
      <w:r w:rsidRPr="000314C2">
        <w:rPr>
          <w:color w:val="53565A" w:themeColor="accent2"/>
          <w:sz w:val="18"/>
          <w:szCs w:val="18"/>
        </w:rPr>
        <w:t xml:space="preserve"> of 79) are proposing a rate rise in line with the 2.0 per cent rate cap. </w:t>
      </w:r>
      <w:r w:rsidR="00A953C1">
        <w:rPr>
          <w:color w:val="53565A" w:themeColor="accent2"/>
          <w:sz w:val="18"/>
          <w:szCs w:val="18"/>
        </w:rPr>
        <w:t>Sixteen</w:t>
      </w:r>
      <w:r w:rsidRPr="000314C2">
        <w:rPr>
          <w:color w:val="53565A" w:themeColor="accent2"/>
          <w:sz w:val="18"/>
          <w:szCs w:val="18"/>
        </w:rPr>
        <w:t xml:space="preserve"> councils are proposing to freeze their rates while a further seven councils are proposing a rate rise of between 0 and 2.0 per cent. One council has </w:t>
      </w:r>
      <w:r w:rsidR="00EA1BDF">
        <w:rPr>
          <w:color w:val="53565A" w:themeColor="accent2"/>
          <w:sz w:val="18"/>
          <w:szCs w:val="18"/>
        </w:rPr>
        <w:t>adopted</w:t>
      </w:r>
      <w:r w:rsidRPr="000314C2">
        <w:rPr>
          <w:color w:val="53565A" w:themeColor="accent2"/>
          <w:sz w:val="18"/>
          <w:szCs w:val="18"/>
        </w:rPr>
        <w:t xml:space="preserve"> a 1 per cent reduction in rate revenue. The </w:t>
      </w:r>
      <w:r w:rsidR="00EA1BDF">
        <w:rPr>
          <w:color w:val="53565A" w:themeColor="accent2"/>
          <w:sz w:val="18"/>
          <w:szCs w:val="18"/>
        </w:rPr>
        <w:t>adopted</w:t>
      </w:r>
      <w:r w:rsidRPr="000314C2">
        <w:rPr>
          <w:color w:val="53565A" w:themeColor="accent2"/>
          <w:sz w:val="18"/>
          <w:szCs w:val="18"/>
        </w:rPr>
        <w:t xml:space="preserve"> rate rises are summarised by cohort in </w:t>
      </w:r>
      <w:r w:rsidRPr="000314C2">
        <w:rPr>
          <w:b/>
          <w:bCs/>
          <w:color w:val="53565A" w:themeColor="accent2"/>
          <w:sz w:val="18"/>
          <w:szCs w:val="18"/>
        </w:rPr>
        <w:t xml:space="preserve">Figure </w:t>
      </w:r>
      <w:r w:rsidR="005411D1" w:rsidRPr="000314C2">
        <w:rPr>
          <w:b/>
          <w:bCs/>
          <w:color w:val="53565A" w:themeColor="accent2"/>
          <w:sz w:val="18"/>
          <w:szCs w:val="18"/>
        </w:rPr>
        <w:t>1</w:t>
      </w:r>
      <w:r w:rsidR="005411D1">
        <w:rPr>
          <w:b/>
          <w:bCs/>
          <w:color w:val="53565A" w:themeColor="accent2"/>
          <w:sz w:val="18"/>
          <w:szCs w:val="18"/>
        </w:rPr>
        <w:t>1</w:t>
      </w:r>
      <w:r w:rsidRPr="000314C2">
        <w:rPr>
          <w:color w:val="53565A" w:themeColor="accent2"/>
          <w:sz w:val="18"/>
          <w:szCs w:val="18"/>
        </w:rPr>
        <w:t>. It shows that rate freezes are more common in the rural and regional councils while most metropolitan councils have elected to increase rates in line with the 2.0 per cent rate cap.</w:t>
      </w:r>
    </w:p>
    <w:p w14:paraId="3C9782A1" w14:textId="5594E9C3" w:rsidR="000314C2" w:rsidRPr="00794BBC" w:rsidRDefault="000314C2" w:rsidP="000314C2">
      <w:pPr>
        <w:pStyle w:val="Caption"/>
        <w:spacing w:after="60"/>
        <w:rPr>
          <w:b/>
          <w:bCs/>
          <w:i w:val="0"/>
          <w:iCs w:val="0"/>
        </w:rPr>
      </w:pPr>
      <w:bookmarkStart w:id="20" w:name="_Hlk48048651"/>
      <w:r w:rsidRPr="00B6229F">
        <w:rPr>
          <w:b/>
          <w:bCs/>
          <w:i w:val="0"/>
          <w:iCs w:val="0"/>
        </w:rPr>
        <w:t xml:space="preserve">Figure </w:t>
      </w:r>
      <w:r w:rsidR="005411D1">
        <w:rPr>
          <w:b/>
          <w:bCs/>
          <w:i w:val="0"/>
          <w:iCs w:val="0"/>
        </w:rPr>
        <w:t xml:space="preserve">11 </w:t>
      </w:r>
      <w:r>
        <w:rPr>
          <w:b/>
          <w:bCs/>
          <w:i w:val="0"/>
          <w:iCs w:val="0"/>
        </w:rPr>
        <w:t xml:space="preserve">Rate rises from 2020-21 </w:t>
      </w:r>
      <w:r w:rsidR="00EA1BDF">
        <w:rPr>
          <w:b/>
          <w:bCs/>
          <w:i w:val="0"/>
          <w:iCs w:val="0"/>
        </w:rPr>
        <w:t>adopted</w:t>
      </w:r>
      <w:r>
        <w:rPr>
          <w:b/>
          <w:bCs/>
          <w:i w:val="0"/>
          <w:iCs w:val="0"/>
        </w:rPr>
        <w:t xml:space="preserve"> budgets by council cohort</w:t>
      </w:r>
    </w:p>
    <w:tbl>
      <w:tblPr>
        <w:tblW w:w="0" w:type="auto"/>
        <w:tblLook w:val="04A0" w:firstRow="1" w:lastRow="0" w:firstColumn="1" w:lastColumn="0" w:noHBand="0" w:noVBand="1"/>
      </w:tblPr>
      <w:tblGrid>
        <w:gridCol w:w="2918"/>
        <w:gridCol w:w="691"/>
        <w:gridCol w:w="1056"/>
        <w:gridCol w:w="800"/>
        <w:gridCol w:w="1111"/>
        <w:gridCol w:w="987"/>
        <w:gridCol w:w="979"/>
      </w:tblGrid>
      <w:tr w:rsidR="000314C2" w:rsidRPr="000314C2" w14:paraId="08803A32" w14:textId="77777777" w:rsidTr="00797FE6">
        <w:trPr>
          <w:trHeight w:val="290"/>
        </w:trPr>
        <w:tc>
          <w:tcPr>
            <w:tcW w:w="0" w:type="auto"/>
            <w:tcBorders>
              <w:top w:val="nil"/>
              <w:left w:val="nil"/>
              <w:bottom w:val="nil"/>
              <w:right w:val="nil"/>
            </w:tcBorders>
            <w:shd w:val="clear" w:color="auto" w:fill="auto"/>
            <w:noWrap/>
            <w:vAlign w:val="bottom"/>
            <w:hideMark/>
          </w:tcPr>
          <w:p w14:paraId="1B7B323B" w14:textId="77777777" w:rsidR="000314C2" w:rsidRPr="000314C2" w:rsidRDefault="000314C2" w:rsidP="000314C2">
            <w:pPr>
              <w:spacing w:after="0"/>
              <w:rPr>
                <w:rFonts w:cstheme="minorHAnsi"/>
                <w:sz w:val="14"/>
                <w:szCs w:val="14"/>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042CFCF" w14:textId="77777777" w:rsidR="000314C2" w:rsidRPr="000314C2" w:rsidRDefault="000314C2" w:rsidP="00797FE6">
            <w:pPr>
              <w:spacing w:before="60" w:after="0"/>
              <w:jc w:val="center"/>
              <w:rPr>
                <w:rFonts w:cstheme="minorHAnsi"/>
                <w:b/>
                <w:bCs/>
                <w:color w:val="000000"/>
                <w:sz w:val="14"/>
                <w:szCs w:val="14"/>
                <w:lang w:eastAsia="en-AU"/>
              </w:rPr>
            </w:pPr>
            <w:r w:rsidRPr="000314C2">
              <w:rPr>
                <w:rFonts w:cstheme="minorHAnsi"/>
                <w:b/>
                <w:bCs/>
                <w:color w:val="000000"/>
                <w:sz w:val="14"/>
                <w:szCs w:val="14"/>
                <w:lang w:eastAsia="en-AU"/>
              </w:rPr>
              <w:t>Overall</w:t>
            </w:r>
          </w:p>
        </w:tc>
        <w:tc>
          <w:tcPr>
            <w:tcW w:w="0" w:type="auto"/>
            <w:tcBorders>
              <w:top w:val="single" w:sz="4" w:space="0" w:color="auto"/>
              <w:left w:val="nil"/>
              <w:bottom w:val="single" w:sz="4" w:space="0" w:color="auto"/>
              <w:right w:val="single" w:sz="4" w:space="0" w:color="auto"/>
            </w:tcBorders>
            <w:shd w:val="clear" w:color="auto" w:fill="auto"/>
            <w:noWrap/>
            <w:hideMark/>
          </w:tcPr>
          <w:p w14:paraId="7E2B11E3" w14:textId="77777777" w:rsidR="000314C2" w:rsidRPr="000314C2" w:rsidRDefault="000314C2" w:rsidP="00797FE6">
            <w:pPr>
              <w:spacing w:before="60" w:after="0"/>
              <w:jc w:val="center"/>
              <w:rPr>
                <w:rFonts w:cstheme="minorHAnsi"/>
                <w:b/>
                <w:bCs/>
                <w:color w:val="000000"/>
                <w:sz w:val="14"/>
                <w:szCs w:val="14"/>
                <w:lang w:eastAsia="en-AU"/>
              </w:rPr>
            </w:pPr>
            <w:r w:rsidRPr="000314C2">
              <w:rPr>
                <w:rFonts w:cstheme="minorHAnsi"/>
                <w:b/>
                <w:bCs/>
                <w:color w:val="000000"/>
                <w:sz w:val="14"/>
                <w:szCs w:val="14"/>
                <w:lang w:eastAsia="en-AU"/>
              </w:rPr>
              <w:t>Metropolitan</w:t>
            </w:r>
          </w:p>
        </w:tc>
        <w:tc>
          <w:tcPr>
            <w:tcW w:w="0" w:type="auto"/>
            <w:tcBorders>
              <w:top w:val="single" w:sz="4" w:space="0" w:color="auto"/>
              <w:left w:val="nil"/>
              <w:bottom w:val="single" w:sz="4" w:space="0" w:color="auto"/>
              <w:right w:val="single" w:sz="4" w:space="0" w:color="auto"/>
            </w:tcBorders>
            <w:shd w:val="clear" w:color="auto" w:fill="auto"/>
            <w:noWrap/>
            <w:hideMark/>
          </w:tcPr>
          <w:p w14:paraId="555A1B90" w14:textId="77777777" w:rsidR="000314C2" w:rsidRPr="000314C2" w:rsidRDefault="000314C2" w:rsidP="00797FE6">
            <w:pPr>
              <w:spacing w:before="60" w:after="0"/>
              <w:jc w:val="center"/>
              <w:rPr>
                <w:rFonts w:cstheme="minorHAnsi"/>
                <w:b/>
                <w:bCs/>
                <w:color w:val="000000"/>
                <w:sz w:val="14"/>
                <w:szCs w:val="14"/>
                <w:lang w:eastAsia="en-AU"/>
              </w:rPr>
            </w:pPr>
            <w:r w:rsidRPr="000314C2">
              <w:rPr>
                <w:rFonts w:cstheme="minorHAnsi"/>
                <w:b/>
                <w:bCs/>
                <w:color w:val="000000"/>
                <w:sz w:val="14"/>
                <w:szCs w:val="14"/>
                <w:lang w:eastAsia="en-AU"/>
              </w:rPr>
              <w:t>Interface</w:t>
            </w:r>
          </w:p>
        </w:tc>
        <w:tc>
          <w:tcPr>
            <w:tcW w:w="0" w:type="auto"/>
            <w:tcBorders>
              <w:top w:val="single" w:sz="4" w:space="0" w:color="auto"/>
              <w:left w:val="nil"/>
              <w:bottom w:val="single" w:sz="4" w:space="0" w:color="auto"/>
              <w:right w:val="single" w:sz="4" w:space="0" w:color="auto"/>
            </w:tcBorders>
            <w:shd w:val="clear" w:color="auto" w:fill="auto"/>
            <w:noWrap/>
            <w:hideMark/>
          </w:tcPr>
          <w:p w14:paraId="7CE044F1" w14:textId="77777777" w:rsidR="000314C2" w:rsidRPr="000314C2" w:rsidRDefault="000314C2" w:rsidP="00797FE6">
            <w:pPr>
              <w:spacing w:before="60" w:after="0"/>
              <w:jc w:val="center"/>
              <w:rPr>
                <w:rFonts w:cstheme="minorHAnsi"/>
                <w:b/>
                <w:bCs/>
                <w:color w:val="000000"/>
                <w:sz w:val="14"/>
                <w:szCs w:val="14"/>
                <w:lang w:eastAsia="en-AU"/>
              </w:rPr>
            </w:pPr>
            <w:r w:rsidRPr="000314C2">
              <w:rPr>
                <w:rFonts w:cstheme="minorHAnsi"/>
                <w:b/>
                <w:bCs/>
                <w:color w:val="000000"/>
                <w:sz w:val="14"/>
                <w:szCs w:val="14"/>
                <w:lang w:eastAsia="en-AU"/>
              </w:rPr>
              <w:t>Regional City</w:t>
            </w:r>
          </w:p>
        </w:tc>
        <w:tc>
          <w:tcPr>
            <w:tcW w:w="0" w:type="auto"/>
            <w:tcBorders>
              <w:top w:val="single" w:sz="4" w:space="0" w:color="auto"/>
              <w:left w:val="nil"/>
              <w:bottom w:val="single" w:sz="4" w:space="0" w:color="auto"/>
              <w:right w:val="single" w:sz="4" w:space="0" w:color="auto"/>
            </w:tcBorders>
            <w:shd w:val="clear" w:color="auto" w:fill="auto"/>
            <w:noWrap/>
            <w:hideMark/>
          </w:tcPr>
          <w:p w14:paraId="42C1C564" w14:textId="77777777" w:rsidR="000314C2" w:rsidRPr="000314C2" w:rsidRDefault="000314C2" w:rsidP="00797FE6">
            <w:pPr>
              <w:spacing w:before="60" w:after="0"/>
              <w:jc w:val="center"/>
              <w:rPr>
                <w:rFonts w:cstheme="minorHAnsi"/>
                <w:b/>
                <w:bCs/>
                <w:color w:val="000000"/>
                <w:sz w:val="14"/>
                <w:szCs w:val="14"/>
                <w:lang w:eastAsia="en-AU"/>
              </w:rPr>
            </w:pPr>
            <w:r w:rsidRPr="000314C2">
              <w:rPr>
                <w:rFonts w:cstheme="minorHAnsi"/>
                <w:b/>
                <w:bCs/>
                <w:color w:val="000000"/>
                <w:sz w:val="14"/>
                <w:szCs w:val="14"/>
                <w:lang w:eastAsia="en-AU"/>
              </w:rPr>
              <w:t>Large Shire</w:t>
            </w:r>
          </w:p>
        </w:tc>
        <w:tc>
          <w:tcPr>
            <w:tcW w:w="0" w:type="auto"/>
            <w:tcBorders>
              <w:top w:val="single" w:sz="4" w:space="0" w:color="auto"/>
              <w:left w:val="nil"/>
              <w:bottom w:val="single" w:sz="4" w:space="0" w:color="auto"/>
              <w:right w:val="single" w:sz="4" w:space="0" w:color="auto"/>
            </w:tcBorders>
            <w:shd w:val="clear" w:color="auto" w:fill="auto"/>
            <w:noWrap/>
            <w:hideMark/>
          </w:tcPr>
          <w:p w14:paraId="1EBE6047" w14:textId="77777777" w:rsidR="000314C2" w:rsidRPr="000314C2" w:rsidRDefault="000314C2" w:rsidP="00797FE6">
            <w:pPr>
              <w:spacing w:before="60" w:after="0"/>
              <w:jc w:val="center"/>
              <w:rPr>
                <w:rFonts w:cstheme="minorHAnsi"/>
                <w:b/>
                <w:bCs/>
                <w:color w:val="000000"/>
                <w:sz w:val="14"/>
                <w:szCs w:val="14"/>
                <w:lang w:eastAsia="en-AU"/>
              </w:rPr>
            </w:pPr>
            <w:r w:rsidRPr="000314C2">
              <w:rPr>
                <w:rFonts w:cstheme="minorHAnsi"/>
                <w:b/>
                <w:bCs/>
                <w:color w:val="000000"/>
                <w:sz w:val="14"/>
                <w:szCs w:val="14"/>
                <w:lang w:eastAsia="en-AU"/>
              </w:rPr>
              <w:t>Small Shire</w:t>
            </w:r>
          </w:p>
        </w:tc>
      </w:tr>
      <w:tr w:rsidR="000314C2" w:rsidRPr="00D950A2" w14:paraId="2FD0628A" w14:textId="77777777" w:rsidTr="000314C2">
        <w:trPr>
          <w:trHeight w:val="290"/>
        </w:trPr>
        <w:tc>
          <w:tcPr>
            <w:tcW w:w="0" w:type="auto"/>
            <w:tcBorders>
              <w:top w:val="nil"/>
              <w:left w:val="nil"/>
              <w:bottom w:val="nil"/>
              <w:right w:val="nil"/>
            </w:tcBorders>
            <w:shd w:val="clear" w:color="auto" w:fill="auto"/>
            <w:noWrap/>
            <w:vAlign w:val="bottom"/>
            <w:hideMark/>
          </w:tcPr>
          <w:p w14:paraId="2D7196F2" w14:textId="3E5FA7BA" w:rsidR="000314C2" w:rsidRPr="00D950A2" w:rsidRDefault="00EA1BDF" w:rsidP="000314C2">
            <w:pPr>
              <w:spacing w:after="0"/>
              <w:rPr>
                <w:rFonts w:cstheme="minorHAnsi"/>
                <w:color w:val="000000"/>
                <w:szCs w:val="18"/>
                <w:lang w:eastAsia="en-AU"/>
              </w:rPr>
            </w:pPr>
            <w:r>
              <w:rPr>
                <w:rFonts w:cstheme="minorHAnsi"/>
                <w:color w:val="000000"/>
                <w:szCs w:val="18"/>
                <w:lang w:eastAsia="en-AU"/>
              </w:rPr>
              <w:t>Adopted</w:t>
            </w:r>
            <w:r w:rsidR="000314C2" w:rsidRPr="00D950A2">
              <w:rPr>
                <w:rFonts w:cstheme="minorHAnsi"/>
                <w:color w:val="000000"/>
                <w:szCs w:val="18"/>
                <w:lang w:eastAsia="en-AU"/>
              </w:rPr>
              <w:t xml:space="preserve"> rate rise of 2% (rate cap)</w:t>
            </w:r>
          </w:p>
        </w:tc>
        <w:tc>
          <w:tcPr>
            <w:tcW w:w="0" w:type="auto"/>
            <w:tcBorders>
              <w:top w:val="nil"/>
              <w:left w:val="nil"/>
              <w:bottom w:val="nil"/>
              <w:right w:val="nil"/>
            </w:tcBorders>
            <w:shd w:val="clear" w:color="auto" w:fill="auto"/>
            <w:noWrap/>
            <w:vAlign w:val="bottom"/>
            <w:hideMark/>
          </w:tcPr>
          <w:p w14:paraId="79B8869F" w14:textId="1468B755" w:rsidR="000314C2" w:rsidRPr="00D950A2" w:rsidRDefault="00A02583" w:rsidP="000314C2">
            <w:pPr>
              <w:spacing w:after="0"/>
              <w:jc w:val="center"/>
              <w:rPr>
                <w:rFonts w:cstheme="minorHAnsi"/>
                <w:b/>
                <w:bCs/>
                <w:color w:val="000000"/>
                <w:szCs w:val="18"/>
                <w:lang w:eastAsia="en-AU"/>
              </w:rPr>
            </w:pPr>
            <w:r>
              <w:rPr>
                <w:rFonts w:cstheme="minorHAnsi"/>
                <w:b/>
                <w:bCs/>
                <w:color w:val="000000"/>
                <w:szCs w:val="18"/>
                <w:lang w:eastAsia="en-AU"/>
              </w:rPr>
              <w:t>5</w:t>
            </w:r>
            <w:r w:rsidR="0026007D">
              <w:rPr>
                <w:rFonts w:cstheme="minorHAnsi"/>
                <w:b/>
                <w:bCs/>
                <w:color w:val="000000"/>
                <w:szCs w:val="18"/>
                <w:lang w:eastAsia="en-AU"/>
              </w:rPr>
              <w:t>5</w:t>
            </w:r>
          </w:p>
        </w:tc>
        <w:tc>
          <w:tcPr>
            <w:tcW w:w="0" w:type="auto"/>
            <w:tcBorders>
              <w:top w:val="nil"/>
              <w:left w:val="nil"/>
              <w:bottom w:val="nil"/>
              <w:right w:val="nil"/>
            </w:tcBorders>
            <w:shd w:val="clear" w:color="auto" w:fill="auto"/>
            <w:noWrap/>
            <w:vAlign w:val="bottom"/>
            <w:hideMark/>
          </w:tcPr>
          <w:p w14:paraId="37117142" w14:textId="3AD99E3E" w:rsidR="000314C2" w:rsidRPr="00D950A2" w:rsidRDefault="0026007D" w:rsidP="000314C2">
            <w:pPr>
              <w:spacing w:after="0"/>
              <w:jc w:val="center"/>
              <w:rPr>
                <w:rFonts w:cstheme="minorHAnsi"/>
                <w:color w:val="000000"/>
                <w:szCs w:val="18"/>
                <w:lang w:eastAsia="en-AU"/>
              </w:rPr>
            </w:pPr>
            <w:r>
              <w:rPr>
                <w:rFonts w:cstheme="minorHAnsi"/>
                <w:color w:val="000000"/>
                <w:szCs w:val="18"/>
                <w:lang w:eastAsia="en-AU"/>
              </w:rPr>
              <w:t>19</w:t>
            </w:r>
          </w:p>
        </w:tc>
        <w:tc>
          <w:tcPr>
            <w:tcW w:w="0" w:type="auto"/>
            <w:tcBorders>
              <w:top w:val="nil"/>
              <w:left w:val="nil"/>
              <w:bottom w:val="nil"/>
              <w:right w:val="nil"/>
            </w:tcBorders>
            <w:shd w:val="clear" w:color="auto" w:fill="auto"/>
            <w:noWrap/>
            <w:vAlign w:val="bottom"/>
            <w:hideMark/>
          </w:tcPr>
          <w:p w14:paraId="3332AF3E" w14:textId="79D9EEAD" w:rsidR="000314C2" w:rsidRPr="00D950A2" w:rsidRDefault="00192CEC" w:rsidP="000314C2">
            <w:pPr>
              <w:spacing w:after="0"/>
              <w:jc w:val="center"/>
              <w:rPr>
                <w:rFonts w:cstheme="minorHAnsi"/>
                <w:color w:val="000000"/>
                <w:szCs w:val="18"/>
                <w:lang w:eastAsia="en-AU"/>
              </w:rPr>
            </w:pPr>
            <w:r>
              <w:rPr>
                <w:rFonts w:cstheme="minorHAnsi"/>
                <w:color w:val="000000"/>
                <w:szCs w:val="18"/>
                <w:lang w:eastAsia="en-AU"/>
              </w:rPr>
              <w:t>7</w:t>
            </w:r>
          </w:p>
        </w:tc>
        <w:tc>
          <w:tcPr>
            <w:tcW w:w="0" w:type="auto"/>
            <w:tcBorders>
              <w:top w:val="nil"/>
              <w:left w:val="nil"/>
              <w:bottom w:val="nil"/>
              <w:right w:val="nil"/>
            </w:tcBorders>
            <w:shd w:val="clear" w:color="auto" w:fill="auto"/>
            <w:noWrap/>
            <w:vAlign w:val="bottom"/>
            <w:hideMark/>
          </w:tcPr>
          <w:p w14:paraId="3A79B531"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6</w:t>
            </w:r>
          </w:p>
        </w:tc>
        <w:tc>
          <w:tcPr>
            <w:tcW w:w="0" w:type="auto"/>
            <w:tcBorders>
              <w:top w:val="nil"/>
              <w:left w:val="nil"/>
              <w:bottom w:val="nil"/>
              <w:right w:val="nil"/>
            </w:tcBorders>
            <w:shd w:val="clear" w:color="auto" w:fill="auto"/>
            <w:noWrap/>
            <w:vAlign w:val="bottom"/>
            <w:hideMark/>
          </w:tcPr>
          <w:p w14:paraId="6A28E035" w14:textId="02C76E3D"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1</w:t>
            </w:r>
            <w:r w:rsidR="009D4E57">
              <w:rPr>
                <w:rFonts w:cstheme="minorHAnsi"/>
                <w:color w:val="000000"/>
                <w:szCs w:val="18"/>
                <w:lang w:eastAsia="en-AU"/>
              </w:rPr>
              <w:t>1</w:t>
            </w:r>
          </w:p>
        </w:tc>
        <w:tc>
          <w:tcPr>
            <w:tcW w:w="0" w:type="auto"/>
            <w:tcBorders>
              <w:top w:val="nil"/>
              <w:left w:val="nil"/>
              <w:bottom w:val="nil"/>
              <w:right w:val="nil"/>
            </w:tcBorders>
            <w:shd w:val="clear" w:color="auto" w:fill="auto"/>
            <w:noWrap/>
            <w:vAlign w:val="bottom"/>
            <w:hideMark/>
          </w:tcPr>
          <w:p w14:paraId="3D2E2F11" w14:textId="1AE835D2"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1</w:t>
            </w:r>
            <w:r w:rsidR="00192CEC">
              <w:rPr>
                <w:rFonts w:cstheme="minorHAnsi"/>
                <w:color w:val="000000"/>
                <w:szCs w:val="18"/>
                <w:lang w:eastAsia="en-AU"/>
              </w:rPr>
              <w:t>2</w:t>
            </w:r>
          </w:p>
        </w:tc>
      </w:tr>
      <w:tr w:rsidR="000314C2" w:rsidRPr="00D950A2" w14:paraId="67C8F497" w14:textId="77777777" w:rsidTr="000314C2">
        <w:trPr>
          <w:trHeight w:val="290"/>
        </w:trPr>
        <w:tc>
          <w:tcPr>
            <w:tcW w:w="0" w:type="auto"/>
            <w:tcBorders>
              <w:top w:val="nil"/>
              <w:left w:val="nil"/>
              <w:bottom w:val="nil"/>
              <w:right w:val="nil"/>
            </w:tcBorders>
            <w:shd w:val="clear" w:color="auto" w:fill="auto"/>
            <w:noWrap/>
            <w:vAlign w:val="bottom"/>
            <w:hideMark/>
          </w:tcPr>
          <w:p w14:paraId="686106EC" w14:textId="3216C099" w:rsidR="000314C2" w:rsidRPr="00D950A2" w:rsidRDefault="00EA1BDF" w:rsidP="000314C2">
            <w:pPr>
              <w:spacing w:after="0"/>
              <w:rPr>
                <w:rFonts w:cstheme="minorHAnsi"/>
                <w:color w:val="000000"/>
                <w:szCs w:val="18"/>
                <w:lang w:eastAsia="en-AU"/>
              </w:rPr>
            </w:pPr>
            <w:r>
              <w:rPr>
                <w:rFonts w:cstheme="minorHAnsi"/>
                <w:color w:val="000000"/>
                <w:szCs w:val="18"/>
                <w:lang w:eastAsia="en-AU"/>
              </w:rPr>
              <w:t>Adopted</w:t>
            </w:r>
            <w:r w:rsidR="000314C2" w:rsidRPr="00D950A2">
              <w:rPr>
                <w:rFonts w:cstheme="minorHAnsi"/>
                <w:color w:val="000000"/>
                <w:szCs w:val="18"/>
                <w:lang w:eastAsia="en-AU"/>
              </w:rPr>
              <w:t xml:space="preserve"> rate rise of &gt; 2%</w:t>
            </w:r>
          </w:p>
        </w:tc>
        <w:tc>
          <w:tcPr>
            <w:tcW w:w="0" w:type="auto"/>
            <w:tcBorders>
              <w:top w:val="nil"/>
              <w:left w:val="nil"/>
              <w:bottom w:val="nil"/>
              <w:right w:val="nil"/>
            </w:tcBorders>
            <w:shd w:val="clear" w:color="auto" w:fill="auto"/>
            <w:noWrap/>
            <w:vAlign w:val="bottom"/>
            <w:hideMark/>
          </w:tcPr>
          <w:p w14:paraId="6D536DD0" w14:textId="77777777" w:rsidR="000314C2" w:rsidRPr="00D950A2" w:rsidRDefault="000314C2" w:rsidP="000314C2">
            <w:pPr>
              <w:spacing w:after="0"/>
              <w:jc w:val="center"/>
              <w:rPr>
                <w:rFonts w:cstheme="minorHAnsi"/>
                <w:b/>
                <w:bCs/>
                <w:color w:val="000000"/>
                <w:szCs w:val="18"/>
                <w:lang w:eastAsia="en-AU"/>
              </w:rPr>
            </w:pPr>
            <w:r w:rsidRPr="00D950A2">
              <w:rPr>
                <w:rFonts w:cstheme="minorHAnsi"/>
                <w:b/>
                <w:bCs/>
                <w:color w:val="000000"/>
                <w:szCs w:val="18"/>
                <w:lang w:eastAsia="en-AU"/>
              </w:rPr>
              <w:t>0</w:t>
            </w:r>
          </w:p>
        </w:tc>
        <w:tc>
          <w:tcPr>
            <w:tcW w:w="0" w:type="auto"/>
            <w:tcBorders>
              <w:top w:val="nil"/>
              <w:left w:val="nil"/>
              <w:bottom w:val="nil"/>
              <w:right w:val="nil"/>
            </w:tcBorders>
            <w:shd w:val="clear" w:color="auto" w:fill="auto"/>
            <w:noWrap/>
            <w:vAlign w:val="bottom"/>
            <w:hideMark/>
          </w:tcPr>
          <w:p w14:paraId="34A8BBD9"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483B5444"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271C85C7"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0C44EB4D"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4B03B1CD"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r>
      <w:tr w:rsidR="000314C2" w:rsidRPr="00D950A2" w14:paraId="09A9A453" w14:textId="77777777" w:rsidTr="000314C2">
        <w:trPr>
          <w:trHeight w:val="290"/>
        </w:trPr>
        <w:tc>
          <w:tcPr>
            <w:tcW w:w="0" w:type="auto"/>
            <w:tcBorders>
              <w:top w:val="nil"/>
              <w:left w:val="nil"/>
              <w:bottom w:val="nil"/>
              <w:right w:val="nil"/>
            </w:tcBorders>
            <w:shd w:val="clear" w:color="auto" w:fill="auto"/>
            <w:noWrap/>
            <w:vAlign w:val="bottom"/>
            <w:hideMark/>
          </w:tcPr>
          <w:p w14:paraId="235C2D02" w14:textId="23B3A965" w:rsidR="000314C2" w:rsidRPr="00D950A2" w:rsidRDefault="00EA1BDF" w:rsidP="000314C2">
            <w:pPr>
              <w:spacing w:after="0"/>
              <w:rPr>
                <w:rFonts w:cstheme="minorHAnsi"/>
                <w:color w:val="000000"/>
                <w:szCs w:val="18"/>
                <w:lang w:eastAsia="en-AU"/>
              </w:rPr>
            </w:pPr>
            <w:r>
              <w:rPr>
                <w:rFonts w:cstheme="minorHAnsi"/>
                <w:color w:val="000000"/>
                <w:szCs w:val="18"/>
                <w:lang w:eastAsia="en-AU"/>
              </w:rPr>
              <w:t>Adopted</w:t>
            </w:r>
            <w:r w:rsidR="000314C2" w:rsidRPr="00D950A2">
              <w:rPr>
                <w:rFonts w:cstheme="minorHAnsi"/>
                <w:color w:val="000000"/>
                <w:szCs w:val="18"/>
                <w:lang w:eastAsia="en-AU"/>
              </w:rPr>
              <w:t xml:space="preserve"> rate rise of &lt; 2%</w:t>
            </w:r>
          </w:p>
        </w:tc>
        <w:tc>
          <w:tcPr>
            <w:tcW w:w="0" w:type="auto"/>
            <w:tcBorders>
              <w:top w:val="nil"/>
              <w:left w:val="nil"/>
              <w:bottom w:val="nil"/>
              <w:right w:val="nil"/>
            </w:tcBorders>
            <w:shd w:val="clear" w:color="auto" w:fill="auto"/>
            <w:noWrap/>
            <w:vAlign w:val="bottom"/>
            <w:hideMark/>
          </w:tcPr>
          <w:p w14:paraId="22376BA3" w14:textId="77777777" w:rsidR="000314C2" w:rsidRPr="00D950A2" w:rsidRDefault="000314C2" w:rsidP="000314C2">
            <w:pPr>
              <w:spacing w:after="0"/>
              <w:jc w:val="center"/>
              <w:rPr>
                <w:rFonts w:cstheme="minorHAnsi"/>
                <w:b/>
                <w:bCs/>
                <w:color w:val="000000"/>
                <w:szCs w:val="18"/>
                <w:lang w:eastAsia="en-AU"/>
              </w:rPr>
            </w:pPr>
            <w:r w:rsidRPr="00D950A2">
              <w:rPr>
                <w:rFonts w:cstheme="minorHAnsi"/>
                <w:b/>
                <w:bCs/>
                <w:color w:val="000000"/>
                <w:szCs w:val="18"/>
                <w:lang w:eastAsia="en-AU"/>
              </w:rPr>
              <w:t>7</w:t>
            </w:r>
          </w:p>
        </w:tc>
        <w:tc>
          <w:tcPr>
            <w:tcW w:w="0" w:type="auto"/>
            <w:tcBorders>
              <w:top w:val="nil"/>
              <w:left w:val="nil"/>
              <w:bottom w:val="nil"/>
              <w:right w:val="nil"/>
            </w:tcBorders>
            <w:shd w:val="clear" w:color="auto" w:fill="auto"/>
            <w:noWrap/>
            <w:vAlign w:val="bottom"/>
            <w:hideMark/>
          </w:tcPr>
          <w:p w14:paraId="432911C0"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199ABBCF"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6023AB7F"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1</w:t>
            </w:r>
          </w:p>
        </w:tc>
        <w:tc>
          <w:tcPr>
            <w:tcW w:w="0" w:type="auto"/>
            <w:tcBorders>
              <w:top w:val="nil"/>
              <w:left w:val="nil"/>
              <w:bottom w:val="nil"/>
              <w:right w:val="nil"/>
            </w:tcBorders>
            <w:shd w:val="clear" w:color="auto" w:fill="auto"/>
            <w:noWrap/>
            <w:vAlign w:val="bottom"/>
            <w:hideMark/>
          </w:tcPr>
          <w:p w14:paraId="537702EC"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3</w:t>
            </w:r>
          </w:p>
        </w:tc>
        <w:tc>
          <w:tcPr>
            <w:tcW w:w="0" w:type="auto"/>
            <w:tcBorders>
              <w:top w:val="nil"/>
              <w:left w:val="nil"/>
              <w:bottom w:val="nil"/>
              <w:right w:val="nil"/>
            </w:tcBorders>
            <w:shd w:val="clear" w:color="auto" w:fill="auto"/>
            <w:noWrap/>
            <w:vAlign w:val="bottom"/>
            <w:hideMark/>
          </w:tcPr>
          <w:p w14:paraId="17B80522"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3</w:t>
            </w:r>
          </w:p>
        </w:tc>
      </w:tr>
      <w:tr w:rsidR="000314C2" w:rsidRPr="00D950A2" w14:paraId="54070989" w14:textId="77777777" w:rsidTr="000314C2">
        <w:trPr>
          <w:trHeight w:val="290"/>
        </w:trPr>
        <w:tc>
          <w:tcPr>
            <w:tcW w:w="0" w:type="auto"/>
            <w:tcBorders>
              <w:top w:val="nil"/>
              <w:left w:val="nil"/>
              <w:bottom w:val="nil"/>
              <w:right w:val="nil"/>
            </w:tcBorders>
            <w:shd w:val="clear" w:color="auto" w:fill="auto"/>
            <w:noWrap/>
            <w:vAlign w:val="bottom"/>
            <w:hideMark/>
          </w:tcPr>
          <w:p w14:paraId="4C11B5C1" w14:textId="5B8BD27A" w:rsidR="000314C2" w:rsidRPr="00D950A2" w:rsidRDefault="00EA1BDF" w:rsidP="000314C2">
            <w:pPr>
              <w:spacing w:after="0"/>
              <w:rPr>
                <w:rFonts w:cstheme="minorHAnsi"/>
                <w:color w:val="000000"/>
                <w:szCs w:val="18"/>
                <w:lang w:eastAsia="en-AU"/>
              </w:rPr>
            </w:pPr>
            <w:r>
              <w:rPr>
                <w:rFonts w:cstheme="minorHAnsi"/>
                <w:color w:val="000000"/>
                <w:szCs w:val="18"/>
                <w:lang w:eastAsia="en-AU"/>
              </w:rPr>
              <w:t>Adopted</w:t>
            </w:r>
            <w:r w:rsidR="000314C2" w:rsidRPr="00D950A2">
              <w:rPr>
                <w:rFonts w:cstheme="minorHAnsi"/>
                <w:color w:val="000000"/>
                <w:szCs w:val="18"/>
                <w:lang w:eastAsia="en-AU"/>
              </w:rPr>
              <w:t xml:space="preserve"> rate rise of 0%</w:t>
            </w:r>
          </w:p>
        </w:tc>
        <w:tc>
          <w:tcPr>
            <w:tcW w:w="0" w:type="auto"/>
            <w:tcBorders>
              <w:top w:val="nil"/>
              <w:left w:val="nil"/>
              <w:bottom w:val="nil"/>
              <w:right w:val="nil"/>
            </w:tcBorders>
            <w:shd w:val="clear" w:color="auto" w:fill="auto"/>
            <w:noWrap/>
            <w:vAlign w:val="bottom"/>
            <w:hideMark/>
          </w:tcPr>
          <w:p w14:paraId="5E769064" w14:textId="41F2681B" w:rsidR="000314C2" w:rsidRPr="00D950A2" w:rsidRDefault="000314C2" w:rsidP="000314C2">
            <w:pPr>
              <w:spacing w:after="0"/>
              <w:jc w:val="center"/>
              <w:rPr>
                <w:rFonts w:cstheme="minorHAnsi"/>
                <w:b/>
                <w:bCs/>
                <w:color w:val="000000"/>
                <w:szCs w:val="18"/>
                <w:lang w:eastAsia="en-AU"/>
              </w:rPr>
            </w:pPr>
            <w:r w:rsidRPr="00D950A2">
              <w:rPr>
                <w:rFonts w:cstheme="minorHAnsi"/>
                <w:b/>
                <w:bCs/>
                <w:color w:val="000000"/>
                <w:szCs w:val="18"/>
                <w:lang w:eastAsia="en-AU"/>
              </w:rPr>
              <w:t>1</w:t>
            </w:r>
            <w:r w:rsidR="0026007D">
              <w:rPr>
                <w:rFonts w:cstheme="minorHAnsi"/>
                <w:b/>
                <w:bCs/>
                <w:color w:val="000000"/>
                <w:szCs w:val="18"/>
                <w:lang w:eastAsia="en-AU"/>
              </w:rPr>
              <w:t>6</w:t>
            </w:r>
          </w:p>
        </w:tc>
        <w:tc>
          <w:tcPr>
            <w:tcW w:w="0" w:type="auto"/>
            <w:tcBorders>
              <w:top w:val="nil"/>
              <w:left w:val="nil"/>
              <w:bottom w:val="nil"/>
              <w:right w:val="nil"/>
            </w:tcBorders>
            <w:shd w:val="clear" w:color="auto" w:fill="auto"/>
            <w:noWrap/>
            <w:vAlign w:val="bottom"/>
            <w:hideMark/>
          </w:tcPr>
          <w:p w14:paraId="058E4005" w14:textId="55883139" w:rsidR="000314C2" w:rsidRPr="00D950A2" w:rsidRDefault="00192CEC" w:rsidP="000314C2">
            <w:pPr>
              <w:spacing w:after="0"/>
              <w:jc w:val="center"/>
              <w:rPr>
                <w:rFonts w:cstheme="minorHAnsi"/>
                <w:color w:val="000000"/>
                <w:szCs w:val="18"/>
                <w:lang w:eastAsia="en-AU"/>
              </w:rPr>
            </w:pPr>
            <w:r>
              <w:rPr>
                <w:rFonts w:cstheme="minorHAnsi"/>
                <w:color w:val="000000"/>
                <w:szCs w:val="18"/>
                <w:lang w:eastAsia="en-AU"/>
              </w:rPr>
              <w:t>3</w:t>
            </w:r>
          </w:p>
        </w:tc>
        <w:tc>
          <w:tcPr>
            <w:tcW w:w="0" w:type="auto"/>
            <w:tcBorders>
              <w:top w:val="nil"/>
              <w:left w:val="nil"/>
              <w:bottom w:val="nil"/>
              <w:right w:val="nil"/>
            </w:tcBorders>
            <w:shd w:val="clear" w:color="auto" w:fill="auto"/>
            <w:noWrap/>
            <w:vAlign w:val="bottom"/>
            <w:hideMark/>
          </w:tcPr>
          <w:p w14:paraId="3D3AC4AD" w14:textId="44130503" w:rsidR="000314C2" w:rsidRPr="00D950A2" w:rsidRDefault="00192CEC" w:rsidP="000314C2">
            <w:pPr>
              <w:spacing w:after="0"/>
              <w:jc w:val="center"/>
              <w:rPr>
                <w:rFonts w:cstheme="minorHAnsi"/>
                <w:color w:val="000000"/>
                <w:szCs w:val="18"/>
                <w:lang w:eastAsia="en-AU"/>
              </w:rPr>
            </w:pPr>
            <w:r>
              <w:rPr>
                <w:rFonts w:cstheme="minorHAnsi"/>
                <w:color w:val="000000"/>
                <w:szCs w:val="18"/>
                <w:lang w:eastAsia="en-AU"/>
              </w:rPr>
              <w:t>2</w:t>
            </w:r>
          </w:p>
        </w:tc>
        <w:tc>
          <w:tcPr>
            <w:tcW w:w="0" w:type="auto"/>
            <w:tcBorders>
              <w:top w:val="nil"/>
              <w:left w:val="nil"/>
              <w:bottom w:val="nil"/>
              <w:right w:val="nil"/>
            </w:tcBorders>
            <w:shd w:val="clear" w:color="auto" w:fill="auto"/>
            <w:noWrap/>
            <w:vAlign w:val="bottom"/>
            <w:hideMark/>
          </w:tcPr>
          <w:p w14:paraId="1297F7EB"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3</w:t>
            </w:r>
          </w:p>
        </w:tc>
        <w:tc>
          <w:tcPr>
            <w:tcW w:w="0" w:type="auto"/>
            <w:tcBorders>
              <w:top w:val="nil"/>
              <w:left w:val="nil"/>
              <w:bottom w:val="nil"/>
              <w:right w:val="nil"/>
            </w:tcBorders>
            <w:shd w:val="clear" w:color="auto" w:fill="auto"/>
            <w:noWrap/>
            <w:vAlign w:val="bottom"/>
            <w:hideMark/>
          </w:tcPr>
          <w:p w14:paraId="6B0EA864" w14:textId="245EAABD" w:rsidR="000314C2" w:rsidRPr="00D950A2" w:rsidRDefault="00957CFA" w:rsidP="000314C2">
            <w:pPr>
              <w:spacing w:after="0"/>
              <w:jc w:val="center"/>
              <w:rPr>
                <w:rFonts w:cstheme="minorHAnsi"/>
                <w:color w:val="000000"/>
                <w:szCs w:val="18"/>
                <w:lang w:eastAsia="en-AU"/>
              </w:rPr>
            </w:pPr>
            <w:r>
              <w:rPr>
                <w:rFonts w:cstheme="minorHAnsi"/>
                <w:color w:val="000000"/>
                <w:szCs w:val="18"/>
                <w:lang w:eastAsia="en-AU"/>
              </w:rPr>
              <w:t>5</w:t>
            </w:r>
          </w:p>
        </w:tc>
        <w:tc>
          <w:tcPr>
            <w:tcW w:w="0" w:type="auto"/>
            <w:tcBorders>
              <w:top w:val="nil"/>
              <w:left w:val="nil"/>
              <w:bottom w:val="nil"/>
              <w:right w:val="nil"/>
            </w:tcBorders>
            <w:shd w:val="clear" w:color="auto" w:fill="auto"/>
            <w:noWrap/>
            <w:vAlign w:val="bottom"/>
            <w:hideMark/>
          </w:tcPr>
          <w:p w14:paraId="2C5F031C" w14:textId="0F119882" w:rsidR="000314C2" w:rsidRPr="00D950A2" w:rsidRDefault="00192CEC" w:rsidP="000314C2">
            <w:pPr>
              <w:spacing w:after="0"/>
              <w:jc w:val="center"/>
              <w:rPr>
                <w:rFonts w:cstheme="minorHAnsi"/>
                <w:color w:val="000000"/>
                <w:szCs w:val="18"/>
                <w:lang w:eastAsia="en-AU"/>
              </w:rPr>
            </w:pPr>
            <w:r>
              <w:rPr>
                <w:rFonts w:cstheme="minorHAnsi"/>
                <w:color w:val="000000"/>
                <w:szCs w:val="18"/>
                <w:lang w:eastAsia="en-AU"/>
              </w:rPr>
              <w:t>3</w:t>
            </w:r>
          </w:p>
        </w:tc>
      </w:tr>
      <w:tr w:rsidR="000314C2" w:rsidRPr="00D950A2" w14:paraId="5648F1D4" w14:textId="77777777" w:rsidTr="000314C2">
        <w:trPr>
          <w:trHeight w:val="290"/>
        </w:trPr>
        <w:tc>
          <w:tcPr>
            <w:tcW w:w="0" w:type="auto"/>
            <w:tcBorders>
              <w:top w:val="nil"/>
              <w:left w:val="nil"/>
              <w:bottom w:val="nil"/>
              <w:right w:val="nil"/>
            </w:tcBorders>
            <w:shd w:val="clear" w:color="auto" w:fill="auto"/>
            <w:noWrap/>
            <w:vAlign w:val="bottom"/>
            <w:hideMark/>
          </w:tcPr>
          <w:p w14:paraId="2D05A7BC" w14:textId="607C0D52" w:rsidR="000314C2" w:rsidRPr="00D950A2" w:rsidRDefault="00EA1BDF" w:rsidP="000314C2">
            <w:pPr>
              <w:spacing w:after="0"/>
              <w:rPr>
                <w:rFonts w:cstheme="minorHAnsi"/>
                <w:color w:val="000000"/>
                <w:szCs w:val="18"/>
                <w:lang w:eastAsia="en-AU"/>
              </w:rPr>
            </w:pPr>
            <w:r>
              <w:rPr>
                <w:rFonts w:cstheme="minorHAnsi"/>
                <w:color w:val="000000"/>
                <w:szCs w:val="18"/>
                <w:lang w:eastAsia="en-AU"/>
              </w:rPr>
              <w:t>Adopted</w:t>
            </w:r>
            <w:r w:rsidR="000314C2" w:rsidRPr="00D950A2">
              <w:rPr>
                <w:rFonts w:cstheme="minorHAnsi"/>
                <w:color w:val="000000"/>
                <w:szCs w:val="18"/>
                <w:lang w:eastAsia="en-AU"/>
              </w:rPr>
              <w:t xml:space="preserve"> rate rise of &lt; 0%</w:t>
            </w:r>
          </w:p>
        </w:tc>
        <w:tc>
          <w:tcPr>
            <w:tcW w:w="0" w:type="auto"/>
            <w:tcBorders>
              <w:top w:val="nil"/>
              <w:left w:val="nil"/>
              <w:bottom w:val="nil"/>
              <w:right w:val="nil"/>
            </w:tcBorders>
            <w:shd w:val="clear" w:color="auto" w:fill="auto"/>
            <w:noWrap/>
            <w:vAlign w:val="bottom"/>
            <w:hideMark/>
          </w:tcPr>
          <w:p w14:paraId="4D009E67" w14:textId="77777777" w:rsidR="000314C2" w:rsidRPr="00D950A2" w:rsidRDefault="000314C2" w:rsidP="000314C2">
            <w:pPr>
              <w:spacing w:after="0"/>
              <w:jc w:val="center"/>
              <w:rPr>
                <w:rFonts w:cstheme="minorHAnsi"/>
                <w:b/>
                <w:bCs/>
                <w:color w:val="000000"/>
                <w:szCs w:val="18"/>
                <w:lang w:eastAsia="en-AU"/>
              </w:rPr>
            </w:pPr>
            <w:r w:rsidRPr="00D950A2">
              <w:rPr>
                <w:rFonts w:cstheme="minorHAnsi"/>
                <w:b/>
                <w:bCs/>
                <w:color w:val="000000"/>
                <w:szCs w:val="18"/>
                <w:lang w:eastAsia="en-AU"/>
              </w:rPr>
              <w:t>1</w:t>
            </w:r>
          </w:p>
        </w:tc>
        <w:tc>
          <w:tcPr>
            <w:tcW w:w="0" w:type="auto"/>
            <w:tcBorders>
              <w:top w:val="nil"/>
              <w:left w:val="nil"/>
              <w:bottom w:val="nil"/>
              <w:right w:val="nil"/>
            </w:tcBorders>
            <w:shd w:val="clear" w:color="auto" w:fill="auto"/>
            <w:noWrap/>
            <w:vAlign w:val="bottom"/>
            <w:hideMark/>
          </w:tcPr>
          <w:p w14:paraId="2BC9BDB8"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75800FB0"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4CE6B697"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49F7AF2C"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0</w:t>
            </w:r>
          </w:p>
        </w:tc>
        <w:tc>
          <w:tcPr>
            <w:tcW w:w="0" w:type="auto"/>
            <w:tcBorders>
              <w:top w:val="nil"/>
              <w:left w:val="nil"/>
              <w:bottom w:val="nil"/>
              <w:right w:val="nil"/>
            </w:tcBorders>
            <w:shd w:val="clear" w:color="auto" w:fill="auto"/>
            <w:noWrap/>
            <w:vAlign w:val="bottom"/>
            <w:hideMark/>
          </w:tcPr>
          <w:p w14:paraId="3E080F8A" w14:textId="77777777" w:rsidR="000314C2" w:rsidRPr="00D950A2" w:rsidRDefault="000314C2" w:rsidP="000314C2">
            <w:pPr>
              <w:spacing w:after="0"/>
              <w:jc w:val="center"/>
              <w:rPr>
                <w:rFonts w:cstheme="minorHAnsi"/>
                <w:color w:val="000000"/>
                <w:szCs w:val="18"/>
                <w:lang w:eastAsia="en-AU"/>
              </w:rPr>
            </w:pPr>
            <w:r w:rsidRPr="00D950A2">
              <w:rPr>
                <w:rFonts w:cstheme="minorHAnsi"/>
                <w:color w:val="000000"/>
                <w:szCs w:val="18"/>
                <w:lang w:eastAsia="en-AU"/>
              </w:rPr>
              <w:t>1</w:t>
            </w:r>
          </w:p>
        </w:tc>
      </w:tr>
      <w:tr w:rsidR="000314C2" w:rsidRPr="00D950A2" w14:paraId="0290E9C9" w14:textId="77777777" w:rsidTr="00797FE6">
        <w:trPr>
          <w:trHeight w:val="300"/>
        </w:trPr>
        <w:tc>
          <w:tcPr>
            <w:tcW w:w="0" w:type="auto"/>
            <w:tcBorders>
              <w:top w:val="nil"/>
              <w:left w:val="nil"/>
              <w:bottom w:val="nil"/>
              <w:right w:val="nil"/>
            </w:tcBorders>
            <w:shd w:val="clear" w:color="auto" w:fill="auto"/>
            <w:noWrap/>
            <w:vAlign w:val="bottom"/>
            <w:hideMark/>
          </w:tcPr>
          <w:p w14:paraId="477243E8" w14:textId="77777777" w:rsidR="000314C2" w:rsidRPr="00D950A2" w:rsidRDefault="000314C2" w:rsidP="000314C2">
            <w:pPr>
              <w:spacing w:after="0"/>
              <w:jc w:val="center"/>
              <w:rPr>
                <w:rFonts w:cstheme="minorHAnsi"/>
                <w:color w:val="000000"/>
                <w:szCs w:val="18"/>
                <w:lang w:eastAsia="en-AU"/>
              </w:rPr>
            </w:pPr>
          </w:p>
        </w:tc>
        <w:tc>
          <w:tcPr>
            <w:tcW w:w="0" w:type="auto"/>
            <w:tcBorders>
              <w:top w:val="single" w:sz="4" w:space="0" w:color="auto"/>
              <w:left w:val="nil"/>
              <w:bottom w:val="double" w:sz="6" w:space="0" w:color="auto"/>
              <w:right w:val="nil"/>
            </w:tcBorders>
            <w:shd w:val="clear" w:color="auto" w:fill="auto"/>
            <w:noWrap/>
            <w:hideMark/>
          </w:tcPr>
          <w:p w14:paraId="05A3F8B9" w14:textId="77777777" w:rsidR="000314C2" w:rsidRPr="00D950A2" w:rsidRDefault="000314C2" w:rsidP="00797FE6">
            <w:pPr>
              <w:spacing w:before="60" w:after="0"/>
              <w:jc w:val="center"/>
              <w:rPr>
                <w:rFonts w:cstheme="minorHAnsi"/>
                <w:b/>
                <w:bCs/>
                <w:color w:val="000000"/>
                <w:szCs w:val="18"/>
                <w:lang w:eastAsia="en-AU"/>
              </w:rPr>
            </w:pPr>
            <w:r w:rsidRPr="00D950A2">
              <w:rPr>
                <w:rFonts w:cstheme="minorHAnsi"/>
                <w:b/>
                <w:bCs/>
                <w:color w:val="000000"/>
                <w:szCs w:val="18"/>
                <w:lang w:eastAsia="en-AU"/>
              </w:rPr>
              <w:t>79</w:t>
            </w:r>
          </w:p>
        </w:tc>
        <w:tc>
          <w:tcPr>
            <w:tcW w:w="0" w:type="auto"/>
            <w:tcBorders>
              <w:top w:val="single" w:sz="4" w:space="0" w:color="auto"/>
              <w:left w:val="nil"/>
              <w:bottom w:val="double" w:sz="6" w:space="0" w:color="auto"/>
              <w:right w:val="nil"/>
            </w:tcBorders>
            <w:shd w:val="clear" w:color="auto" w:fill="auto"/>
            <w:noWrap/>
            <w:hideMark/>
          </w:tcPr>
          <w:p w14:paraId="7E8971B9" w14:textId="77777777" w:rsidR="000314C2" w:rsidRPr="00D950A2" w:rsidRDefault="000314C2" w:rsidP="00797FE6">
            <w:pPr>
              <w:spacing w:before="60" w:after="0"/>
              <w:jc w:val="center"/>
              <w:rPr>
                <w:rFonts w:cstheme="minorHAnsi"/>
                <w:b/>
                <w:bCs/>
                <w:color w:val="000000"/>
                <w:szCs w:val="18"/>
                <w:lang w:eastAsia="en-AU"/>
              </w:rPr>
            </w:pPr>
            <w:r w:rsidRPr="00D950A2">
              <w:rPr>
                <w:rFonts w:cstheme="minorHAnsi"/>
                <w:b/>
                <w:bCs/>
                <w:color w:val="000000"/>
                <w:szCs w:val="18"/>
                <w:lang w:eastAsia="en-AU"/>
              </w:rPr>
              <w:t>22</w:t>
            </w:r>
          </w:p>
        </w:tc>
        <w:tc>
          <w:tcPr>
            <w:tcW w:w="0" w:type="auto"/>
            <w:tcBorders>
              <w:top w:val="single" w:sz="4" w:space="0" w:color="auto"/>
              <w:left w:val="nil"/>
              <w:bottom w:val="double" w:sz="6" w:space="0" w:color="auto"/>
              <w:right w:val="nil"/>
            </w:tcBorders>
            <w:shd w:val="clear" w:color="auto" w:fill="auto"/>
            <w:noWrap/>
            <w:hideMark/>
          </w:tcPr>
          <w:p w14:paraId="79DCBFF6" w14:textId="77777777" w:rsidR="000314C2" w:rsidRPr="00D950A2" w:rsidRDefault="000314C2" w:rsidP="00797FE6">
            <w:pPr>
              <w:spacing w:before="60" w:after="0"/>
              <w:jc w:val="center"/>
              <w:rPr>
                <w:rFonts w:cstheme="minorHAnsi"/>
                <w:b/>
                <w:bCs/>
                <w:color w:val="000000"/>
                <w:szCs w:val="18"/>
                <w:lang w:eastAsia="en-AU"/>
              </w:rPr>
            </w:pPr>
            <w:r w:rsidRPr="00D950A2">
              <w:rPr>
                <w:rFonts w:cstheme="minorHAnsi"/>
                <w:b/>
                <w:bCs/>
                <w:color w:val="000000"/>
                <w:szCs w:val="18"/>
                <w:lang w:eastAsia="en-AU"/>
              </w:rPr>
              <w:t>9</w:t>
            </w:r>
          </w:p>
        </w:tc>
        <w:tc>
          <w:tcPr>
            <w:tcW w:w="0" w:type="auto"/>
            <w:tcBorders>
              <w:top w:val="single" w:sz="4" w:space="0" w:color="auto"/>
              <w:left w:val="nil"/>
              <w:bottom w:val="double" w:sz="6" w:space="0" w:color="auto"/>
              <w:right w:val="nil"/>
            </w:tcBorders>
            <w:shd w:val="clear" w:color="auto" w:fill="auto"/>
            <w:noWrap/>
            <w:hideMark/>
          </w:tcPr>
          <w:p w14:paraId="24BD4704" w14:textId="77777777" w:rsidR="000314C2" w:rsidRPr="00D950A2" w:rsidRDefault="000314C2" w:rsidP="00797FE6">
            <w:pPr>
              <w:spacing w:before="60" w:after="0"/>
              <w:jc w:val="center"/>
              <w:rPr>
                <w:rFonts w:cstheme="minorHAnsi"/>
                <w:b/>
                <w:bCs/>
                <w:color w:val="000000"/>
                <w:szCs w:val="18"/>
                <w:lang w:eastAsia="en-AU"/>
              </w:rPr>
            </w:pPr>
            <w:r w:rsidRPr="00D950A2">
              <w:rPr>
                <w:rFonts w:cstheme="minorHAnsi"/>
                <w:b/>
                <w:bCs/>
                <w:color w:val="000000"/>
                <w:szCs w:val="18"/>
                <w:lang w:eastAsia="en-AU"/>
              </w:rPr>
              <w:t>10</w:t>
            </w:r>
          </w:p>
        </w:tc>
        <w:tc>
          <w:tcPr>
            <w:tcW w:w="0" w:type="auto"/>
            <w:tcBorders>
              <w:top w:val="single" w:sz="4" w:space="0" w:color="auto"/>
              <w:left w:val="nil"/>
              <w:bottom w:val="double" w:sz="6" w:space="0" w:color="auto"/>
              <w:right w:val="nil"/>
            </w:tcBorders>
            <w:shd w:val="clear" w:color="auto" w:fill="auto"/>
            <w:noWrap/>
            <w:hideMark/>
          </w:tcPr>
          <w:p w14:paraId="0C5A27AB" w14:textId="77777777" w:rsidR="000314C2" w:rsidRPr="00D950A2" w:rsidRDefault="000314C2" w:rsidP="00797FE6">
            <w:pPr>
              <w:spacing w:before="60" w:after="0"/>
              <w:jc w:val="center"/>
              <w:rPr>
                <w:rFonts w:cstheme="minorHAnsi"/>
                <w:b/>
                <w:bCs/>
                <w:color w:val="000000"/>
                <w:szCs w:val="18"/>
                <w:lang w:eastAsia="en-AU"/>
              </w:rPr>
            </w:pPr>
            <w:r w:rsidRPr="00D950A2">
              <w:rPr>
                <w:rFonts w:cstheme="minorHAnsi"/>
                <w:b/>
                <w:bCs/>
                <w:color w:val="000000"/>
                <w:szCs w:val="18"/>
                <w:lang w:eastAsia="en-AU"/>
              </w:rPr>
              <w:t>19</w:t>
            </w:r>
          </w:p>
        </w:tc>
        <w:tc>
          <w:tcPr>
            <w:tcW w:w="0" w:type="auto"/>
            <w:tcBorders>
              <w:top w:val="single" w:sz="4" w:space="0" w:color="auto"/>
              <w:left w:val="nil"/>
              <w:bottom w:val="double" w:sz="6" w:space="0" w:color="auto"/>
              <w:right w:val="nil"/>
            </w:tcBorders>
            <w:shd w:val="clear" w:color="auto" w:fill="auto"/>
            <w:noWrap/>
            <w:hideMark/>
          </w:tcPr>
          <w:p w14:paraId="79B07BF9" w14:textId="77777777" w:rsidR="000314C2" w:rsidRPr="00D950A2" w:rsidRDefault="000314C2" w:rsidP="00797FE6">
            <w:pPr>
              <w:spacing w:before="60" w:after="0"/>
              <w:jc w:val="center"/>
              <w:rPr>
                <w:rFonts w:cstheme="minorHAnsi"/>
                <w:b/>
                <w:bCs/>
                <w:color w:val="000000"/>
                <w:szCs w:val="18"/>
                <w:lang w:eastAsia="en-AU"/>
              </w:rPr>
            </w:pPr>
            <w:r w:rsidRPr="00D950A2">
              <w:rPr>
                <w:rFonts w:cstheme="minorHAnsi"/>
                <w:b/>
                <w:bCs/>
                <w:color w:val="000000"/>
                <w:szCs w:val="18"/>
                <w:lang w:eastAsia="en-AU"/>
              </w:rPr>
              <w:t>19</w:t>
            </w:r>
          </w:p>
        </w:tc>
      </w:tr>
    </w:tbl>
    <w:p w14:paraId="0C656DE8" w14:textId="327FC9FD" w:rsidR="000314C2" w:rsidRPr="00836333" w:rsidRDefault="000314C2" w:rsidP="00797FE6">
      <w:pPr>
        <w:pStyle w:val="BodyText"/>
        <w:spacing w:before="120" w:after="60"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w:t>
      </w:r>
    </w:p>
    <w:bookmarkEnd w:id="20"/>
    <w:p w14:paraId="7A444793" w14:textId="7ED91A25" w:rsidR="000314C2" w:rsidRPr="000314C2" w:rsidRDefault="000314C2" w:rsidP="000314C2">
      <w:pPr>
        <w:pStyle w:val="BodyText"/>
        <w:rPr>
          <w:color w:val="53565A" w:themeColor="accent2"/>
          <w:sz w:val="18"/>
          <w:szCs w:val="18"/>
        </w:rPr>
      </w:pPr>
      <w:r w:rsidRPr="000314C2">
        <w:rPr>
          <w:b/>
          <w:bCs/>
          <w:color w:val="53565A" w:themeColor="accent2"/>
          <w:sz w:val="18"/>
          <w:szCs w:val="18"/>
        </w:rPr>
        <w:lastRenderedPageBreak/>
        <w:t>Figure 1</w:t>
      </w:r>
      <w:r w:rsidR="005411D1">
        <w:rPr>
          <w:b/>
          <w:bCs/>
          <w:color w:val="53565A" w:themeColor="accent2"/>
          <w:sz w:val="18"/>
          <w:szCs w:val="18"/>
        </w:rPr>
        <w:t>2a</w:t>
      </w:r>
      <w:r w:rsidRPr="000314C2">
        <w:rPr>
          <w:color w:val="53565A" w:themeColor="accent2"/>
          <w:sz w:val="18"/>
          <w:szCs w:val="18"/>
        </w:rPr>
        <w:t xml:space="preserve"> below presents the rate rise data in a pie chart, allowing comparison with the rate rises in 2019-20 adopted budgets in </w:t>
      </w:r>
      <w:r w:rsidRPr="000314C2">
        <w:rPr>
          <w:b/>
          <w:bCs/>
          <w:color w:val="53565A" w:themeColor="accent2"/>
          <w:sz w:val="18"/>
          <w:szCs w:val="18"/>
        </w:rPr>
        <w:t>Figure 12</w:t>
      </w:r>
      <w:r w:rsidR="005411D1">
        <w:rPr>
          <w:b/>
          <w:bCs/>
          <w:color w:val="53565A" w:themeColor="accent2"/>
          <w:sz w:val="18"/>
          <w:szCs w:val="18"/>
        </w:rPr>
        <w:t>b</w:t>
      </w:r>
      <w:r w:rsidRPr="000314C2">
        <w:rPr>
          <w:color w:val="53565A" w:themeColor="accent2"/>
          <w:sz w:val="18"/>
          <w:szCs w:val="18"/>
        </w:rPr>
        <w:t>. The main differences are that no councils have sought to raise rates beyond the rate cap in 2020-21 (4 in 2019-20), while no councils adopted a zero per cent or lower rate rise in 2019-20 (1</w:t>
      </w:r>
      <w:r w:rsidR="009B3A49">
        <w:rPr>
          <w:color w:val="53565A" w:themeColor="accent2"/>
          <w:sz w:val="18"/>
          <w:szCs w:val="18"/>
        </w:rPr>
        <w:t>7</w:t>
      </w:r>
      <w:r w:rsidRPr="000314C2">
        <w:rPr>
          <w:color w:val="53565A" w:themeColor="accent2"/>
          <w:sz w:val="18"/>
          <w:szCs w:val="18"/>
        </w:rPr>
        <w:t xml:space="preserve"> in 2020-21).</w:t>
      </w:r>
    </w:p>
    <w:p w14:paraId="25EE0190" w14:textId="32E5AA8C" w:rsidR="001F2363" w:rsidRDefault="00B97812" w:rsidP="000314C2">
      <w:pPr>
        <w:pStyle w:val="Caption"/>
        <w:spacing w:after="60"/>
        <w:rPr>
          <w:b/>
          <w:bCs/>
          <w:i w:val="0"/>
          <w:iCs w:val="0"/>
        </w:rPr>
      </w:pPr>
      <w:r>
        <w:rPr>
          <w:noProof/>
        </w:rPr>
        <w:drawing>
          <wp:anchor distT="0" distB="0" distL="114300" distR="114300" simplePos="0" relativeHeight="251658257" behindDoc="0" locked="0" layoutInCell="1" allowOverlap="1" wp14:anchorId="6C338122" wp14:editId="18F90AC3">
            <wp:simplePos x="0" y="0"/>
            <wp:positionH relativeFrom="margin">
              <wp:align>left</wp:align>
            </wp:positionH>
            <wp:positionV relativeFrom="paragraph">
              <wp:posOffset>214630</wp:posOffset>
            </wp:positionV>
            <wp:extent cx="5772150" cy="1711325"/>
            <wp:effectExtent l="0" t="0" r="0" b="3175"/>
            <wp:wrapSquare wrapText="bothSides"/>
            <wp:docPr id="114" name="Chart 114">
              <a:extLst xmlns:a="http://schemas.openxmlformats.org/drawingml/2006/main">
                <a:ext uri="{FF2B5EF4-FFF2-40B4-BE49-F238E27FC236}">
                  <a16:creationId xmlns:a16="http://schemas.microsoft.com/office/drawing/2014/main" id="{FC329D3E-0DE5-418C-AB9F-C309E0B16F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0314C2" w:rsidRPr="000314C2">
        <w:rPr>
          <w:b/>
          <w:bCs/>
          <w:i w:val="0"/>
          <w:iCs w:val="0"/>
        </w:rPr>
        <w:t>Figure 1</w:t>
      </w:r>
      <w:r w:rsidR="005411D1">
        <w:rPr>
          <w:b/>
          <w:bCs/>
          <w:i w:val="0"/>
          <w:iCs w:val="0"/>
        </w:rPr>
        <w:t>2a</w:t>
      </w:r>
      <w:r w:rsidR="000314C2" w:rsidRPr="000314C2">
        <w:rPr>
          <w:b/>
          <w:bCs/>
          <w:i w:val="0"/>
          <w:iCs w:val="0"/>
        </w:rPr>
        <w:t xml:space="preserve"> Rate rises in 2020-21</w:t>
      </w:r>
    </w:p>
    <w:p w14:paraId="512246F3" w14:textId="593E4F4B" w:rsidR="000314C2" w:rsidRPr="00794BBC" w:rsidRDefault="000314C2" w:rsidP="00B820DC">
      <w:pPr>
        <w:rPr>
          <w:sz w:val="16"/>
          <w:szCs w:val="16"/>
        </w:rPr>
      </w:pPr>
      <w:r w:rsidRPr="00794BBC">
        <w:rPr>
          <w:sz w:val="16"/>
          <w:szCs w:val="16"/>
        </w:rPr>
        <w:t xml:space="preserve">Source: 2020-21 </w:t>
      </w:r>
      <w:r w:rsidR="00EA1BDF">
        <w:rPr>
          <w:sz w:val="16"/>
          <w:szCs w:val="16"/>
        </w:rPr>
        <w:t>adopted</w:t>
      </w:r>
      <w:r w:rsidRPr="00794BBC">
        <w:rPr>
          <w:sz w:val="16"/>
          <w:szCs w:val="16"/>
        </w:rPr>
        <w:t xml:space="preserve"> budgets</w:t>
      </w:r>
    </w:p>
    <w:p w14:paraId="08DC6C9B" w14:textId="6E4AA6B2" w:rsidR="000314C2" w:rsidRPr="00CA6943" w:rsidRDefault="000314C2" w:rsidP="000314C2">
      <w:pPr>
        <w:pStyle w:val="Caption"/>
        <w:spacing w:after="60"/>
        <w:rPr>
          <w:b/>
          <w:bCs/>
          <w:i w:val="0"/>
          <w:iCs w:val="0"/>
        </w:rPr>
      </w:pPr>
      <w:r w:rsidRPr="00B6229F">
        <w:rPr>
          <w:b/>
          <w:bCs/>
          <w:i w:val="0"/>
          <w:iCs w:val="0"/>
        </w:rPr>
        <w:t xml:space="preserve">Figure </w:t>
      </w:r>
      <w:r>
        <w:rPr>
          <w:b/>
          <w:bCs/>
          <w:i w:val="0"/>
          <w:iCs w:val="0"/>
        </w:rPr>
        <w:t>12</w:t>
      </w:r>
      <w:r w:rsidR="005411D1">
        <w:rPr>
          <w:b/>
          <w:bCs/>
          <w:i w:val="0"/>
          <w:iCs w:val="0"/>
        </w:rPr>
        <w:t>b</w:t>
      </w:r>
      <w:r w:rsidRPr="00B6229F">
        <w:rPr>
          <w:b/>
          <w:bCs/>
          <w:i w:val="0"/>
          <w:iCs w:val="0"/>
        </w:rPr>
        <w:t xml:space="preserve"> </w:t>
      </w:r>
      <w:r>
        <w:rPr>
          <w:b/>
          <w:bCs/>
          <w:i w:val="0"/>
          <w:iCs w:val="0"/>
        </w:rPr>
        <w:t>Rate rises in 2019-20</w:t>
      </w:r>
    </w:p>
    <w:p w14:paraId="0B3F38A0" w14:textId="77777777" w:rsidR="000314C2" w:rsidRDefault="000314C2" w:rsidP="000314C2">
      <w:pPr>
        <w:spacing w:after="0"/>
        <w:jc w:val="center"/>
      </w:pPr>
      <w:r w:rsidRPr="00797FE6">
        <w:rPr>
          <w:noProof/>
          <w:sz w:val="16"/>
          <w:szCs w:val="18"/>
        </w:rPr>
        <w:drawing>
          <wp:inline distT="0" distB="0" distL="0" distR="0" wp14:anchorId="4ECED416" wp14:editId="721928D3">
            <wp:extent cx="5800725" cy="1818168"/>
            <wp:effectExtent l="0" t="0" r="9525" b="10795"/>
            <wp:docPr id="25" name="Chart 25">
              <a:extLst xmlns:a="http://schemas.openxmlformats.org/drawingml/2006/main">
                <a:ext uri="{FF2B5EF4-FFF2-40B4-BE49-F238E27FC236}">
                  <a16:creationId xmlns:a16="http://schemas.microsoft.com/office/drawing/2014/main" id="{7B5E8CC0-DB3A-417D-93C1-FFD2DB686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6BFC17" w14:textId="77777777" w:rsidR="000314C2" w:rsidRPr="00794BBC" w:rsidRDefault="000314C2" w:rsidP="000314C2">
      <w:pPr>
        <w:pStyle w:val="BodyText"/>
        <w:spacing w:before="0" w:line="240" w:lineRule="auto"/>
        <w:rPr>
          <w:sz w:val="16"/>
          <w:szCs w:val="16"/>
        </w:rPr>
      </w:pPr>
      <w:r w:rsidRPr="00794BBC">
        <w:rPr>
          <w:sz w:val="16"/>
          <w:szCs w:val="16"/>
        </w:rPr>
        <w:t>Source: 2019-20 adopted budgets</w:t>
      </w:r>
    </w:p>
    <w:p w14:paraId="30B2A70B" w14:textId="77777777" w:rsidR="000314C2" w:rsidRPr="000314C2" w:rsidRDefault="000314C2" w:rsidP="000314C2">
      <w:pPr>
        <w:rPr>
          <w:szCs w:val="18"/>
        </w:rPr>
      </w:pPr>
      <w:r w:rsidRPr="000314C2">
        <w:rPr>
          <w:szCs w:val="18"/>
        </w:rPr>
        <w:t xml:space="preserve">The </w:t>
      </w:r>
      <w:r w:rsidRPr="000314C2">
        <w:rPr>
          <w:i/>
          <w:iCs/>
          <w:szCs w:val="18"/>
        </w:rPr>
        <w:t>Local Government Act 1989</w:t>
      </w:r>
      <w:r w:rsidRPr="000314C2">
        <w:rPr>
          <w:szCs w:val="18"/>
        </w:rPr>
        <w:t xml:space="preserve"> allows councils to defer or waive rates and charges. Councils can also offer rebates and concessions within the legislative parameters. Most Victorian councils have offered some form of rates and charges relief to select groups of ratepayers, however the approach and processes vary in line with local priorities. </w:t>
      </w:r>
    </w:p>
    <w:p w14:paraId="50BF1CAC" w14:textId="419384D5" w:rsidR="000314C2" w:rsidRPr="000314C2" w:rsidRDefault="000314C2" w:rsidP="000314C2">
      <w:pPr>
        <w:rPr>
          <w:szCs w:val="18"/>
        </w:rPr>
      </w:pPr>
      <w:r w:rsidRPr="000314C2">
        <w:rPr>
          <w:szCs w:val="18"/>
        </w:rPr>
        <w:t xml:space="preserve">As the third tier of government in Australia there is an expectation that councils will take all necessary actions to continue to support their communities and local economies through the pandemic. While some councils have resolved to not increase rates for 2020-21, effectively treating this as a form </w:t>
      </w:r>
      <w:r w:rsidR="00D6472A">
        <w:rPr>
          <w:szCs w:val="18"/>
        </w:rPr>
        <w:t>of</w:t>
      </w:r>
      <w:r w:rsidRPr="000314C2">
        <w:rPr>
          <w:szCs w:val="18"/>
        </w:rPr>
        <w:t xml:space="preserve"> waiver, the majority of councils have applied a more targeted approach. This includes offering direct rebates and waiver of penalty interest on overdue rates to their residents under financial distress (including pensioners and unemployed residents).</w:t>
      </w:r>
    </w:p>
    <w:p w14:paraId="4EBBDDDB" w14:textId="544A3D9F" w:rsidR="000314C2" w:rsidRPr="000314C2" w:rsidRDefault="000314C2" w:rsidP="000314C2">
      <w:pPr>
        <w:rPr>
          <w:szCs w:val="18"/>
        </w:rPr>
      </w:pPr>
      <w:r w:rsidRPr="000314C2">
        <w:rPr>
          <w:szCs w:val="18"/>
        </w:rPr>
        <w:t xml:space="preserve">Councils have also </w:t>
      </w:r>
      <w:r w:rsidR="00EA1BDF">
        <w:rPr>
          <w:szCs w:val="18"/>
        </w:rPr>
        <w:t>adopted</w:t>
      </w:r>
      <w:r w:rsidRPr="000314C2">
        <w:rPr>
          <w:szCs w:val="18"/>
        </w:rPr>
        <w:t xml:space="preserve"> other forms of support to residents and businesses in the form of rent relief to tenants/occupants of council buildings and premises, waiver of fees from various trade and business permits, waiver of parking fees, economic stimulus in the form of grants to small businesses and in some instances increased capital works. The forms and approach of relief and support activities vary from council to council. </w:t>
      </w:r>
    </w:p>
    <w:p w14:paraId="183AFF91" w14:textId="6C12859C" w:rsidR="000314C2" w:rsidRPr="000314C2" w:rsidRDefault="000314C2" w:rsidP="000314C2">
      <w:pPr>
        <w:rPr>
          <w:szCs w:val="18"/>
        </w:rPr>
      </w:pPr>
      <w:r w:rsidRPr="000314C2">
        <w:rPr>
          <w:szCs w:val="18"/>
        </w:rPr>
        <w:t xml:space="preserve">The total value of budgeted allocations towards COVID-19 relief and support activities is in excess of $167.5 million across all 79 councils. 35 councils have announced targeted COVID-19 recovery funds and support packages as part of their </w:t>
      </w:r>
      <w:r w:rsidR="00EA1BDF">
        <w:rPr>
          <w:szCs w:val="18"/>
        </w:rPr>
        <w:t>adopted</w:t>
      </w:r>
      <w:r w:rsidRPr="000314C2">
        <w:rPr>
          <w:szCs w:val="18"/>
        </w:rPr>
        <w:t xml:space="preserve"> budgets. These range in scale from $200,000 up to $50 million.</w:t>
      </w:r>
    </w:p>
    <w:p w14:paraId="2A6B0B75" w14:textId="478F4981" w:rsidR="000314C2" w:rsidRDefault="000314C2" w:rsidP="000314C2">
      <w:pPr>
        <w:rPr>
          <w:szCs w:val="18"/>
        </w:rPr>
      </w:pPr>
      <w:r w:rsidRPr="000314C2">
        <w:rPr>
          <w:szCs w:val="18"/>
        </w:rPr>
        <w:t>Over 21 councils have provided for targeted grants available for small businesses as part of their COVID-19 support and recovery. Over 20 councils have expressly announced the waiver of penalty interest payments on overdue rates for varying durations as part of their budget deliberations. Most councils had also revised their financial hardship arrangements prior to the budget deliberations.</w:t>
      </w:r>
    </w:p>
    <w:p w14:paraId="67A360AB"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2020-21 is the fifth year since the implementation of FGRS. </w:t>
      </w:r>
      <w:r w:rsidRPr="000314C2">
        <w:rPr>
          <w:b/>
          <w:bCs/>
          <w:color w:val="53565A" w:themeColor="accent2"/>
          <w:sz w:val="18"/>
          <w:szCs w:val="18"/>
          <w:lang w:eastAsia="en-AU"/>
        </w:rPr>
        <w:t>Figure 13</w:t>
      </w:r>
      <w:r w:rsidRPr="000314C2">
        <w:rPr>
          <w:color w:val="53565A" w:themeColor="accent2"/>
          <w:sz w:val="18"/>
          <w:szCs w:val="18"/>
          <w:lang w:eastAsia="en-AU"/>
        </w:rPr>
        <w:t xml:space="preserve"> demonstrates that in the forward projections of councils for the first 5 years there is a trend of lower growth in forecast income from rates and charges as compared to 2015-16 (prior to cap) projections. The dotted line represents the projected increase in rates and charges based on 2015-16 budget projections.</w:t>
      </w:r>
    </w:p>
    <w:p w14:paraId="01C05FCF" w14:textId="77777777" w:rsidR="000314C2" w:rsidRDefault="000314C2" w:rsidP="000314C2">
      <w:pPr>
        <w:pStyle w:val="Caption"/>
        <w:spacing w:before="120" w:after="120"/>
        <w:rPr>
          <w:b/>
          <w:bCs/>
          <w:i w:val="0"/>
          <w:iCs w:val="0"/>
        </w:rPr>
      </w:pPr>
      <w:r w:rsidRPr="00B6229F">
        <w:rPr>
          <w:b/>
          <w:bCs/>
          <w:i w:val="0"/>
          <w:iCs w:val="0"/>
        </w:rPr>
        <w:lastRenderedPageBreak/>
        <w:t xml:space="preserve">Figure </w:t>
      </w:r>
      <w:r>
        <w:rPr>
          <w:b/>
          <w:bCs/>
          <w:i w:val="0"/>
          <w:iCs w:val="0"/>
        </w:rPr>
        <w:t>13</w:t>
      </w:r>
      <w:r w:rsidRPr="00B6229F">
        <w:rPr>
          <w:b/>
          <w:bCs/>
          <w:i w:val="0"/>
          <w:iCs w:val="0"/>
        </w:rPr>
        <w:t xml:space="preserve"> </w:t>
      </w:r>
      <w:r>
        <w:rPr>
          <w:b/>
          <w:bCs/>
          <w:i w:val="0"/>
          <w:iCs w:val="0"/>
        </w:rPr>
        <w:t>SRP Projections</w:t>
      </w:r>
    </w:p>
    <w:p w14:paraId="3E44107F" w14:textId="590EE8A7" w:rsidR="000314C2" w:rsidRPr="00794BBC" w:rsidRDefault="00651317" w:rsidP="00CB16D2">
      <w:pPr>
        <w:rPr>
          <w:sz w:val="16"/>
          <w:szCs w:val="16"/>
        </w:rPr>
      </w:pPr>
      <w:r>
        <w:rPr>
          <w:noProof/>
        </w:rPr>
        <w:drawing>
          <wp:anchor distT="0" distB="0" distL="114300" distR="114300" simplePos="0" relativeHeight="251658258" behindDoc="0" locked="0" layoutInCell="1" allowOverlap="1" wp14:anchorId="7A594E5F" wp14:editId="0593AC02">
            <wp:simplePos x="0" y="0"/>
            <wp:positionH relativeFrom="margin">
              <wp:align>left</wp:align>
            </wp:positionH>
            <wp:positionV relativeFrom="paragraph">
              <wp:posOffset>4445</wp:posOffset>
            </wp:positionV>
            <wp:extent cx="5760085" cy="3210560"/>
            <wp:effectExtent l="0" t="0" r="12065" b="8890"/>
            <wp:wrapSquare wrapText="bothSides"/>
            <wp:docPr id="115" name="Chart 115">
              <a:extLst xmlns:a="http://schemas.openxmlformats.org/drawingml/2006/main">
                <a:ext uri="{FF2B5EF4-FFF2-40B4-BE49-F238E27FC236}">
                  <a16:creationId xmlns:a16="http://schemas.microsoft.com/office/drawing/2014/main" id="{3555524D-F791-40BC-8BAD-35A47376E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0314C2" w:rsidRPr="00794BBC">
        <w:rPr>
          <w:sz w:val="16"/>
          <w:szCs w:val="16"/>
        </w:rPr>
        <w:t xml:space="preserve">Source: </w:t>
      </w:r>
      <w:r w:rsidR="000314C2">
        <w:rPr>
          <w:sz w:val="16"/>
          <w:szCs w:val="16"/>
        </w:rPr>
        <w:t>Council adopted budgets 2015-16 to 2020-21</w:t>
      </w:r>
    </w:p>
    <w:p w14:paraId="5439B439" w14:textId="77777777" w:rsidR="000314C2" w:rsidRDefault="000314C2" w:rsidP="000314C2">
      <w:pPr>
        <w:pStyle w:val="BodyText"/>
        <w:rPr>
          <w:b/>
          <w:bCs/>
        </w:rPr>
      </w:pPr>
    </w:p>
    <w:p w14:paraId="44C3D19D" w14:textId="77777777" w:rsidR="000314C2" w:rsidRPr="000314C2" w:rsidRDefault="000314C2" w:rsidP="000314C2">
      <w:pPr>
        <w:pStyle w:val="BodyText"/>
        <w:rPr>
          <w:b/>
          <w:bCs/>
          <w:color w:val="53565A" w:themeColor="accent2"/>
          <w:sz w:val="18"/>
          <w:szCs w:val="18"/>
        </w:rPr>
      </w:pPr>
      <w:r w:rsidRPr="000314C2">
        <w:rPr>
          <w:b/>
          <w:bCs/>
          <w:color w:val="53565A" w:themeColor="accent2"/>
          <w:sz w:val="18"/>
          <w:szCs w:val="18"/>
        </w:rPr>
        <w:t>Municipal charges</w:t>
      </w:r>
    </w:p>
    <w:p w14:paraId="274D44E2" w14:textId="77777777" w:rsidR="000314C2" w:rsidRP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Pursuant to section 159 of the Act, councils may declare a municipal charge to cover some of the</w:t>
      </w:r>
    </w:p>
    <w:p w14:paraId="5A586B91" w14:textId="77777777" w:rsidR="000314C2" w:rsidRP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administrative costs of the council. In 2020-21 the budgeted total to be collected is $141.6 million, a</w:t>
      </w:r>
    </w:p>
    <w:p w14:paraId="0D236EDF" w14:textId="63553861" w:rsidR="000314C2" w:rsidRP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 xml:space="preserve">decrease of $11.4 million or 7.4 per cent on 2019-20 levels. This is mainly due to two councils (Geelong and Strathbogie) removing their municipal charges. In 2020-21 municipal charges are being levied by </w:t>
      </w:r>
      <w:r w:rsidR="001F2B79">
        <w:rPr>
          <w:color w:val="53565A" w:themeColor="accent2"/>
          <w:sz w:val="18"/>
          <w:szCs w:val="18"/>
        </w:rPr>
        <w:t>41</w:t>
      </w:r>
    </w:p>
    <w:p w14:paraId="236128A5" w14:textId="77777777" w:rsidR="000314C2" w:rsidRP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councils, six of which are metropolitan councils.</w:t>
      </w:r>
    </w:p>
    <w:p w14:paraId="61610E4B" w14:textId="77777777" w:rsidR="000314C2" w:rsidRPr="000314C2" w:rsidRDefault="000314C2" w:rsidP="000314C2">
      <w:pPr>
        <w:pStyle w:val="BodyText"/>
        <w:rPr>
          <w:b/>
          <w:bCs/>
          <w:color w:val="53565A" w:themeColor="accent2"/>
          <w:sz w:val="18"/>
          <w:szCs w:val="18"/>
        </w:rPr>
      </w:pPr>
    </w:p>
    <w:p w14:paraId="636E309B" w14:textId="77777777" w:rsidR="000314C2" w:rsidRPr="000314C2" w:rsidRDefault="000314C2" w:rsidP="000314C2">
      <w:pPr>
        <w:pStyle w:val="BodyText"/>
        <w:rPr>
          <w:b/>
          <w:bCs/>
          <w:color w:val="53565A" w:themeColor="accent2"/>
          <w:sz w:val="18"/>
          <w:szCs w:val="18"/>
        </w:rPr>
      </w:pPr>
      <w:r w:rsidRPr="000314C2">
        <w:rPr>
          <w:b/>
          <w:bCs/>
          <w:color w:val="53565A" w:themeColor="accent2"/>
          <w:sz w:val="18"/>
          <w:szCs w:val="18"/>
        </w:rPr>
        <w:t>Waste charges</w:t>
      </w:r>
    </w:p>
    <w:p w14:paraId="154B9097" w14:textId="77777777" w:rsidR="000314C2" w:rsidRP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Section 162 of the Act allows councils to raise service rates and charges. Service charges are most</w:t>
      </w:r>
    </w:p>
    <w:p w14:paraId="0EF6A203" w14:textId="77777777" w:rsidR="000314C2" w:rsidRP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commonly raised in relation to waste services. Service charges are not currently subject to the capping</w:t>
      </w:r>
    </w:p>
    <w:p w14:paraId="26B20690" w14:textId="048A7457" w:rsidR="000314C2" w:rsidRDefault="000314C2" w:rsidP="000314C2">
      <w:pPr>
        <w:pStyle w:val="BodyText"/>
        <w:spacing w:before="0" w:after="0" w:line="240" w:lineRule="auto"/>
        <w:rPr>
          <w:color w:val="53565A" w:themeColor="accent2"/>
          <w:sz w:val="18"/>
          <w:szCs w:val="18"/>
        </w:rPr>
      </w:pPr>
      <w:r w:rsidRPr="000314C2">
        <w:rPr>
          <w:color w:val="53565A" w:themeColor="accent2"/>
          <w:sz w:val="18"/>
          <w:szCs w:val="18"/>
        </w:rPr>
        <w:t>provisions of the FGRS. Across the sector there is a great diversity in waste service charges. The revenue collected by way of waste charges can also be determined by the service level chosen by the ratepayer. Any comparisons should therefore be mindful of the increased service offerings of some councils in response to the needs of their community. Separate waste charges are levied by 7</w:t>
      </w:r>
      <w:r w:rsidR="00433DD4">
        <w:rPr>
          <w:color w:val="53565A" w:themeColor="accent2"/>
          <w:sz w:val="18"/>
          <w:szCs w:val="18"/>
        </w:rPr>
        <w:t>6</w:t>
      </w:r>
      <w:r w:rsidRPr="000314C2">
        <w:rPr>
          <w:color w:val="53565A" w:themeColor="accent2"/>
          <w:sz w:val="18"/>
          <w:szCs w:val="18"/>
        </w:rPr>
        <w:t xml:space="preserve"> of the 79 Councils. This effectively means that the waste services provided by the remaining councils are funded ‘by way of general rates’. In 2020-21 the budgeted total to be collected through service charges is $7</w:t>
      </w:r>
      <w:r w:rsidR="00433DD4">
        <w:rPr>
          <w:color w:val="53565A" w:themeColor="accent2"/>
          <w:sz w:val="18"/>
          <w:szCs w:val="18"/>
        </w:rPr>
        <w:t>34</w:t>
      </w:r>
      <w:r w:rsidRPr="000314C2">
        <w:rPr>
          <w:color w:val="53565A" w:themeColor="accent2"/>
          <w:sz w:val="18"/>
          <w:szCs w:val="18"/>
        </w:rPr>
        <w:t>.2 million, an increase of $</w:t>
      </w:r>
      <w:r w:rsidR="00FC1B99">
        <w:rPr>
          <w:color w:val="53565A" w:themeColor="accent2"/>
          <w:sz w:val="18"/>
          <w:szCs w:val="18"/>
        </w:rPr>
        <w:t>45</w:t>
      </w:r>
      <w:r w:rsidRPr="000314C2">
        <w:rPr>
          <w:color w:val="53565A" w:themeColor="accent2"/>
          <w:sz w:val="18"/>
          <w:szCs w:val="18"/>
        </w:rPr>
        <w:t xml:space="preserve"> million or </w:t>
      </w:r>
      <w:r w:rsidR="00FC1B99">
        <w:rPr>
          <w:color w:val="53565A" w:themeColor="accent2"/>
          <w:sz w:val="18"/>
          <w:szCs w:val="18"/>
        </w:rPr>
        <w:t>6.5</w:t>
      </w:r>
      <w:r w:rsidRPr="000314C2">
        <w:rPr>
          <w:color w:val="53565A" w:themeColor="accent2"/>
          <w:sz w:val="18"/>
          <w:szCs w:val="18"/>
        </w:rPr>
        <w:t xml:space="preserve"> per cent on 2019-20 levels. </w:t>
      </w:r>
    </w:p>
    <w:p w14:paraId="2FBAF3D7" w14:textId="5345EBF5" w:rsidR="00305F89" w:rsidRDefault="00305F89" w:rsidP="000314C2">
      <w:pPr>
        <w:pStyle w:val="BodyText"/>
        <w:spacing w:before="0" w:after="0" w:line="240" w:lineRule="auto"/>
        <w:rPr>
          <w:color w:val="53565A" w:themeColor="accent2"/>
          <w:sz w:val="18"/>
          <w:szCs w:val="18"/>
        </w:rPr>
      </w:pPr>
    </w:p>
    <w:p w14:paraId="12DF3951" w14:textId="1F322121" w:rsidR="00305F89" w:rsidRPr="000314C2" w:rsidRDefault="00305F89" w:rsidP="00305F89">
      <w:pPr>
        <w:spacing w:before="0" w:line="276" w:lineRule="auto"/>
        <w:rPr>
          <w:szCs w:val="18"/>
        </w:rPr>
      </w:pPr>
      <w:r>
        <w:rPr>
          <w:szCs w:val="18"/>
        </w:rPr>
        <w:br w:type="page"/>
      </w:r>
    </w:p>
    <w:p w14:paraId="593222F9" w14:textId="77777777" w:rsidR="000314C2" w:rsidRDefault="000314C2" w:rsidP="000314C2">
      <w:pPr>
        <w:pStyle w:val="Heading2"/>
      </w:pPr>
      <w:bookmarkStart w:id="21" w:name="_Toc48848011"/>
      <w:bookmarkStart w:id="22" w:name="_Toc75534486"/>
      <w:r>
        <w:lastRenderedPageBreak/>
        <w:t>Statutory fees and fines and user fees</w:t>
      </w:r>
      <w:bookmarkEnd w:id="21"/>
      <w:bookmarkEnd w:id="22"/>
    </w:p>
    <w:p w14:paraId="737496A7" w14:textId="2C0031CD" w:rsidR="000314C2" w:rsidRPr="000314C2" w:rsidRDefault="000314C2" w:rsidP="000314C2">
      <w:pPr>
        <w:rPr>
          <w:rFonts w:cstheme="minorHAnsi"/>
          <w:szCs w:val="18"/>
        </w:rPr>
      </w:pPr>
      <w:r w:rsidRPr="000314C2">
        <w:rPr>
          <w:rFonts w:cstheme="minorHAnsi"/>
          <w:szCs w:val="18"/>
        </w:rPr>
        <w:t xml:space="preserve">Statutory fees and fines include items such as building and planning fees, animal registrations, infringements and permits. </w:t>
      </w:r>
      <w:r w:rsidRPr="000314C2">
        <w:rPr>
          <w:rFonts w:cstheme="minorHAnsi"/>
          <w:b/>
          <w:szCs w:val="18"/>
        </w:rPr>
        <w:t>Figure 14</w:t>
      </w:r>
      <w:r w:rsidR="0019792A">
        <w:rPr>
          <w:rFonts w:cstheme="minorHAnsi"/>
          <w:b/>
          <w:szCs w:val="18"/>
        </w:rPr>
        <w:t>a</w:t>
      </w:r>
      <w:r w:rsidRPr="000314C2">
        <w:rPr>
          <w:rFonts w:cstheme="minorHAnsi"/>
          <w:szCs w:val="18"/>
        </w:rPr>
        <w:t xml:space="preserve"> shows that total budgeted revenue from statutory fees and fines for 2020-21 is $38</w:t>
      </w:r>
      <w:r w:rsidR="004D2120">
        <w:rPr>
          <w:rFonts w:cstheme="minorHAnsi"/>
          <w:szCs w:val="18"/>
        </w:rPr>
        <w:t>6</w:t>
      </w:r>
      <w:r w:rsidRPr="000314C2">
        <w:rPr>
          <w:rFonts w:cstheme="minorHAnsi"/>
          <w:szCs w:val="18"/>
        </w:rPr>
        <w:t>.</w:t>
      </w:r>
      <w:r w:rsidR="004D2120">
        <w:rPr>
          <w:rFonts w:cstheme="minorHAnsi"/>
          <w:szCs w:val="18"/>
        </w:rPr>
        <w:t>7</w:t>
      </w:r>
      <w:r w:rsidRPr="000314C2">
        <w:rPr>
          <w:rFonts w:cstheme="minorHAnsi"/>
          <w:szCs w:val="18"/>
        </w:rPr>
        <w:t xml:space="preserve"> million ($451.0 million in 2019-20). This represents a reduction of $6</w:t>
      </w:r>
      <w:r w:rsidR="009E3E7A">
        <w:rPr>
          <w:rFonts w:cstheme="minorHAnsi"/>
          <w:szCs w:val="18"/>
        </w:rPr>
        <w:t>4</w:t>
      </w:r>
      <w:r w:rsidRPr="000314C2">
        <w:rPr>
          <w:rFonts w:cstheme="minorHAnsi"/>
          <w:szCs w:val="18"/>
        </w:rPr>
        <w:t>.</w:t>
      </w:r>
      <w:r w:rsidR="009E3E7A">
        <w:rPr>
          <w:rFonts w:cstheme="minorHAnsi"/>
          <w:szCs w:val="18"/>
        </w:rPr>
        <w:t>3</w:t>
      </w:r>
      <w:r w:rsidRPr="000314C2">
        <w:rPr>
          <w:rFonts w:cstheme="minorHAnsi"/>
          <w:szCs w:val="18"/>
        </w:rPr>
        <w:t xml:space="preserve"> million or 1</w:t>
      </w:r>
      <w:r w:rsidR="00CF2638">
        <w:rPr>
          <w:rFonts w:cstheme="minorHAnsi"/>
          <w:szCs w:val="18"/>
        </w:rPr>
        <w:t>4</w:t>
      </w:r>
      <w:r w:rsidRPr="000314C2">
        <w:rPr>
          <w:rFonts w:cstheme="minorHAnsi"/>
          <w:szCs w:val="18"/>
        </w:rPr>
        <w:t>.</w:t>
      </w:r>
      <w:r w:rsidR="00CF2638">
        <w:rPr>
          <w:rFonts w:cstheme="minorHAnsi"/>
          <w:szCs w:val="18"/>
        </w:rPr>
        <w:t>26</w:t>
      </w:r>
      <w:r w:rsidRPr="000314C2">
        <w:rPr>
          <w:rFonts w:cstheme="minorHAnsi"/>
          <w:szCs w:val="18"/>
        </w:rPr>
        <w:t xml:space="preserve"> per cent as shown in </w:t>
      </w:r>
      <w:r w:rsidRPr="000314C2">
        <w:rPr>
          <w:rFonts w:cstheme="minorHAnsi"/>
          <w:b/>
          <w:szCs w:val="18"/>
        </w:rPr>
        <w:t xml:space="preserve">Figure </w:t>
      </w:r>
      <w:r w:rsidR="0019792A" w:rsidRPr="000314C2">
        <w:rPr>
          <w:rFonts w:cstheme="minorHAnsi"/>
          <w:b/>
          <w:szCs w:val="18"/>
        </w:rPr>
        <w:t>1</w:t>
      </w:r>
      <w:r w:rsidR="0019792A">
        <w:rPr>
          <w:rFonts w:cstheme="minorHAnsi"/>
          <w:b/>
          <w:szCs w:val="18"/>
        </w:rPr>
        <w:t>4b</w:t>
      </w:r>
      <w:r w:rsidRPr="000314C2">
        <w:rPr>
          <w:rFonts w:cstheme="minorHAnsi"/>
          <w:szCs w:val="18"/>
        </w:rPr>
        <w:t>.</w:t>
      </w:r>
    </w:p>
    <w:p w14:paraId="5AC46998" w14:textId="242F8667" w:rsidR="000314C2" w:rsidRDefault="00E50B01" w:rsidP="000314C2">
      <w:pPr>
        <w:pStyle w:val="Caption"/>
        <w:spacing w:after="60"/>
        <w:rPr>
          <w:b/>
          <w:bCs/>
          <w:i w:val="0"/>
          <w:iCs w:val="0"/>
        </w:rPr>
      </w:pPr>
      <w:r>
        <w:rPr>
          <w:noProof/>
        </w:rPr>
        <w:drawing>
          <wp:anchor distT="0" distB="0" distL="114300" distR="114300" simplePos="0" relativeHeight="251658244" behindDoc="0" locked="0" layoutInCell="1" allowOverlap="1" wp14:anchorId="68B4B142" wp14:editId="1E79AD3A">
            <wp:simplePos x="0" y="0"/>
            <wp:positionH relativeFrom="column">
              <wp:posOffset>-8255</wp:posOffset>
            </wp:positionH>
            <wp:positionV relativeFrom="paragraph">
              <wp:posOffset>214630</wp:posOffset>
            </wp:positionV>
            <wp:extent cx="5689600" cy="2073275"/>
            <wp:effectExtent l="0" t="0" r="6350" b="3175"/>
            <wp:wrapSquare wrapText="bothSides"/>
            <wp:docPr id="14" name="Chart 14">
              <a:extLst xmlns:a="http://schemas.openxmlformats.org/drawingml/2006/main">
                <a:ext uri="{FF2B5EF4-FFF2-40B4-BE49-F238E27FC236}">
                  <a16:creationId xmlns:a16="http://schemas.microsoft.com/office/drawing/2014/main" id="{54DD6AD0-EDAC-4A86-9D53-47AAB05044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0314C2" w:rsidRPr="00B6229F">
        <w:rPr>
          <w:b/>
          <w:bCs/>
          <w:i w:val="0"/>
          <w:iCs w:val="0"/>
        </w:rPr>
        <w:t xml:space="preserve">Figure </w:t>
      </w:r>
      <w:r w:rsidR="000314C2">
        <w:rPr>
          <w:b/>
          <w:bCs/>
          <w:i w:val="0"/>
          <w:iCs w:val="0"/>
        </w:rPr>
        <w:t>14</w:t>
      </w:r>
      <w:r w:rsidR="0019792A">
        <w:rPr>
          <w:b/>
          <w:bCs/>
          <w:i w:val="0"/>
          <w:iCs w:val="0"/>
        </w:rPr>
        <w:t>a</w:t>
      </w:r>
      <w:r w:rsidR="000314C2" w:rsidRPr="00B6229F">
        <w:rPr>
          <w:b/>
          <w:bCs/>
          <w:i w:val="0"/>
          <w:iCs w:val="0"/>
        </w:rPr>
        <w:t xml:space="preserve"> </w:t>
      </w:r>
      <w:r w:rsidR="000314C2">
        <w:rPr>
          <w:b/>
          <w:bCs/>
          <w:i w:val="0"/>
          <w:iCs w:val="0"/>
        </w:rPr>
        <w:t>Statutory fees and fines budgeted revenue 2016-17 to 2020-21</w:t>
      </w:r>
    </w:p>
    <w:p w14:paraId="617ED2A2" w14:textId="532555C1" w:rsidR="000314C2" w:rsidRPr="00836333" w:rsidRDefault="000314C2" w:rsidP="005B5151">
      <w:pPr>
        <w:rPr>
          <w:sz w:val="16"/>
          <w:szCs w:val="16"/>
        </w:rPr>
      </w:pPr>
      <w:r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Pr="00836333">
        <w:rPr>
          <w:sz w:val="16"/>
          <w:szCs w:val="16"/>
        </w:rPr>
        <w:t>budgets</w:t>
      </w:r>
    </w:p>
    <w:p w14:paraId="563497A5" w14:textId="710B6088" w:rsidR="000314C2" w:rsidRDefault="00E50B01" w:rsidP="000314C2">
      <w:pPr>
        <w:pStyle w:val="Caption"/>
        <w:spacing w:after="60"/>
        <w:rPr>
          <w:b/>
          <w:bCs/>
          <w:i w:val="0"/>
          <w:iCs w:val="0"/>
        </w:rPr>
      </w:pPr>
      <w:r>
        <w:rPr>
          <w:noProof/>
        </w:rPr>
        <w:drawing>
          <wp:anchor distT="0" distB="0" distL="114300" distR="114300" simplePos="0" relativeHeight="251658245" behindDoc="0" locked="0" layoutInCell="1" allowOverlap="1" wp14:anchorId="486D0C03" wp14:editId="3A740D07">
            <wp:simplePos x="0" y="0"/>
            <wp:positionH relativeFrom="column">
              <wp:posOffset>-8255</wp:posOffset>
            </wp:positionH>
            <wp:positionV relativeFrom="paragraph">
              <wp:posOffset>205105</wp:posOffset>
            </wp:positionV>
            <wp:extent cx="5695950" cy="1934845"/>
            <wp:effectExtent l="0" t="0" r="0" b="8255"/>
            <wp:wrapSquare wrapText="bothSides"/>
            <wp:docPr id="21" name="Chart 21">
              <a:extLst xmlns:a="http://schemas.openxmlformats.org/drawingml/2006/main">
                <a:ext uri="{FF2B5EF4-FFF2-40B4-BE49-F238E27FC236}">
                  <a16:creationId xmlns:a16="http://schemas.microsoft.com/office/drawing/2014/main" id="{EB796AC9-EFBD-4038-B2C4-23C323CD4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0314C2" w:rsidRPr="00B6229F">
        <w:rPr>
          <w:b/>
          <w:bCs/>
          <w:i w:val="0"/>
          <w:iCs w:val="0"/>
        </w:rPr>
        <w:t xml:space="preserve">Figure </w:t>
      </w:r>
      <w:r w:rsidR="0019792A">
        <w:rPr>
          <w:b/>
          <w:bCs/>
          <w:i w:val="0"/>
          <w:iCs w:val="0"/>
        </w:rPr>
        <w:t>14b</w:t>
      </w:r>
      <w:r w:rsidR="0019792A" w:rsidRPr="00B6229F">
        <w:rPr>
          <w:b/>
          <w:bCs/>
          <w:i w:val="0"/>
          <w:iCs w:val="0"/>
        </w:rPr>
        <w:t xml:space="preserve"> </w:t>
      </w:r>
      <w:r w:rsidR="000314C2">
        <w:rPr>
          <w:b/>
          <w:bCs/>
          <w:i w:val="0"/>
          <w:iCs w:val="0"/>
        </w:rPr>
        <w:t>Percentage change in statutory fees and fines budgeted revenue 2016-17 to 2020-21</w:t>
      </w:r>
    </w:p>
    <w:p w14:paraId="37B93CB5" w14:textId="0DFC7920" w:rsidR="000314C2" w:rsidRPr="00836333" w:rsidRDefault="000314C2" w:rsidP="00D91709">
      <w:pPr>
        <w:rPr>
          <w:sz w:val="16"/>
          <w:szCs w:val="16"/>
        </w:rPr>
      </w:pPr>
      <w:r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w:t>
      </w:r>
      <w:r w:rsidRPr="00836333">
        <w:rPr>
          <w:sz w:val="16"/>
          <w:szCs w:val="16"/>
        </w:rPr>
        <w:t>budgets</w:t>
      </w:r>
    </w:p>
    <w:p w14:paraId="4EA2C64F" w14:textId="1F5BEBF9" w:rsidR="000314C2" w:rsidRDefault="000314C2" w:rsidP="000314C2">
      <w:pPr>
        <w:rPr>
          <w:rFonts w:cstheme="minorHAnsi"/>
          <w:szCs w:val="18"/>
        </w:rPr>
      </w:pPr>
      <w:r w:rsidRPr="000314C2">
        <w:rPr>
          <w:rFonts w:cstheme="minorHAnsi"/>
          <w:szCs w:val="18"/>
        </w:rPr>
        <w:t xml:space="preserve">User fees include items such as parking fees, charges for use of leisure and recreation centres, childcare and children’s program costs and fees related to aged and health services. </w:t>
      </w:r>
      <w:r w:rsidRPr="000314C2">
        <w:rPr>
          <w:rFonts w:cstheme="minorHAnsi"/>
          <w:b/>
          <w:szCs w:val="18"/>
        </w:rPr>
        <w:t xml:space="preserve">Figure </w:t>
      </w:r>
      <w:r w:rsidR="0019792A" w:rsidRPr="000314C2">
        <w:rPr>
          <w:rFonts w:cstheme="minorHAnsi"/>
          <w:b/>
          <w:szCs w:val="18"/>
        </w:rPr>
        <w:t>1</w:t>
      </w:r>
      <w:r w:rsidR="0019792A">
        <w:rPr>
          <w:rFonts w:cstheme="minorHAnsi"/>
          <w:b/>
          <w:szCs w:val="18"/>
        </w:rPr>
        <w:t>5a</w:t>
      </w:r>
      <w:r w:rsidR="0019792A" w:rsidRPr="000314C2">
        <w:rPr>
          <w:rFonts w:cstheme="minorHAnsi"/>
          <w:szCs w:val="18"/>
        </w:rPr>
        <w:t xml:space="preserve"> </w:t>
      </w:r>
      <w:r w:rsidRPr="000314C2">
        <w:rPr>
          <w:rFonts w:cstheme="minorHAnsi"/>
          <w:szCs w:val="18"/>
        </w:rPr>
        <w:t>shows that total budgeted revenue from user fees for 2020-21 is $8</w:t>
      </w:r>
      <w:r w:rsidR="00593597">
        <w:rPr>
          <w:rFonts w:cstheme="minorHAnsi"/>
          <w:szCs w:val="18"/>
        </w:rPr>
        <w:t>29</w:t>
      </w:r>
      <w:r w:rsidR="00585367">
        <w:rPr>
          <w:rFonts w:cstheme="minorHAnsi"/>
          <w:szCs w:val="18"/>
        </w:rPr>
        <w:t>.35</w:t>
      </w:r>
      <w:r w:rsidRPr="000314C2">
        <w:rPr>
          <w:rFonts w:cstheme="minorHAnsi"/>
          <w:szCs w:val="18"/>
        </w:rPr>
        <w:t xml:space="preserve"> million ($1.004 billion in 2019-20). This represents a reduction of $1</w:t>
      </w:r>
      <w:r w:rsidR="00585367">
        <w:rPr>
          <w:rFonts w:cstheme="minorHAnsi"/>
          <w:szCs w:val="18"/>
        </w:rPr>
        <w:t>74</w:t>
      </w:r>
      <w:r w:rsidRPr="000314C2">
        <w:rPr>
          <w:rFonts w:cstheme="minorHAnsi"/>
          <w:szCs w:val="18"/>
        </w:rPr>
        <w:t>.</w:t>
      </w:r>
      <w:r w:rsidR="00585367">
        <w:rPr>
          <w:rFonts w:cstheme="minorHAnsi"/>
          <w:szCs w:val="18"/>
        </w:rPr>
        <w:t>6</w:t>
      </w:r>
      <w:r w:rsidRPr="000314C2">
        <w:rPr>
          <w:rFonts w:cstheme="minorHAnsi"/>
          <w:szCs w:val="18"/>
        </w:rPr>
        <w:t xml:space="preserve"> million or 1</w:t>
      </w:r>
      <w:r w:rsidR="00D51DA0">
        <w:rPr>
          <w:rFonts w:cstheme="minorHAnsi"/>
          <w:szCs w:val="18"/>
        </w:rPr>
        <w:t>7.39</w:t>
      </w:r>
      <w:r w:rsidRPr="000314C2">
        <w:rPr>
          <w:rFonts w:cstheme="minorHAnsi"/>
          <w:szCs w:val="18"/>
        </w:rPr>
        <w:t xml:space="preserve"> per cent as shown in </w:t>
      </w:r>
      <w:r w:rsidRPr="000314C2">
        <w:rPr>
          <w:rFonts w:cstheme="minorHAnsi"/>
          <w:b/>
          <w:szCs w:val="18"/>
        </w:rPr>
        <w:t xml:space="preserve">Figure </w:t>
      </w:r>
      <w:r w:rsidR="007F1F27" w:rsidRPr="000314C2">
        <w:rPr>
          <w:rFonts w:cstheme="minorHAnsi"/>
          <w:b/>
          <w:szCs w:val="18"/>
        </w:rPr>
        <w:t>1</w:t>
      </w:r>
      <w:r w:rsidR="007F1F27">
        <w:rPr>
          <w:rFonts w:cstheme="minorHAnsi"/>
          <w:b/>
          <w:szCs w:val="18"/>
        </w:rPr>
        <w:t>5b</w:t>
      </w:r>
      <w:r w:rsidRPr="000314C2">
        <w:rPr>
          <w:rFonts w:cstheme="minorHAnsi"/>
          <w:szCs w:val="18"/>
        </w:rPr>
        <w:t>.</w:t>
      </w:r>
    </w:p>
    <w:p w14:paraId="559EB58A" w14:textId="3CB6F71F" w:rsidR="000314C2" w:rsidRDefault="00D91709" w:rsidP="000314C2">
      <w:pPr>
        <w:pStyle w:val="Caption"/>
        <w:spacing w:after="60"/>
        <w:rPr>
          <w:b/>
          <w:bCs/>
          <w:i w:val="0"/>
          <w:iCs w:val="0"/>
        </w:rPr>
      </w:pPr>
      <w:r>
        <w:rPr>
          <w:noProof/>
        </w:rPr>
        <w:drawing>
          <wp:anchor distT="0" distB="0" distL="114300" distR="114300" simplePos="0" relativeHeight="251658246" behindDoc="0" locked="0" layoutInCell="1" allowOverlap="1" wp14:anchorId="2BE75E9B" wp14:editId="0DAD83F4">
            <wp:simplePos x="0" y="0"/>
            <wp:positionH relativeFrom="margin">
              <wp:align>left</wp:align>
            </wp:positionH>
            <wp:positionV relativeFrom="paragraph">
              <wp:posOffset>205740</wp:posOffset>
            </wp:positionV>
            <wp:extent cx="5619750" cy="1807210"/>
            <wp:effectExtent l="0" t="0" r="0" b="2540"/>
            <wp:wrapSquare wrapText="bothSides"/>
            <wp:docPr id="48" name="Chart 48">
              <a:extLst xmlns:a="http://schemas.openxmlformats.org/drawingml/2006/main">
                <a:ext uri="{FF2B5EF4-FFF2-40B4-BE49-F238E27FC236}">
                  <a16:creationId xmlns:a16="http://schemas.microsoft.com/office/drawing/2014/main" id="{41585989-EEBA-4BA8-A525-3EE567BF07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0314C2" w:rsidRPr="00B6229F">
        <w:rPr>
          <w:b/>
          <w:bCs/>
          <w:i w:val="0"/>
          <w:iCs w:val="0"/>
        </w:rPr>
        <w:t xml:space="preserve">Figure </w:t>
      </w:r>
      <w:r w:rsidR="0019792A">
        <w:rPr>
          <w:b/>
          <w:bCs/>
          <w:i w:val="0"/>
          <w:iCs w:val="0"/>
        </w:rPr>
        <w:t>15a</w:t>
      </w:r>
      <w:r w:rsidR="0019792A" w:rsidRPr="00B6229F">
        <w:rPr>
          <w:b/>
          <w:bCs/>
          <w:i w:val="0"/>
          <w:iCs w:val="0"/>
        </w:rPr>
        <w:t xml:space="preserve"> </w:t>
      </w:r>
      <w:r w:rsidR="000314C2">
        <w:rPr>
          <w:b/>
          <w:bCs/>
          <w:i w:val="0"/>
          <w:iCs w:val="0"/>
        </w:rPr>
        <w:t>User fees budgeted revenue 2016-17 to 2020-21</w:t>
      </w:r>
    </w:p>
    <w:p w14:paraId="63D1E5A8" w14:textId="588ECE39" w:rsidR="000314C2" w:rsidRPr="00836333" w:rsidRDefault="000314C2" w:rsidP="00D91709">
      <w:pPr>
        <w:rPr>
          <w:sz w:val="16"/>
          <w:szCs w:val="16"/>
        </w:rPr>
      </w:pPr>
      <w:r w:rsidRPr="00836333">
        <w:rPr>
          <w:sz w:val="16"/>
          <w:szCs w:val="16"/>
        </w:rPr>
        <w:t xml:space="preserve">Source: </w:t>
      </w:r>
      <w:r>
        <w:rPr>
          <w:sz w:val="16"/>
          <w:szCs w:val="16"/>
        </w:rPr>
        <w:t xml:space="preserve">2016-17 - </w:t>
      </w:r>
      <w:r w:rsidR="007F1F27" w:rsidRPr="00836333">
        <w:rPr>
          <w:sz w:val="16"/>
          <w:szCs w:val="16"/>
        </w:rPr>
        <w:t>20</w:t>
      </w:r>
      <w:r w:rsidR="007F1F27">
        <w:rPr>
          <w:sz w:val="16"/>
          <w:szCs w:val="16"/>
        </w:rPr>
        <w:t>20</w:t>
      </w:r>
      <w:r w:rsidRPr="00836333">
        <w:rPr>
          <w:sz w:val="16"/>
          <w:szCs w:val="16"/>
        </w:rPr>
        <w:t>-2</w:t>
      </w:r>
      <w:r w:rsidR="007F1F27">
        <w:rPr>
          <w:sz w:val="16"/>
          <w:szCs w:val="16"/>
        </w:rPr>
        <w:t>1</w:t>
      </w:r>
      <w:r w:rsidRPr="00836333">
        <w:rPr>
          <w:sz w:val="16"/>
          <w:szCs w:val="16"/>
        </w:rPr>
        <w:t xml:space="preserve"> adopted budgets</w:t>
      </w:r>
    </w:p>
    <w:p w14:paraId="0664528C" w14:textId="77777777" w:rsidR="000314C2" w:rsidRDefault="000314C2" w:rsidP="000314C2">
      <w:pPr>
        <w:pStyle w:val="Caption"/>
        <w:spacing w:after="60"/>
        <w:rPr>
          <w:b/>
          <w:bCs/>
          <w:i w:val="0"/>
          <w:iCs w:val="0"/>
        </w:rPr>
      </w:pPr>
    </w:p>
    <w:p w14:paraId="51BF89A5" w14:textId="4831104E" w:rsidR="000314C2" w:rsidRDefault="000314C2" w:rsidP="000314C2">
      <w:pPr>
        <w:pStyle w:val="Caption"/>
        <w:spacing w:after="60"/>
        <w:rPr>
          <w:b/>
          <w:bCs/>
          <w:i w:val="0"/>
          <w:iCs w:val="0"/>
        </w:rPr>
      </w:pPr>
      <w:r w:rsidRPr="00B6229F">
        <w:rPr>
          <w:b/>
          <w:bCs/>
          <w:i w:val="0"/>
          <w:iCs w:val="0"/>
        </w:rPr>
        <w:t xml:space="preserve">Figure </w:t>
      </w:r>
      <w:r w:rsidR="0019792A">
        <w:rPr>
          <w:b/>
          <w:bCs/>
          <w:i w:val="0"/>
          <w:iCs w:val="0"/>
        </w:rPr>
        <w:t>15b</w:t>
      </w:r>
      <w:r w:rsidR="0019792A" w:rsidRPr="00B6229F">
        <w:rPr>
          <w:b/>
          <w:bCs/>
          <w:i w:val="0"/>
          <w:iCs w:val="0"/>
        </w:rPr>
        <w:t xml:space="preserve"> </w:t>
      </w:r>
      <w:r>
        <w:rPr>
          <w:b/>
          <w:bCs/>
          <w:i w:val="0"/>
          <w:iCs w:val="0"/>
        </w:rPr>
        <w:t>Percentage change in user fees budgeted revenue 2016-17 to 2020-21</w:t>
      </w:r>
    </w:p>
    <w:p w14:paraId="58B51324" w14:textId="378DF0C7" w:rsidR="000314C2" w:rsidRPr="00836333" w:rsidRDefault="00310672" w:rsidP="00D91709">
      <w:pPr>
        <w:rPr>
          <w:sz w:val="16"/>
          <w:szCs w:val="16"/>
        </w:rPr>
      </w:pPr>
      <w:r>
        <w:rPr>
          <w:noProof/>
        </w:rPr>
        <w:drawing>
          <wp:anchor distT="0" distB="0" distL="114300" distR="114300" simplePos="0" relativeHeight="251658247" behindDoc="0" locked="0" layoutInCell="1" allowOverlap="1" wp14:anchorId="678BB7F3" wp14:editId="28CA2E86">
            <wp:simplePos x="0" y="0"/>
            <wp:positionH relativeFrom="column">
              <wp:posOffset>-2540</wp:posOffset>
            </wp:positionH>
            <wp:positionV relativeFrom="paragraph">
              <wp:posOffset>39370</wp:posOffset>
            </wp:positionV>
            <wp:extent cx="5651500" cy="2229485"/>
            <wp:effectExtent l="0" t="0" r="6350" b="18415"/>
            <wp:wrapSquare wrapText="bothSides"/>
            <wp:docPr id="49" name="Chart 49">
              <a:extLst xmlns:a="http://schemas.openxmlformats.org/drawingml/2006/main">
                <a:ext uri="{FF2B5EF4-FFF2-40B4-BE49-F238E27FC236}">
                  <a16:creationId xmlns:a16="http://schemas.microsoft.com/office/drawing/2014/main" id="{12CA18CA-EA2B-45FB-8FF7-A2151A6BB7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0314C2"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budgets</w:t>
      </w:r>
    </w:p>
    <w:p w14:paraId="35AC241F" w14:textId="4942C46F" w:rsidR="000314C2" w:rsidRPr="000314C2" w:rsidRDefault="000314C2" w:rsidP="000314C2">
      <w:pPr>
        <w:rPr>
          <w:rFonts w:cstheme="minorHAnsi"/>
          <w:szCs w:val="18"/>
        </w:rPr>
      </w:pPr>
      <w:r w:rsidRPr="000314C2">
        <w:rPr>
          <w:rFonts w:cstheme="minorHAnsi"/>
          <w:szCs w:val="18"/>
        </w:rPr>
        <w:t xml:space="preserve">Revenue generated through statutory fees and fines and user fees represents a significant component of Own Source Revenue (OSR). This is particularly true for metropolitan councils who have made significant investments in aquatic and leisure centres and other cultural facilities. </w:t>
      </w:r>
      <w:r w:rsidRPr="000314C2">
        <w:rPr>
          <w:rFonts w:cstheme="minorHAnsi"/>
          <w:b/>
          <w:szCs w:val="18"/>
        </w:rPr>
        <w:t xml:space="preserve">Figure </w:t>
      </w:r>
      <w:r w:rsidR="007F1F27" w:rsidRPr="000314C2">
        <w:rPr>
          <w:rFonts w:cstheme="minorHAnsi"/>
          <w:b/>
          <w:szCs w:val="18"/>
        </w:rPr>
        <w:t>1</w:t>
      </w:r>
      <w:r w:rsidR="007F1F27">
        <w:rPr>
          <w:rFonts w:cstheme="minorHAnsi"/>
          <w:b/>
          <w:szCs w:val="18"/>
        </w:rPr>
        <w:t>6</w:t>
      </w:r>
      <w:r w:rsidR="007F1F27" w:rsidRPr="000314C2">
        <w:rPr>
          <w:rFonts w:cstheme="minorHAnsi"/>
          <w:szCs w:val="18"/>
        </w:rPr>
        <w:t xml:space="preserve"> </w:t>
      </w:r>
      <w:r w:rsidRPr="000314C2">
        <w:rPr>
          <w:rFonts w:cstheme="minorHAnsi"/>
          <w:szCs w:val="18"/>
        </w:rPr>
        <w:t>highlights the revenue reduction impact on metropolitan councils by presenting the 2020-21 budgeted revenue from both statutory fees and fines and user fees by council cohort against FY 2019-20.</w:t>
      </w:r>
    </w:p>
    <w:p w14:paraId="20B75DD0" w14:textId="637EB3D7" w:rsidR="000314C2" w:rsidRDefault="000314C2" w:rsidP="000314C2">
      <w:pPr>
        <w:pStyle w:val="Caption"/>
        <w:spacing w:after="60"/>
        <w:rPr>
          <w:b/>
          <w:bCs/>
          <w:i w:val="0"/>
          <w:iCs w:val="0"/>
        </w:rPr>
      </w:pPr>
      <w:r w:rsidRPr="00B6229F">
        <w:rPr>
          <w:b/>
          <w:bCs/>
          <w:i w:val="0"/>
          <w:iCs w:val="0"/>
        </w:rPr>
        <w:t xml:space="preserve">Figure </w:t>
      </w:r>
      <w:r w:rsidR="0019792A">
        <w:rPr>
          <w:b/>
          <w:bCs/>
          <w:i w:val="0"/>
          <w:iCs w:val="0"/>
        </w:rPr>
        <w:t>16</w:t>
      </w:r>
      <w:r w:rsidR="0019792A" w:rsidRPr="00B6229F">
        <w:rPr>
          <w:b/>
          <w:bCs/>
          <w:i w:val="0"/>
          <w:iCs w:val="0"/>
        </w:rPr>
        <w:t xml:space="preserve"> </w:t>
      </w:r>
      <w:r w:rsidRPr="005C14AC">
        <w:rPr>
          <w:b/>
          <w:bCs/>
          <w:i w:val="0"/>
          <w:iCs w:val="0"/>
        </w:rPr>
        <w:t xml:space="preserve">Council </w:t>
      </w:r>
      <w:r>
        <w:rPr>
          <w:b/>
          <w:bCs/>
          <w:i w:val="0"/>
          <w:iCs w:val="0"/>
        </w:rPr>
        <w:t>b</w:t>
      </w:r>
      <w:r w:rsidRPr="005C14AC">
        <w:rPr>
          <w:b/>
          <w:bCs/>
          <w:i w:val="0"/>
          <w:iCs w:val="0"/>
        </w:rPr>
        <w:t xml:space="preserve">udgeted </w:t>
      </w:r>
      <w:r>
        <w:rPr>
          <w:b/>
          <w:bCs/>
          <w:i w:val="0"/>
          <w:iCs w:val="0"/>
        </w:rPr>
        <w:t>r</w:t>
      </w:r>
      <w:r w:rsidRPr="005C14AC">
        <w:rPr>
          <w:b/>
          <w:bCs/>
          <w:i w:val="0"/>
          <w:iCs w:val="0"/>
        </w:rPr>
        <w:t>evenue from statutory</w:t>
      </w:r>
      <w:r>
        <w:rPr>
          <w:b/>
          <w:bCs/>
          <w:i w:val="0"/>
          <w:iCs w:val="0"/>
        </w:rPr>
        <w:t xml:space="preserve"> fees and fines</w:t>
      </w:r>
      <w:r w:rsidRPr="005C14AC">
        <w:rPr>
          <w:b/>
          <w:bCs/>
          <w:i w:val="0"/>
          <w:iCs w:val="0"/>
        </w:rPr>
        <w:t xml:space="preserve"> and user fees</w:t>
      </w:r>
      <w:r>
        <w:rPr>
          <w:b/>
          <w:bCs/>
          <w:i w:val="0"/>
          <w:iCs w:val="0"/>
        </w:rPr>
        <w:t xml:space="preserve"> by cohort</w:t>
      </w:r>
    </w:p>
    <w:p w14:paraId="21D07259" w14:textId="0910D3D6" w:rsidR="004B017B" w:rsidRPr="004B017B" w:rsidRDefault="00C913E6" w:rsidP="004B017B">
      <w:r>
        <w:rPr>
          <w:noProof/>
        </w:rPr>
        <w:drawing>
          <wp:inline distT="0" distB="0" distL="0" distR="0" wp14:anchorId="659B6BD7" wp14:editId="1697BB8C">
            <wp:extent cx="5619750" cy="2425700"/>
            <wp:effectExtent l="0" t="0" r="0" b="12700"/>
            <wp:docPr id="51" name="Chart 51">
              <a:extLst xmlns:a="http://schemas.openxmlformats.org/drawingml/2006/main">
                <a:ext uri="{FF2B5EF4-FFF2-40B4-BE49-F238E27FC236}">
                  <a16:creationId xmlns:a16="http://schemas.microsoft.com/office/drawing/2014/main" id="{6AB2BCF9-4EF7-4D21-8639-A67F47E8B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036732" w14:textId="77777777" w:rsidR="007F1F27" w:rsidRPr="00836333" w:rsidRDefault="000314C2" w:rsidP="007F1F27">
      <w:pPr>
        <w:rPr>
          <w:sz w:val="16"/>
          <w:szCs w:val="16"/>
        </w:rPr>
      </w:pPr>
      <w:r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budgets</w:t>
      </w:r>
    </w:p>
    <w:p w14:paraId="4A4A5A12" w14:textId="32638CF3" w:rsidR="000314C2" w:rsidRPr="007F1F27" w:rsidRDefault="000314C2" w:rsidP="00797FE6">
      <w:pPr>
        <w:pStyle w:val="BodyText"/>
        <w:spacing w:before="0" w:line="240" w:lineRule="auto"/>
        <w:rPr>
          <w:rFonts w:cstheme="minorHAnsi"/>
          <w:szCs w:val="18"/>
        </w:rPr>
      </w:pPr>
      <w:r w:rsidRPr="007F1F27">
        <w:rPr>
          <w:rFonts w:ascii="Arial" w:hAnsi="Arial" w:cstheme="minorHAnsi"/>
          <w:color w:val="53565A" w:themeColor="accent2"/>
          <w:sz w:val="18"/>
          <w:szCs w:val="18"/>
        </w:rPr>
        <w:t>The budgeted revenue from statutory fees and fines and user fees in FY 2020-21 has collectively reduced by $2</w:t>
      </w:r>
      <w:r w:rsidR="00360237" w:rsidRPr="007F1F27">
        <w:rPr>
          <w:rFonts w:ascii="Arial" w:hAnsi="Arial" w:cstheme="minorHAnsi"/>
          <w:color w:val="53565A" w:themeColor="accent2"/>
          <w:sz w:val="18"/>
          <w:szCs w:val="18"/>
        </w:rPr>
        <w:t>38.9</w:t>
      </w:r>
      <w:r w:rsidRPr="007F1F27">
        <w:rPr>
          <w:rFonts w:ascii="Arial" w:hAnsi="Arial" w:cstheme="minorHAnsi"/>
          <w:color w:val="53565A" w:themeColor="accent2"/>
          <w:sz w:val="18"/>
          <w:szCs w:val="18"/>
        </w:rPr>
        <w:t xml:space="preserve"> million when compared to adopted budget FY 2019-20. There is a revenue reduction in all cohorts except for large shires. This revenue reduction is largely due to the closure of council facilities and associated slowdown in economic activity due to COVID-19. The more pronounced impacts in metropolitan and interface councils may reflect the stricter COVID-19 lockdown restrictions imposed in greater metropolitan Melbourne.</w:t>
      </w:r>
    </w:p>
    <w:p w14:paraId="7B0C6259" w14:textId="0DA3364B" w:rsidR="000314C2" w:rsidRDefault="000314C2" w:rsidP="000314C2">
      <w:pPr>
        <w:rPr>
          <w:rFonts w:cstheme="minorHAnsi"/>
          <w:szCs w:val="18"/>
        </w:rPr>
      </w:pPr>
      <w:r w:rsidRPr="000314C2">
        <w:rPr>
          <w:rFonts w:cstheme="minorHAnsi"/>
          <w:szCs w:val="18"/>
        </w:rPr>
        <w:t>Revenue from these sources represented 13.6% of total revenue in 2019-20 but this falls to only 11.</w:t>
      </w:r>
      <w:r w:rsidR="00963421">
        <w:rPr>
          <w:rFonts w:cstheme="minorHAnsi"/>
          <w:szCs w:val="18"/>
        </w:rPr>
        <w:t>1</w:t>
      </w:r>
      <w:r w:rsidRPr="000314C2">
        <w:rPr>
          <w:rFonts w:cstheme="minorHAnsi"/>
          <w:szCs w:val="18"/>
        </w:rPr>
        <w:t xml:space="preserve">% in 2020-21. This loss of revenue may have influenced the decision of some of the metropolitan councils to apply the full 2% increase permitted by FGRS. The metropolitan councils who have </w:t>
      </w:r>
      <w:r w:rsidR="00EA1BDF">
        <w:rPr>
          <w:rFonts w:cstheme="minorHAnsi"/>
          <w:szCs w:val="18"/>
        </w:rPr>
        <w:t>adopted</w:t>
      </w:r>
      <w:r w:rsidRPr="000314C2">
        <w:rPr>
          <w:rFonts w:cstheme="minorHAnsi"/>
          <w:szCs w:val="18"/>
        </w:rPr>
        <w:t xml:space="preserve"> the increase of 2% will generate additional revenue of $73 million, less than half of the expected loss in revenue.</w:t>
      </w:r>
    </w:p>
    <w:p w14:paraId="4966A5F3" w14:textId="1AB19E9F" w:rsidR="008240BD" w:rsidRDefault="008240BD" w:rsidP="008240BD">
      <w:pPr>
        <w:rPr>
          <w:rFonts w:cstheme="minorHAnsi"/>
          <w:szCs w:val="18"/>
        </w:rPr>
      </w:pPr>
      <w:r w:rsidRPr="000C2391">
        <w:rPr>
          <w:rFonts w:cstheme="minorHAnsi"/>
          <w:b/>
          <w:bCs/>
          <w:szCs w:val="18"/>
        </w:rPr>
        <w:t>Figure 1</w:t>
      </w:r>
      <w:r w:rsidR="0019792A" w:rsidRPr="000C2391">
        <w:rPr>
          <w:rFonts w:cstheme="minorHAnsi"/>
          <w:b/>
          <w:bCs/>
          <w:szCs w:val="18"/>
        </w:rPr>
        <w:t>7</w:t>
      </w:r>
      <w:r w:rsidRPr="008240BD">
        <w:rPr>
          <w:rFonts w:cstheme="minorHAnsi"/>
          <w:szCs w:val="18"/>
        </w:rPr>
        <w:t xml:space="preserve"> shows the per capita distribution of rates and charges revenue against statutory fees, fines and</w:t>
      </w:r>
      <w:r w:rsidR="0019792A">
        <w:rPr>
          <w:rFonts w:cstheme="minorHAnsi"/>
          <w:szCs w:val="18"/>
        </w:rPr>
        <w:t xml:space="preserve"> </w:t>
      </w:r>
      <w:r w:rsidRPr="008240BD">
        <w:rPr>
          <w:rFonts w:cstheme="minorHAnsi"/>
          <w:szCs w:val="18"/>
        </w:rPr>
        <w:t>user charges. It highlights the relatively higher dependence of small shires on revenue from rates and</w:t>
      </w:r>
      <w:r>
        <w:rPr>
          <w:rFonts w:cstheme="minorHAnsi"/>
          <w:szCs w:val="18"/>
        </w:rPr>
        <w:t xml:space="preserve"> </w:t>
      </w:r>
      <w:r w:rsidRPr="008240BD">
        <w:rPr>
          <w:rFonts w:cstheme="minorHAnsi"/>
          <w:szCs w:val="18"/>
        </w:rPr>
        <w:t>charges on a per capita basis.</w:t>
      </w:r>
      <w:r w:rsidR="0019792A">
        <w:rPr>
          <w:rFonts w:cstheme="minorHAnsi"/>
          <w:szCs w:val="18"/>
        </w:rPr>
        <w:t xml:space="preserve"> The gap in relation to combined per capita income from </w:t>
      </w:r>
      <w:r w:rsidR="00015919">
        <w:rPr>
          <w:rFonts w:cstheme="minorHAnsi"/>
          <w:szCs w:val="18"/>
        </w:rPr>
        <w:t>s</w:t>
      </w:r>
      <w:r w:rsidR="0019792A">
        <w:rPr>
          <w:rFonts w:cstheme="minorHAnsi"/>
          <w:szCs w:val="18"/>
        </w:rPr>
        <w:t xml:space="preserve">tatutory fees and fines and user fees and charges between </w:t>
      </w:r>
      <w:r w:rsidR="006F10E7">
        <w:rPr>
          <w:rFonts w:cstheme="minorHAnsi"/>
          <w:szCs w:val="18"/>
        </w:rPr>
        <w:t xml:space="preserve">metropolitan and regional </w:t>
      </w:r>
      <w:r w:rsidR="0019792A">
        <w:rPr>
          <w:rFonts w:cstheme="minorHAnsi"/>
          <w:szCs w:val="18"/>
        </w:rPr>
        <w:t>council cohorts is noticeable.</w:t>
      </w:r>
    </w:p>
    <w:p w14:paraId="2397D163" w14:textId="0C669457" w:rsidR="007F1F27" w:rsidRDefault="007F1F27" w:rsidP="008240BD">
      <w:pPr>
        <w:rPr>
          <w:rFonts w:cstheme="minorHAnsi"/>
          <w:szCs w:val="18"/>
        </w:rPr>
      </w:pPr>
    </w:p>
    <w:p w14:paraId="3262EB18" w14:textId="1724AA2C" w:rsidR="007F1F27" w:rsidRDefault="007F1F27" w:rsidP="007F1F27">
      <w:pPr>
        <w:pStyle w:val="Caption"/>
        <w:spacing w:after="60"/>
        <w:rPr>
          <w:b/>
          <w:bCs/>
          <w:i w:val="0"/>
          <w:iCs w:val="0"/>
        </w:rPr>
      </w:pPr>
      <w:r w:rsidRPr="00B6229F">
        <w:rPr>
          <w:b/>
          <w:bCs/>
          <w:i w:val="0"/>
          <w:iCs w:val="0"/>
        </w:rPr>
        <w:lastRenderedPageBreak/>
        <w:t xml:space="preserve">Figure </w:t>
      </w:r>
      <w:r>
        <w:rPr>
          <w:b/>
          <w:bCs/>
          <w:i w:val="0"/>
          <w:iCs w:val="0"/>
        </w:rPr>
        <w:t>17</w:t>
      </w:r>
      <w:r w:rsidRPr="00B6229F">
        <w:rPr>
          <w:b/>
          <w:bCs/>
          <w:i w:val="0"/>
          <w:iCs w:val="0"/>
        </w:rPr>
        <w:t xml:space="preserve"> </w:t>
      </w:r>
      <w:r>
        <w:rPr>
          <w:b/>
          <w:bCs/>
          <w:i w:val="0"/>
          <w:iCs w:val="0"/>
        </w:rPr>
        <w:t>Average per capita r</w:t>
      </w:r>
      <w:r w:rsidRPr="005C14AC">
        <w:rPr>
          <w:b/>
          <w:bCs/>
          <w:i w:val="0"/>
          <w:iCs w:val="0"/>
        </w:rPr>
        <w:t xml:space="preserve">evenue </w:t>
      </w:r>
      <w:r>
        <w:rPr>
          <w:b/>
          <w:bCs/>
          <w:i w:val="0"/>
          <w:iCs w:val="0"/>
        </w:rPr>
        <w:t>by cohort</w:t>
      </w:r>
    </w:p>
    <w:p w14:paraId="38D90B71" w14:textId="0E72D43E" w:rsidR="008240BD" w:rsidRDefault="008240BD" w:rsidP="000314C2">
      <w:pPr>
        <w:rPr>
          <w:rFonts w:cstheme="minorHAnsi"/>
          <w:szCs w:val="18"/>
        </w:rPr>
      </w:pPr>
      <w:r>
        <w:rPr>
          <w:noProof/>
        </w:rPr>
        <w:drawing>
          <wp:inline distT="0" distB="0" distL="0" distR="0" wp14:anchorId="66450A17" wp14:editId="0AEF238A">
            <wp:extent cx="5760085" cy="3551275"/>
            <wp:effectExtent l="0" t="0" r="12065" b="11430"/>
            <wp:docPr id="7" name="Chart 7">
              <a:extLst xmlns:a="http://schemas.openxmlformats.org/drawingml/2006/main">
                <a:ext uri="{FF2B5EF4-FFF2-40B4-BE49-F238E27FC236}">
                  <a16:creationId xmlns:a16="http://schemas.microsoft.com/office/drawing/2014/main" id="{6AB6A717-7EDC-4DB5-90C7-769D3C8AC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5AE88D0" w14:textId="7A8B9E06" w:rsidR="007F1F27" w:rsidRPr="00836333" w:rsidRDefault="007F1F27" w:rsidP="007F1F27">
      <w:pPr>
        <w:rPr>
          <w:sz w:val="16"/>
          <w:szCs w:val="16"/>
        </w:rPr>
      </w:pPr>
      <w:r w:rsidRPr="00836333">
        <w:rPr>
          <w:sz w:val="16"/>
          <w:szCs w:val="16"/>
        </w:rPr>
        <w:t xml:space="preserve">Source: 2020-21 </w:t>
      </w:r>
      <w:r>
        <w:rPr>
          <w:sz w:val="16"/>
          <w:szCs w:val="16"/>
        </w:rPr>
        <w:t>adopted</w:t>
      </w:r>
      <w:r w:rsidRPr="00836333">
        <w:rPr>
          <w:sz w:val="16"/>
          <w:szCs w:val="16"/>
        </w:rPr>
        <w:t xml:space="preserve"> budgets </w:t>
      </w:r>
    </w:p>
    <w:p w14:paraId="35F1AF47" w14:textId="15AFD391" w:rsidR="00305F89" w:rsidRDefault="00305F89">
      <w:pPr>
        <w:spacing w:before="0" w:line="276" w:lineRule="auto"/>
        <w:rPr>
          <w:rFonts w:cstheme="minorHAnsi"/>
          <w:szCs w:val="18"/>
        </w:rPr>
      </w:pPr>
      <w:r>
        <w:rPr>
          <w:rFonts w:cstheme="minorHAnsi"/>
          <w:szCs w:val="18"/>
        </w:rPr>
        <w:br w:type="page"/>
      </w:r>
    </w:p>
    <w:p w14:paraId="2525F123" w14:textId="77777777" w:rsidR="000314C2" w:rsidRDefault="000314C2" w:rsidP="000314C2">
      <w:pPr>
        <w:pStyle w:val="Heading2"/>
      </w:pPr>
      <w:bookmarkStart w:id="23" w:name="_Toc48848012"/>
      <w:bookmarkStart w:id="24" w:name="_Toc75534487"/>
      <w:r>
        <w:lastRenderedPageBreak/>
        <w:t>Grants</w:t>
      </w:r>
      <w:bookmarkEnd w:id="23"/>
      <w:bookmarkEnd w:id="24"/>
    </w:p>
    <w:p w14:paraId="3BA0887B" w14:textId="2317FA50" w:rsidR="000314C2" w:rsidRPr="000314C2" w:rsidRDefault="000314C2" w:rsidP="000314C2">
      <w:pPr>
        <w:pStyle w:val="BodyText"/>
        <w:rPr>
          <w:color w:val="53565A" w:themeColor="accent2"/>
          <w:sz w:val="18"/>
          <w:szCs w:val="18"/>
        </w:rPr>
      </w:pPr>
      <w:r w:rsidRPr="000314C2">
        <w:rPr>
          <w:color w:val="53565A" w:themeColor="accent2"/>
          <w:sz w:val="18"/>
          <w:szCs w:val="18"/>
        </w:rPr>
        <w:t>Total budgeted revenue from grants for 2020-21 is $1.</w:t>
      </w:r>
      <w:r w:rsidR="00EA094B">
        <w:rPr>
          <w:color w:val="53565A" w:themeColor="accent2"/>
          <w:sz w:val="18"/>
          <w:szCs w:val="18"/>
        </w:rPr>
        <w:t>816</w:t>
      </w:r>
      <w:r w:rsidRPr="000314C2">
        <w:rPr>
          <w:color w:val="53565A" w:themeColor="accent2"/>
          <w:sz w:val="18"/>
          <w:szCs w:val="18"/>
        </w:rPr>
        <w:t xml:space="preserve"> billion ($1.667 billion in 2019-20). This represents an increase of approximately $</w:t>
      </w:r>
      <w:r w:rsidR="00C4248F">
        <w:rPr>
          <w:color w:val="53565A" w:themeColor="accent2"/>
          <w:sz w:val="18"/>
          <w:szCs w:val="18"/>
        </w:rPr>
        <w:t>148.6</w:t>
      </w:r>
      <w:r w:rsidRPr="000314C2">
        <w:rPr>
          <w:color w:val="53565A" w:themeColor="accent2"/>
          <w:sz w:val="18"/>
          <w:szCs w:val="18"/>
        </w:rPr>
        <w:t xml:space="preserve"> million or </w:t>
      </w:r>
      <w:r w:rsidR="00C4248F">
        <w:rPr>
          <w:color w:val="53565A" w:themeColor="accent2"/>
          <w:sz w:val="18"/>
          <w:szCs w:val="18"/>
        </w:rPr>
        <w:t>8</w:t>
      </w:r>
      <w:r w:rsidRPr="000314C2">
        <w:rPr>
          <w:color w:val="53565A" w:themeColor="accent2"/>
          <w:sz w:val="18"/>
          <w:szCs w:val="18"/>
        </w:rPr>
        <w:t>.</w:t>
      </w:r>
      <w:r w:rsidR="00C4248F">
        <w:rPr>
          <w:color w:val="53565A" w:themeColor="accent2"/>
          <w:sz w:val="18"/>
          <w:szCs w:val="18"/>
        </w:rPr>
        <w:t>91</w:t>
      </w:r>
      <w:r w:rsidRPr="000314C2">
        <w:rPr>
          <w:color w:val="53565A" w:themeColor="accent2"/>
          <w:sz w:val="18"/>
          <w:szCs w:val="18"/>
        </w:rPr>
        <w:t xml:space="preserve"> per cent. </w:t>
      </w:r>
      <w:r w:rsidRPr="000314C2">
        <w:rPr>
          <w:b/>
          <w:bCs/>
          <w:color w:val="53565A" w:themeColor="accent2"/>
          <w:sz w:val="18"/>
          <w:szCs w:val="18"/>
        </w:rPr>
        <w:t xml:space="preserve">Figure </w:t>
      </w:r>
      <w:r w:rsidR="009C6EB9" w:rsidRPr="000314C2">
        <w:rPr>
          <w:b/>
          <w:bCs/>
          <w:color w:val="53565A" w:themeColor="accent2"/>
          <w:sz w:val="18"/>
          <w:szCs w:val="18"/>
        </w:rPr>
        <w:t>1</w:t>
      </w:r>
      <w:r w:rsidR="009C6EB9">
        <w:rPr>
          <w:b/>
          <w:bCs/>
          <w:color w:val="53565A" w:themeColor="accent2"/>
          <w:sz w:val="18"/>
          <w:szCs w:val="18"/>
        </w:rPr>
        <w:t>8</w:t>
      </w:r>
      <w:r w:rsidR="009C6EB9" w:rsidRPr="000314C2">
        <w:rPr>
          <w:color w:val="53565A" w:themeColor="accent2"/>
          <w:sz w:val="18"/>
          <w:szCs w:val="18"/>
        </w:rPr>
        <w:t xml:space="preserve"> </w:t>
      </w:r>
      <w:r w:rsidRPr="000314C2">
        <w:rPr>
          <w:color w:val="53565A" w:themeColor="accent2"/>
          <w:sz w:val="18"/>
          <w:szCs w:val="18"/>
        </w:rPr>
        <w:t xml:space="preserve">shows the budgeted revenue from grants between 2016-17 and 2020-21 by type of grant. Overall grant revenue remains relatively stable, particularly recurrent operating grants which are the primary source of grant funding for councils. The Australian Government has again brought forward the payment of 50 per cent of the 2020-21 Financial Assistance Grants (FAGs). This early payment was made to states and territories on 25 May 2020. Collectively, Victorian councils receive over $600 million in FAGs funding annually. </w:t>
      </w:r>
    </w:p>
    <w:p w14:paraId="18A0BC70" w14:textId="77777777"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The Victorian Government’s $1.7 billion </w:t>
      </w:r>
      <w:r w:rsidRPr="000314C2">
        <w:rPr>
          <w:i/>
          <w:iCs/>
          <w:color w:val="53565A" w:themeColor="accent2"/>
          <w:sz w:val="18"/>
          <w:szCs w:val="18"/>
        </w:rPr>
        <w:t>Economic Survival Package</w:t>
      </w:r>
      <w:r w:rsidRPr="000314C2">
        <w:rPr>
          <w:color w:val="53565A" w:themeColor="accent2"/>
          <w:sz w:val="18"/>
          <w:szCs w:val="18"/>
        </w:rPr>
        <w:t xml:space="preserve"> and $2.7 billion </w:t>
      </w:r>
      <w:r w:rsidRPr="000314C2">
        <w:rPr>
          <w:i/>
          <w:iCs/>
          <w:color w:val="53565A" w:themeColor="accent2"/>
          <w:sz w:val="18"/>
          <w:szCs w:val="18"/>
        </w:rPr>
        <w:t>Building Works Package</w:t>
      </w:r>
      <w:r w:rsidRPr="000314C2">
        <w:rPr>
          <w:color w:val="53565A" w:themeColor="accent2"/>
          <w:sz w:val="18"/>
          <w:szCs w:val="18"/>
        </w:rPr>
        <w:t xml:space="preserve"> are providing additional financial support to Victorian councils.   </w:t>
      </w:r>
    </w:p>
    <w:p w14:paraId="6969E1C9" w14:textId="69EAA1EE" w:rsidR="000314C2" w:rsidRDefault="000314C2" w:rsidP="000314C2">
      <w:pPr>
        <w:pStyle w:val="Caption"/>
        <w:spacing w:after="60"/>
        <w:rPr>
          <w:b/>
          <w:bCs/>
          <w:i w:val="0"/>
          <w:iCs w:val="0"/>
        </w:rPr>
      </w:pPr>
      <w:bookmarkStart w:id="25" w:name="_Hlk47974273"/>
      <w:r w:rsidRPr="00B6229F">
        <w:rPr>
          <w:b/>
          <w:bCs/>
          <w:i w:val="0"/>
          <w:iCs w:val="0"/>
        </w:rPr>
        <w:t xml:space="preserve">Figure </w:t>
      </w:r>
      <w:r>
        <w:rPr>
          <w:b/>
          <w:bCs/>
          <w:i w:val="0"/>
          <w:iCs w:val="0"/>
        </w:rPr>
        <w:t>1</w:t>
      </w:r>
      <w:r w:rsidR="009C6EB9">
        <w:rPr>
          <w:b/>
          <w:bCs/>
          <w:i w:val="0"/>
          <w:iCs w:val="0"/>
        </w:rPr>
        <w:t>8</w:t>
      </w:r>
      <w:r w:rsidRPr="00B6229F">
        <w:rPr>
          <w:b/>
          <w:bCs/>
          <w:i w:val="0"/>
          <w:iCs w:val="0"/>
        </w:rPr>
        <w:t xml:space="preserve"> </w:t>
      </w:r>
      <w:r>
        <w:rPr>
          <w:b/>
          <w:bCs/>
          <w:i w:val="0"/>
          <w:iCs w:val="0"/>
        </w:rPr>
        <w:t>B</w:t>
      </w:r>
      <w:r w:rsidRPr="005C14AC">
        <w:rPr>
          <w:b/>
          <w:bCs/>
          <w:i w:val="0"/>
          <w:iCs w:val="0"/>
        </w:rPr>
        <w:t xml:space="preserve">udgeted </w:t>
      </w:r>
      <w:r>
        <w:rPr>
          <w:b/>
          <w:bCs/>
          <w:i w:val="0"/>
          <w:iCs w:val="0"/>
        </w:rPr>
        <w:t>r</w:t>
      </w:r>
      <w:r w:rsidRPr="005C14AC">
        <w:rPr>
          <w:b/>
          <w:bCs/>
          <w:i w:val="0"/>
          <w:iCs w:val="0"/>
        </w:rPr>
        <w:t xml:space="preserve">evenue from </w:t>
      </w:r>
      <w:r>
        <w:rPr>
          <w:b/>
          <w:bCs/>
          <w:i w:val="0"/>
          <w:iCs w:val="0"/>
        </w:rPr>
        <w:t>grants by type 2016-17 to 2020-21</w:t>
      </w:r>
      <w:bookmarkEnd w:id="25"/>
    </w:p>
    <w:p w14:paraId="225120F5" w14:textId="178B6C05" w:rsidR="006A7C8A" w:rsidRPr="006A7C8A" w:rsidRDefault="006A7C8A" w:rsidP="006A7C8A">
      <w:r>
        <w:rPr>
          <w:noProof/>
        </w:rPr>
        <w:drawing>
          <wp:inline distT="0" distB="0" distL="0" distR="0" wp14:anchorId="5ABBA8A9" wp14:editId="4FA64E2F">
            <wp:extent cx="5760085" cy="2586990"/>
            <wp:effectExtent l="0" t="0" r="12065" b="3810"/>
            <wp:docPr id="50" name="Chart 50">
              <a:extLst xmlns:a="http://schemas.openxmlformats.org/drawingml/2006/main">
                <a:ext uri="{FF2B5EF4-FFF2-40B4-BE49-F238E27FC236}">
                  <a16:creationId xmlns:a16="http://schemas.microsoft.com/office/drawing/2014/main" id="{CE2E7B5F-87E8-4C9E-A8B8-5194BEF10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791F450" w14:textId="77777777" w:rsidR="007F1F27" w:rsidRPr="00836333" w:rsidRDefault="000314C2" w:rsidP="007F1F27">
      <w:pPr>
        <w:rPr>
          <w:sz w:val="16"/>
          <w:szCs w:val="16"/>
        </w:rPr>
      </w:pPr>
      <w:r w:rsidRPr="00836333">
        <w:rPr>
          <w:sz w:val="16"/>
          <w:szCs w:val="16"/>
        </w:rPr>
        <w:t xml:space="preserve">Source: </w:t>
      </w:r>
      <w:r w:rsidR="007F1F27">
        <w:rPr>
          <w:sz w:val="16"/>
          <w:szCs w:val="16"/>
        </w:rPr>
        <w:t xml:space="preserve">2016-17 - </w:t>
      </w:r>
      <w:r w:rsidR="007F1F27" w:rsidRPr="00836333">
        <w:rPr>
          <w:sz w:val="16"/>
          <w:szCs w:val="16"/>
        </w:rPr>
        <w:t>20</w:t>
      </w:r>
      <w:r w:rsidR="007F1F27">
        <w:rPr>
          <w:sz w:val="16"/>
          <w:szCs w:val="16"/>
        </w:rPr>
        <w:t>20</w:t>
      </w:r>
      <w:r w:rsidR="007F1F27" w:rsidRPr="00836333">
        <w:rPr>
          <w:sz w:val="16"/>
          <w:szCs w:val="16"/>
        </w:rPr>
        <w:t>-2</w:t>
      </w:r>
      <w:r w:rsidR="007F1F27">
        <w:rPr>
          <w:sz w:val="16"/>
          <w:szCs w:val="16"/>
        </w:rPr>
        <w:t>1</w:t>
      </w:r>
      <w:r w:rsidR="007F1F27" w:rsidRPr="00836333">
        <w:rPr>
          <w:sz w:val="16"/>
          <w:szCs w:val="16"/>
        </w:rPr>
        <w:t xml:space="preserve"> adopted budgets</w:t>
      </w:r>
    </w:p>
    <w:p w14:paraId="2E112E75" w14:textId="667FA88F" w:rsidR="000314C2" w:rsidRDefault="000314C2" w:rsidP="000314C2">
      <w:pPr>
        <w:pStyle w:val="BodyText"/>
        <w:spacing w:before="0" w:line="240" w:lineRule="auto"/>
        <w:rPr>
          <w:sz w:val="16"/>
          <w:szCs w:val="16"/>
        </w:rPr>
      </w:pPr>
    </w:p>
    <w:p w14:paraId="661FD10A" w14:textId="77FC28C7" w:rsidR="009C6EB9" w:rsidRDefault="007F1F27" w:rsidP="007F1F27">
      <w:pPr>
        <w:spacing w:before="0" w:line="276" w:lineRule="auto"/>
        <w:rPr>
          <w:rFonts w:asciiTheme="minorHAnsi" w:hAnsiTheme="minorHAnsi"/>
          <w:szCs w:val="18"/>
        </w:rPr>
      </w:pPr>
      <w:r w:rsidRPr="00797FE6">
        <w:rPr>
          <w:rFonts w:asciiTheme="minorHAnsi" w:hAnsiTheme="minorHAnsi"/>
          <w:szCs w:val="18"/>
        </w:rPr>
        <w:t xml:space="preserve">Small and large rural councils have a greater dependency on government grants. When combined with relatively lower population levels this means that ‘grants per capita’ in small and large rural councils are greater compared to metropolitan and interface councils. </w:t>
      </w:r>
      <w:r w:rsidR="009C6EB9" w:rsidRPr="00DF6DB3">
        <w:rPr>
          <w:rFonts w:asciiTheme="minorHAnsi" w:hAnsiTheme="minorHAnsi"/>
          <w:b/>
          <w:bCs/>
          <w:szCs w:val="18"/>
        </w:rPr>
        <w:t>Figure 1</w:t>
      </w:r>
      <w:r w:rsidR="00DF6DB3" w:rsidRPr="00DF6DB3">
        <w:rPr>
          <w:rFonts w:asciiTheme="minorHAnsi" w:hAnsiTheme="minorHAnsi"/>
          <w:b/>
          <w:bCs/>
          <w:szCs w:val="18"/>
        </w:rPr>
        <w:t>9</w:t>
      </w:r>
      <w:r w:rsidRPr="00797FE6">
        <w:rPr>
          <w:rFonts w:asciiTheme="minorHAnsi" w:hAnsiTheme="minorHAnsi"/>
          <w:szCs w:val="18"/>
        </w:rPr>
        <w:t xml:space="preserve"> below </w:t>
      </w:r>
      <w:r w:rsidR="00A7370B">
        <w:rPr>
          <w:rFonts w:asciiTheme="minorHAnsi" w:hAnsiTheme="minorHAnsi"/>
          <w:szCs w:val="18"/>
        </w:rPr>
        <w:t xml:space="preserve">shows the distribution of </w:t>
      </w:r>
      <w:r w:rsidR="004006E9">
        <w:rPr>
          <w:rFonts w:asciiTheme="minorHAnsi" w:hAnsiTheme="minorHAnsi"/>
          <w:szCs w:val="18"/>
        </w:rPr>
        <w:t xml:space="preserve">the grant types by council cohort. </w:t>
      </w:r>
    </w:p>
    <w:p w14:paraId="33D72969" w14:textId="7F4CFC92" w:rsidR="009C6EB9" w:rsidRDefault="009C6EB9">
      <w:pPr>
        <w:spacing w:before="0" w:line="276" w:lineRule="auto"/>
        <w:rPr>
          <w:rFonts w:asciiTheme="minorHAnsi" w:hAnsiTheme="minorHAnsi"/>
          <w:szCs w:val="18"/>
        </w:rPr>
      </w:pPr>
      <w:r>
        <w:rPr>
          <w:rFonts w:asciiTheme="minorHAnsi" w:hAnsiTheme="minorHAnsi"/>
          <w:szCs w:val="18"/>
        </w:rPr>
        <w:br w:type="page"/>
      </w:r>
    </w:p>
    <w:p w14:paraId="44855035" w14:textId="58910B21" w:rsidR="009C6EB9" w:rsidRDefault="009C6EB9" w:rsidP="009C6EB9">
      <w:pPr>
        <w:pStyle w:val="Caption"/>
        <w:spacing w:after="60"/>
        <w:rPr>
          <w:b/>
          <w:bCs/>
          <w:i w:val="0"/>
          <w:iCs w:val="0"/>
        </w:rPr>
      </w:pPr>
      <w:r w:rsidRPr="00B6229F">
        <w:rPr>
          <w:b/>
          <w:bCs/>
          <w:i w:val="0"/>
          <w:iCs w:val="0"/>
        </w:rPr>
        <w:lastRenderedPageBreak/>
        <w:t xml:space="preserve">Figure </w:t>
      </w:r>
      <w:r>
        <w:rPr>
          <w:b/>
          <w:bCs/>
          <w:i w:val="0"/>
          <w:iCs w:val="0"/>
        </w:rPr>
        <w:t>19</w:t>
      </w:r>
      <w:r w:rsidRPr="00B6229F">
        <w:rPr>
          <w:b/>
          <w:bCs/>
          <w:i w:val="0"/>
          <w:iCs w:val="0"/>
        </w:rPr>
        <w:t xml:space="preserve"> </w:t>
      </w:r>
      <w:r>
        <w:rPr>
          <w:b/>
          <w:bCs/>
          <w:i w:val="0"/>
          <w:iCs w:val="0"/>
        </w:rPr>
        <w:t>2020-21 B</w:t>
      </w:r>
      <w:r w:rsidRPr="005C14AC">
        <w:rPr>
          <w:b/>
          <w:bCs/>
          <w:i w:val="0"/>
          <w:iCs w:val="0"/>
        </w:rPr>
        <w:t xml:space="preserve">udgeted </w:t>
      </w:r>
      <w:r>
        <w:rPr>
          <w:b/>
          <w:bCs/>
          <w:i w:val="0"/>
          <w:iCs w:val="0"/>
        </w:rPr>
        <w:t>r</w:t>
      </w:r>
      <w:r w:rsidRPr="005C14AC">
        <w:rPr>
          <w:b/>
          <w:bCs/>
          <w:i w:val="0"/>
          <w:iCs w:val="0"/>
        </w:rPr>
        <w:t xml:space="preserve">evenue from </w:t>
      </w:r>
      <w:r>
        <w:rPr>
          <w:b/>
          <w:bCs/>
          <w:i w:val="0"/>
          <w:iCs w:val="0"/>
        </w:rPr>
        <w:t>grants by cohort</w:t>
      </w:r>
    </w:p>
    <w:p w14:paraId="45AB79C7" w14:textId="77777777" w:rsidR="009C6EB9" w:rsidRDefault="009C6EB9" w:rsidP="007F1F27">
      <w:pPr>
        <w:spacing w:before="0" w:line="276" w:lineRule="auto"/>
        <w:rPr>
          <w:rFonts w:asciiTheme="minorHAnsi" w:hAnsiTheme="minorHAnsi"/>
          <w:szCs w:val="18"/>
        </w:rPr>
      </w:pPr>
    </w:p>
    <w:p w14:paraId="75AFA56E" w14:textId="30F86E47" w:rsidR="009C6EB9" w:rsidRDefault="009C6EB9" w:rsidP="007F1F27">
      <w:pPr>
        <w:spacing w:before="0" w:line="276" w:lineRule="auto"/>
        <w:rPr>
          <w:rFonts w:asciiTheme="minorHAnsi" w:hAnsiTheme="minorHAnsi"/>
          <w:szCs w:val="18"/>
        </w:rPr>
      </w:pPr>
      <w:r>
        <w:rPr>
          <w:noProof/>
        </w:rPr>
        <mc:AlternateContent>
          <mc:Choice Requires="cx1">
            <w:drawing>
              <wp:inline distT="0" distB="0" distL="0" distR="0" wp14:anchorId="319A90CB" wp14:editId="71899BD0">
                <wp:extent cx="6687820" cy="7836195"/>
                <wp:effectExtent l="0" t="0" r="17780" b="12700"/>
                <wp:docPr id="8" name="Chart 8">
                  <a:extLst xmlns:a="http://schemas.openxmlformats.org/drawingml/2006/main">
                    <a:ext uri="{FF2B5EF4-FFF2-40B4-BE49-F238E27FC236}">
                      <a16:creationId xmlns:a16="http://schemas.microsoft.com/office/drawing/2014/main" id="{AF05175F-54BF-4DBB-B46F-2380A2D4512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6"/>
                  </a:graphicData>
                </a:graphic>
              </wp:inline>
            </w:drawing>
          </mc:Choice>
          <mc:Fallback>
            <w:drawing>
              <wp:inline distT="0" distB="0" distL="0" distR="0" wp14:anchorId="319A90CB" wp14:editId="71899BD0">
                <wp:extent cx="6687820" cy="7836195"/>
                <wp:effectExtent l="0" t="0" r="17780" b="12700"/>
                <wp:docPr id="8" name="Chart 8">
                  <a:extLst xmlns:a="http://schemas.openxmlformats.org/drawingml/2006/main">
                    <a:ext uri="{FF2B5EF4-FFF2-40B4-BE49-F238E27FC236}">
                      <a16:creationId xmlns:a16="http://schemas.microsoft.com/office/drawing/2014/main" id="{AF05175F-54BF-4DBB-B46F-2380A2D4512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Chart 8">
                          <a:extLst>
                            <a:ext uri="{FF2B5EF4-FFF2-40B4-BE49-F238E27FC236}">
                              <a16:creationId xmlns:a16="http://schemas.microsoft.com/office/drawing/2014/main" id="{AF05175F-54BF-4DBB-B46F-2380A2D4512F}"/>
                            </a:ext>
                          </a:extLst>
                        </pic:cNvPr>
                        <pic:cNvPicPr>
                          <a:picLocks noGrp="1" noRot="1" noChangeAspect="1" noMove="1" noResize="1" noEditPoints="1" noAdjustHandles="1" noChangeArrowheads="1" noChangeShapeType="1"/>
                        </pic:cNvPicPr>
                      </pic:nvPicPr>
                      <pic:blipFill>
                        <a:blip r:embed="rId40"/>
                        <a:stretch>
                          <a:fillRect/>
                        </a:stretch>
                      </pic:blipFill>
                      <pic:spPr>
                        <a:xfrm>
                          <a:off x="0" y="0"/>
                          <a:ext cx="6687820" cy="7835900"/>
                        </a:xfrm>
                        <a:prstGeom prst="rect">
                          <a:avLst/>
                        </a:prstGeom>
                      </pic:spPr>
                    </pic:pic>
                  </a:graphicData>
                </a:graphic>
              </wp:inline>
            </w:drawing>
          </mc:Fallback>
        </mc:AlternateContent>
      </w:r>
    </w:p>
    <w:p w14:paraId="420C2A78" w14:textId="764D5020" w:rsidR="009C6EB9" w:rsidRPr="00797FE6" w:rsidRDefault="009C6EB9" w:rsidP="007F1F27">
      <w:pPr>
        <w:spacing w:before="0" w:line="276" w:lineRule="auto"/>
        <w:rPr>
          <w:rFonts w:asciiTheme="minorHAnsi" w:hAnsiTheme="minorHAnsi"/>
          <w:szCs w:val="18"/>
        </w:rPr>
      </w:pPr>
      <w:r w:rsidRPr="00836333">
        <w:rPr>
          <w:sz w:val="16"/>
          <w:szCs w:val="16"/>
        </w:rPr>
        <w:t xml:space="preserve">Source: 2020-21 </w:t>
      </w:r>
      <w:r>
        <w:rPr>
          <w:sz w:val="16"/>
          <w:szCs w:val="16"/>
        </w:rPr>
        <w:t>adopted</w:t>
      </w:r>
      <w:r w:rsidRPr="00836333">
        <w:rPr>
          <w:sz w:val="16"/>
          <w:szCs w:val="16"/>
        </w:rPr>
        <w:t xml:space="preserve"> budgets</w:t>
      </w:r>
    </w:p>
    <w:p w14:paraId="2E973C9A" w14:textId="221D7F82" w:rsidR="00305F89" w:rsidRDefault="00305F89" w:rsidP="007F1F27">
      <w:pPr>
        <w:spacing w:before="0" w:line="276" w:lineRule="auto"/>
        <w:rPr>
          <w:rFonts w:asciiTheme="minorHAnsi" w:hAnsiTheme="minorHAnsi"/>
          <w:color w:val="000000" w:themeColor="text1"/>
          <w:sz w:val="16"/>
          <w:szCs w:val="16"/>
        </w:rPr>
      </w:pPr>
      <w:r>
        <w:rPr>
          <w:sz w:val="16"/>
          <w:szCs w:val="16"/>
        </w:rPr>
        <w:br w:type="page"/>
      </w:r>
    </w:p>
    <w:p w14:paraId="12727DE5" w14:textId="77777777" w:rsidR="000314C2" w:rsidRDefault="000314C2" w:rsidP="000314C2">
      <w:pPr>
        <w:pStyle w:val="Heading2"/>
      </w:pPr>
      <w:bookmarkStart w:id="26" w:name="_Toc48848013"/>
      <w:bookmarkStart w:id="27" w:name="_Toc75534488"/>
      <w:r>
        <w:lastRenderedPageBreak/>
        <w:t>Contributions</w:t>
      </w:r>
      <w:bookmarkEnd w:id="26"/>
      <w:bookmarkEnd w:id="27"/>
    </w:p>
    <w:p w14:paraId="4D54692C" w14:textId="1BBEE569"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Total budgeted </w:t>
      </w:r>
      <w:bookmarkStart w:id="28" w:name="_Hlk47974431"/>
      <w:r w:rsidRPr="000314C2">
        <w:rPr>
          <w:color w:val="53565A" w:themeColor="accent2"/>
          <w:sz w:val="18"/>
          <w:szCs w:val="18"/>
        </w:rPr>
        <w:t>revenue from contributions for 2020-21 is $1.27 billion ($1.096 billion in 2019-20). This represents an increase of approximately $17</w:t>
      </w:r>
      <w:r w:rsidR="005A2D95">
        <w:rPr>
          <w:color w:val="53565A" w:themeColor="accent2"/>
          <w:sz w:val="18"/>
          <w:szCs w:val="18"/>
        </w:rPr>
        <w:t>7</w:t>
      </w:r>
      <w:r w:rsidRPr="000314C2">
        <w:rPr>
          <w:color w:val="53565A" w:themeColor="accent2"/>
          <w:sz w:val="18"/>
          <w:szCs w:val="18"/>
        </w:rPr>
        <w:t xml:space="preserve"> million or 1</w:t>
      </w:r>
      <w:r w:rsidR="005A2D95">
        <w:rPr>
          <w:color w:val="53565A" w:themeColor="accent2"/>
          <w:sz w:val="18"/>
          <w:szCs w:val="18"/>
        </w:rPr>
        <w:t>6.</w:t>
      </w:r>
      <w:r w:rsidR="00B21471">
        <w:rPr>
          <w:color w:val="53565A" w:themeColor="accent2"/>
          <w:sz w:val="18"/>
          <w:szCs w:val="18"/>
        </w:rPr>
        <w:t>16</w:t>
      </w:r>
      <w:r w:rsidRPr="000314C2">
        <w:rPr>
          <w:color w:val="53565A" w:themeColor="accent2"/>
          <w:sz w:val="18"/>
          <w:szCs w:val="18"/>
        </w:rPr>
        <w:t xml:space="preserve"> per cent. Monetary contributions represent cash provided by developers to councils </w:t>
      </w:r>
      <w:bookmarkEnd w:id="28"/>
      <w:r w:rsidRPr="000314C2">
        <w:rPr>
          <w:color w:val="53565A" w:themeColor="accent2"/>
          <w:sz w:val="18"/>
          <w:szCs w:val="18"/>
        </w:rPr>
        <w:t xml:space="preserve">as part of the planning process to ensure valuable community assets are funded and constructed. In some circumstances developers construct community assets such as roads, footpaths and drainage on behalf of council and transfer ownership back to council upon finalisation. These gifted assets are known as non-monetary contributions and are required under AAS to be recognised as revenue upon receipt. </w:t>
      </w:r>
      <w:r w:rsidRPr="000314C2">
        <w:rPr>
          <w:b/>
          <w:bCs/>
          <w:color w:val="53565A" w:themeColor="accent2"/>
          <w:sz w:val="18"/>
          <w:szCs w:val="18"/>
        </w:rPr>
        <w:t>Figure 20</w:t>
      </w:r>
      <w:r w:rsidRPr="000314C2">
        <w:rPr>
          <w:color w:val="53565A" w:themeColor="accent2"/>
          <w:sz w:val="18"/>
          <w:szCs w:val="18"/>
        </w:rPr>
        <w:t xml:space="preserve"> shows the budgeted revenue from contributions between 2016-17 and 2020-21 broken down by monetary and non-monetary contributions.</w:t>
      </w:r>
    </w:p>
    <w:p w14:paraId="3A53928E" w14:textId="552037D5" w:rsidR="000314C2" w:rsidRDefault="000314C2" w:rsidP="000314C2">
      <w:pPr>
        <w:pStyle w:val="Caption"/>
        <w:spacing w:after="60"/>
        <w:rPr>
          <w:b/>
          <w:bCs/>
          <w:i w:val="0"/>
          <w:iCs w:val="0"/>
        </w:rPr>
      </w:pPr>
      <w:r w:rsidRPr="00B6229F">
        <w:rPr>
          <w:b/>
          <w:bCs/>
          <w:i w:val="0"/>
          <w:iCs w:val="0"/>
        </w:rPr>
        <w:t xml:space="preserve">Figure </w:t>
      </w:r>
      <w:r>
        <w:rPr>
          <w:b/>
          <w:bCs/>
          <w:i w:val="0"/>
          <w:iCs w:val="0"/>
        </w:rPr>
        <w:t>20</w:t>
      </w:r>
      <w:r w:rsidRPr="00B6229F">
        <w:rPr>
          <w:b/>
          <w:bCs/>
          <w:i w:val="0"/>
          <w:iCs w:val="0"/>
        </w:rPr>
        <w:t xml:space="preserve"> </w:t>
      </w:r>
      <w:r>
        <w:rPr>
          <w:b/>
          <w:bCs/>
          <w:i w:val="0"/>
          <w:iCs w:val="0"/>
        </w:rPr>
        <w:t>B</w:t>
      </w:r>
      <w:r w:rsidRPr="005C14AC">
        <w:rPr>
          <w:b/>
          <w:bCs/>
          <w:i w:val="0"/>
          <w:iCs w:val="0"/>
        </w:rPr>
        <w:t xml:space="preserve">udgeted </w:t>
      </w:r>
      <w:r>
        <w:rPr>
          <w:b/>
          <w:bCs/>
          <w:i w:val="0"/>
          <w:iCs w:val="0"/>
        </w:rPr>
        <w:t>r</w:t>
      </w:r>
      <w:r w:rsidRPr="005C14AC">
        <w:rPr>
          <w:b/>
          <w:bCs/>
          <w:i w:val="0"/>
          <w:iCs w:val="0"/>
        </w:rPr>
        <w:t xml:space="preserve">evenue from </w:t>
      </w:r>
      <w:r>
        <w:rPr>
          <w:b/>
          <w:bCs/>
          <w:i w:val="0"/>
          <w:iCs w:val="0"/>
        </w:rPr>
        <w:t>contributions by type 2016-17 to 2020-21</w:t>
      </w:r>
    </w:p>
    <w:p w14:paraId="708F2BC5" w14:textId="6B6DE5C9" w:rsidR="000314C2" w:rsidRPr="00836333" w:rsidRDefault="00B21471" w:rsidP="00B466B0">
      <w:pPr>
        <w:rPr>
          <w:sz w:val="16"/>
          <w:szCs w:val="16"/>
        </w:rPr>
      </w:pPr>
      <w:r>
        <w:rPr>
          <w:noProof/>
        </w:rPr>
        <w:drawing>
          <wp:anchor distT="0" distB="0" distL="114300" distR="114300" simplePos="0" relativeHeight="251658248" behindDoc="0" locked="0" layoutInCell="1" allowOverlap="1" wp14:anchorId="5FC4D5BA" wp14:editId="1DFEE646">
            <wp:simplePos x="0" y="0"/>
            <wp:positionH relativeFrom="column">
              <wp:posOffset>-2540</wp:posOffset>
            </wp:positionH>
            <wp:positionV relativeFrom="paragraph">
              <wp:posOffset>34925</wp:posOffset>
            </wp:positionV>
            <wp:extent cx="5760085" cy="2700020"/>
            <wp:effectExtent l="0" t="0" r="12065" b="5080"/>
            <wp:wrapSquare wrapText="bothSides"/>
            <wp:docPr id="1" name="Chart 1">
              <a:extLst xmlns:a="http://schemas.openxmlformats.org/drawingml/2006/main">
                <a:ext uri="{FF2B5EF4-FFF2-40B4-BE49-F238E27FC236}">
                  <a16:creationId xmlns:a16="http://schemas.microsoft.com/office/drawing/2014/main" id="{821FC773-8E98-4209-81F4-9B8E578EA7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0314C2"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000314C2" w:rsidRPr="00836333">
        <w:rPr>
          <w:sz w:val="16"/>
          <w:szCs w:val="16"/>
        </w:rPr>
        <w:t>budgets</w:t>
      </w:r>
    </w:p>
    <w:p w14:paraId="02F4487F" w14:textId="7C1D8653" w:rsidR="000314C2" w:rsidRPr="000314C2" w:rsidRDefault="000314C2" w:rsidP="000314C2">
      <w:pPr>
        <w:pStyle w:val="BodyText"/>
        <w:rPr>
          <w:color w:val="53565A" w:themeColor="accent2"/>
          <w:sz w:val="16"/>
          <w:szCs w:val="16"/>
        </w:rPr>
      </w:pPr>
      <w:r w:rsidRPr="000314C2">
        <w:rPr>
          <w:color w:val="53565A" w:themeColor="accent2"/>
          <w:sz w:val="18"/>
          <w:szCs w:val="18"/>
        </w:rPr>
        <w:t>Of the total $884.2 million in budgeted revenue from gifted assets in 2020-21, $667.9 million or 75.5 per cent is from interface councils. Similarly, $18</w:t>
      </w:r>
      <w:r w:rsidR="006C4DC5">
        <w:rPr>
          <w:color w:val="53565A" w:themeColor="accent2"/>
          <w:sz w:val="18"/>
          <w:szCs w:val="18"/>
        </w:rPr>
        <w:t>6</w:t>
      </w:r>
      <w:r w:rsidRPr="000314C2">
        <w:rPr>
          <w:color w:val="53565A" w:themeColor="accent2"/>
          <w:sz w:val="18"/>
          <w:szCs w:val="18"/>
        </w:rPr>
        <w:t>.</w:t>
      </w:r>
      <w:r w:rsidR="006C4DC5">
        <w:rPr>
          <w:color w:val="53565A" w:themeColor="accent2"/>
          <w:sz w:val="18"/>
          <w:szCs w:val="18"/>
        </w:rPr>
        <w:t>5</w:t>
      </w:r>
      <w:r w:rsidRPr="000314C2">
        <w:rPr>
          <w:color w:val="53565A" w:themeColor="accent2"/>
          <w:sz w:val="18"/>
          <w:szCs w:val="18"/>
        </w:rPr>
        <w:t xml:space="preserve"> million or 48 per cent of the budgeted revenue from monetary contributions is from interface councils. These budget estimates are clearly based on continued growth and development in these municipalities and largely follow the trend of increases over time since 2016-17.</w:t>
      </w:r>
    </w:p>
    <w:p w14:paraId="47BFEA31" w14:textId="54D2FCA2" w:rsidR="000314C2" w:rsidRDefault="000314C2" w:rsidP="000314C2">
      <w:pPr>
        <w:pStyle w:val="BodyText"/>
        <w:rPr>
          <w:color w:val="53565A" w:themeColor="accent2"/>
          <w:sz w:val="18"/>
          <w:szCs w:val="18"/>
        </w:rPr>
      </w:pPr>
    </w:p>
    <w:p w14:paraId="3D32AF9D" w14:textId="77777777" w:rsidR="000314C2" w:rsidRPr="000314C2" w:rsidRDefault="000314C2" w:rsidP="000314C2">
      <w:pPr>
        <w:pStyle w:val="BodyText"/>
        <w:rPr>
          <w:color w:val="53565A" w:themeColor="accent2"/>
          <w:sz w:val="18"/>
          <w:szCs w:val="18"/>
        </w:rPr>
      </w:pPr>
    </w:p>
    <w:p w14:paraId="32C29A93" w14:textId="77777777" w:rsidR="000314C2" w:rsidRDefault="000314C2" w:rsidP="000314C2">
      <w:pPr>
        <w:pStyle w:val="Heading1"/>
      </w:pPr>
      <w:bookmarkStart w:id="29" w:name="_Toc48848014"/>
      <w:bookmarkStart w:id="30" w:name="_Toc75534489"/>
      <w:r>
        <w:lastRenderedPageBreak/>
        <w:t>Expenditure</w:t>
      </w:r>
      <w:bookmarkEnd w:id="29"/>
      <w:bookmarkEnd w:id="30"/>
    </w:p>
    <w:p w14:paraId="6EB0D0C4" w14:textId="729143DE" w:rsidR="000314C2" w:rsidRPr="000314C2" w:rsidRDefault="000314C2" w:rsidP="000314C2">
      <w:pPr>
        <w:rPr>
          <w:szCs w:val="18"/>
        </w:rPr>
      </w:pPr>
      <w:r w:rsidRPr="000314C2">
        <w:rPr>
          <w:szCs w:val="18"/>
        </w:rPr>
        <w:t>Councils are budgeting for total operating expenditure of $9.5</w:t>
      </w:r>
      <w:r w:rsidR="00C81B4E">
        <w:rPr>
          <w:szCs w:val="18"/>
        </w:rPr>
        <w:t>8</w:t>
      </w:r>
      <w:r w:rsidRPr="000314C2">
        <w:rPr>
          <w:szCs w:val="18"/>
        </w:rPr>
        <w:t xml:space="preserve"> billion in 2020-21 ($9.01 billion in 2019-20) resulting in an operating surplus across the sector of $1.</w:t>
      </w:r>
      <w:r w:rsidR="00535C23">
        <w:rPr>
          <w:szCs w:val="18"/>
        </w:rPr>
        <w:t>38</w:t>
      </w:r>
      <w:r w:rsidRPr="000314C2">
        <w:rPr>
          <w:szCs w:val="18"/>
        </w:rPr>
        <w:t xml:space="preserve"> billion ($1.71 billion in 2019-10).</w:t>
      </w:r>
    </w:p>
    <w:p w14:paraId="1045E777" w14:textId="75A02906" w:rsidR="000314C2" w:rsidRPr="000314C2" w:rsidRDefault="000314C2" w:rsidP="000314C2">
      <w:pPr>
        <w:rPr>
          <w:szCs w:val="18"/>
        </w:rPr>
      </w:pPr>
      <w:r w:rsidRPr="000314C2">
        <w:rPr>
          <w:b/>
          <w:bCs/>
          <w:szCs w:val="18"/>
        </w:rPr>
        <w:t>Figure 21</w:t>
      </w:r>
      <w:r w:rsidRPr="000314C2">
        <w:rPr>
          <w:szCs w:val="18"/>
        </w:rPr>
        <w:t xml:space="preserve"> shows the composition of council budgeted total expenditure for 2020-21. Employee costs ($3.</w:t>
      </w:r>
      <w:r w:rsidR="00E97387">
        <w:rPr>
          <w:szCs w:val="18"/>
        </w:rPr>
        <w:t>93</w:t>
      </w:r>
      <w:r w:rsidRPr="000314C2">
        <w:rPr>
          <w:szCs w:val="18"/>
        </w:rPr>
        <w:t xml:space="preserve"> billion or 4</w:t>
      </w:r>
      <w:r w:rsidR="00E97387">
        <w:rPr>
          <w:szCs w:val="18"/>
        </w:rPr>
        <w:t>1</w:t>
      </w:r>
      <w:r w:rsidRPr="000314C2">
        <w:rPr>
          <w:szCs w:val="18"/>
        </w:rPr>
        <w:t>.</w:t>
      </w:r>
      <w:r w:rsidR="00E97387">
        <w:rPr>
          <w:szCs w:val="18"/>
        </w:rPr>
        <w:t>0</w:t>
      </w:r>
      <w:r w:rsidRPr="000314C2">
        <w:rPr>
          <w:szCs w:val="18"/>
        </w:rPr>
        <w:t>%) are the largest cost to councils followed closely by materials and services ($3.5</w:t>
      </w:r>
      <w:r w:rsidR="00562684">
        <w:rPr>
          <w:szCs w:val="18"/>
        </w:rPr>
        <w:t>3</w:t>
      </w:r>
      <w:r w:rsidRPr="000314C2">
        <w:rPr>
          <w:szCs w:val="18"/>
        </w:rPr>
        <w:t xml:space="preserve"> billion or 36.</w:t>
      </w:r>
      <w:r w:rsidR="00562684">
        <w:rPr>
          <w:szCs w:val="18"/>
        </w:rPr>
        <w:t>9</w:t>
      </w:r>
      <w:r w:rsidRPr="000314C2">
        <w:rPr>
          <w:szCs w:val="18"/>
        </w:rPr>
        <w:t>%). Another significant expenditure item is depreciation ($1.7</w:t>
      </w:r>
      <w:r w:rsidR="0047306A">
        <w:rPr>
          <w:szCs w:val="18"/>
        </w:rPr>
        <w:t>3</w:t>
      </w:r>
      <w:r w:rsidRPr="000314C2">
        <w:rPr>
          <w:szCs w:val="18"/>
        </w:rPr>
        <w:t xml:space="preserve"> billion or 18.</w:t>
      </w:r>
      <w:r w:rsidR="0047306A">
        <w:rPr>
          <w:szCs w:val="18"/>
        </w:rPr>
        <w:t>0</w:t>
      </w:r>
      <w:r w:rsidRPr="000314C2">
        <w:rPr>
          <w:szCs w:val="18"/>
        </w:rPr>
        <w:t xml:space="preserve">%). Depreciation is the allocation of the cost of an asset over its useful life and reflects the pattern of consumption of the asset (i.e. wear and tear) over time. Depreciation is a significant expense of local government due to the asset intensive nature of the sector, particularly in relation to the management of fixed assets such as roads, bridges, drains and buildings. </w:t>
      </w:r>
    </w:p>
    <w:p w14:paraId="64CD883C" w14:textId="291937BB" w:rsidR="000314C2" w:rsidRDefault="003B5BE6" w:rsidP="000314C2">
      <w:pPr>
        <w:pStyle w:val="Caption"/>
        <w:spacing w:after="60"/>
        <w:rPr>
          <w:b/>
          <w:bCs/>
          <w:i w:val="0"/>
          <w:iCs w:val="0"/>
        </w:rPr>
      </w:pPr>
      <w:r>
        <w:rPr>
          <w:noProof/>
        </w:rPr>
        <w:drawing>
          <wp:anchor distT="0" distB="0" distL="114300" distR="114300" simplePos="0" relativeHeight="251658249" behindDoc="0" locked="0" layoutInCell="1" allowOverlap="1" wp14:anchorId="50CF9C95" wp14:editId="6620D567">
            <wp:simplePos x="0" y="0"/>
            <wp:positionH relativeFrom="margin">
              <wp:align>left</wp:align>
            </wp:positionH>
            <wp:positionV relativeFrom="paragraph">
              <wp:posOffset>205740</wp:posOffset>
            </wp:positionV>
            <wp:extent cx="5715000" cy="2025650"/>
            <wp:effectExtent l="0" t="0" r="0" b="12700"/>
            <wp:wrapSquare wrapText="bothSides"/>
            <wp:docPr id="53" name="Chart 53">
              <a:extLst xmlns:a="http://schemas.openxmlformats.org/drawingml/2006/main">
                <a:ext uri="{FF2B5EF4-FFF2-40B4-BE49-F238E27FC236}">
                  <a16:creationId xmlns:a16="http://schemas.microsoft.com/office/drawing/2014/main" id="{884C6ADA-534F-4EE9-9094-FDF3F25839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0314C2" w:rsidRPr="00B6229F">
        <w:rPr>
          <w:b/>
          <w:bCs/>
          <w:i w:val="0"/>
          <w:iCs w:val="0"/>
        </w:rPr>
        <w:t xml:space="preserve">Figure </w:t>
      </w:r>
      <w:r w:rsidR="000314C2">
        <w:rPr>
          <w:b/>
          <w:bCs/>
          <w:i w:val="0"/>
          <w:iCs w:val="0"/>
        </w:rPr>
        <w:t xml:space="preserve">21 </w:t>
      </w:r>
      <w:r w:rsidR="000314C2" w:rsidRPr="00DE697C">
        <w:rPr>
          <w:b/>
          <w:bCs/>
          <w:i w:val="0"/>
          <w:iCs w:val="0"/>
        </w:rPr>
        <w:t xml:space="preserve">Composition of </w:t>
      </w:r>
      <w:r w:rsidR="000314C2">
        <w:rPr>
          <w:b/>
          <w:bCs/>
          <w:i w:val="0"/>
          <w:iCs w:val="0"/>
        </w:rPr>
        <w:t>total 2020-21 budgeted e</w:t>
      </w:r>
      <w:r w:rsidR="000314C2" w:rsidRPr="00DE697C">
        <w:rPr>
          <w:b/>
          <w:bCs/>
          <w:i w:val="0"/>
          <w:iCs w:val="0"/>
        </w:rPr>
        <w:t>xpenditure</w:t>
      </w:r>
    </w:p>
    <w:p w14:paraId="3BF054FE" w14:textId="0BF09F3A" w:rsidR="000314C2" w:rsidRPr="00836333" w:rsidRDefault="000314C2" w:rsidP="000314C2">
      <w:pPr>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 </w:t>
      </w:r>
    </w:p>
    <w:p w14:paraId="0DF95D08" w14:textId="384F2330" w:rsidR="000314C2" w:rsidRPr="000314C2" w:rsidRDefault="000314C2" w:rsidP="000314C2">
      <w:pPr>
        <w:rPr>
          <w:szCs w:val="18"/>
        </w:rPr>
      </w:pPr>
      <w:r w:rsidRPr="000314C2">
        <w:rPr>
          <w:b/>
          <w:bCs/>
          <w:szCs w:val="18"/>
        </w:rPr>
        <w:t>Figure 22</w:t>
      </w:r>
      <w:r w:rsidRPr="000314C2">
        <w:rPr>
          <w:szCs w:val="18"/>
        </w:rPr>
        <w:t xml:space="preserve"> shows the composition of budgeted total expenditure by cohort. It highlights that depreciation expense is a greater challenge for rural and regional councils. While the small shires spend on depreciation and amortisation</w:t>
      </w:r>
      <w:r w:rsidRPr="000314C2">
        <w:rPr>
          <w:rStyle w:val="FootnoteReference"/>
          <w:color w:val="53565A" w:themeColor="accent2"/>
          <w:szCs w:val="18"/>
        </w:rPr>
        <w:footnoteReference w:id="8"/>
      </w:r>
      <w:r w:rsidRPr="000314C2">
        <w:rPr>
          <w:szCs w:val="18"/>
        </w:rPr>
        <w:t xml:space="preserve"> is a lower absolute figure than that in metropolitan councils, it accounts for a significantly larger proportion of their total expenditure (2</w:t>
      </w:r>
      <w:r w:rsidR="004E53C4">
        <w:rPr>
          <w:szCs w:val="18"/>
        </w:rPr>
        <w:t>3</w:t>
      </w:r>
      <w:r w:rsidRPr="000314C2">
        <w:rPr>
          <w:szCs w:val="18"/>
        </w:rPr>
        <w:t>% in small shires against 16% in metropolitan councils). This can be primarily attributed to small shires having much larger road networks relative to their overall asset maintenance responsibilities.</w:t>
      </w:r>
    </w:p>
    <w:p w14:paraId="3272BDB2" w14:textId="133C793E" w:rsidR="000314C2" w:rsidRDefault="000314C2" w:rsidP="000314C2">
      <w:pPr>
        <w:pStyle w:val="Caption"/>
        <w:spacing w:after="60"/>
        <w:rPr>
          <w:b/>
          <w:bCs/>
          <w:i w:val="0"/>
          <w:iCs w:val="0"/>
        </w:rPr>
      </w:pPr>
      <w:r w:rsidRPr="005B6B08">
        <w:rPr>
          <w:b/>
          <w:bCs/>
          <w:i w:val="0"/>
          <w:iCs w:val="0"/>
        </w:rPr>
        <w:t>Figure</w:t>
      </w:r>
      <w:r>
        <w:rPr>
          <w:b/>
          <w:bCs/>
          <w:i w:val="0"/>
          <w:iCs w:val="0"/>
        </w:rPr>
        <w:t xml:space="preserve"> 22</w:t>
      </w:r>
      <w:r w:rsidRPr="005B6B08">
        <w:rPr>
          <w:b/>
          <w:bCs/>
          <w:i w:val="0"/>
          <w:iCs w:val="0"/>
        </w:rPr>
        <w:t xml:space="preserve"> </w:t>
      </w:r>
      <w:r>
        <w:rPr>
          <w:b/>
          <w:bCs/>
          <w:i w:val="0"/>
          <w:iCs w:val="0"/>
        </w:rPr>
        <w:t>Composition of expenditure by Council Cohort 2020-21</w:t>
      </w:r>
    </w:p>
    <w:p w14:paraId="28029BF0" w14:textId="7B81B236" w:rsidR="000314C2" w:rsidRPr="00836333" w:rsidRDefault="002E4014" w:rsidP="00EF3B15">
      <w:pPr>
        <w:rPr>
          <w:sz w:val="16"/>
          <w:szCs w:val="16"/>
        </w:rPr>
      </w:pPr>
      <w:r>
        <w:rPr>
          <w:noProof/>
        </w:rPr>
        <w:drawing>
          <wp:anchor distT="0" distB="0" distL="114300" distR="114300" simplePos="0" relativeHeight="251658250" behindDoc="0" locked="0" layoutInCell="1" allowOverlap="1" wp14:anchorId="26A60485" wp14:editId="64046244">
            <wp:simplePos x="0" y="0"/>
            <wp:positionH relativeFrom="column">
              <wp:posOffset>-2540</wp:posOffset>
            </wp:positionH>
            <wp:positionV relativeFrom="paragraph">
              <wp:posOffset>36195</wp:posOffset>
            </wp:positionV>
            <wp:extent cx="5760085" cy="2343150"/>
            <wp:effectExtent l="0" t="0" r="12065" b="0"/>
            <wp:wrapSquare wrapText="bothSides"/>
            <wp:docPr id="54" name="Chart 54">
              <a:extLst xmlns:a="http://schemas.openxmlformats.org/drawingml/2006/main">
                <a:ext uri="{FF2B5EF4-FFF2-40B4-BE49-F238E27FC236}">
                  <a16:creationId xmlns:a16="http://schemas.microsoft.com/office/drawing/2014/main" id="{7B4A801E-0E56-44D1-AF42-935F5D484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r w:rsidR="000314C2">
        <w:rPr>
          <w:sz w:val="16"/>
          <w:szCs w:val="16"/>
        </w:rPr>
        <w:t>S</w:t>
      </w:r>
      <w:r w:rsidR="000314C2" w:rsidRPr="00836333">
        <w:rPr>
          <w:sz w:val="16"/>
          <w:szCs w:val="16"/>
        </w:rPr>
        <w:t xml:space="preserve">ource: 2020-21 </w:t>
      </w:r>
      <w:r w:rsidR="00EA1BDF">
        <w:rPr>
          <w:sz w:val="16"/>
          <w:szCs w:val="16"/>
        </w:rPr>
        <w:t>adopted</w:t>
      </w:r>
      <w:r w:rsidR="000314C2" w:rsidRPr="00836333">
        <w:rPr>
          <w:sz w:val="16"/>
          <w:szCs w:val="16"/>
        </w:rPr>
        <w:t xml:space="preserve"> budgets </w:t>
      </w:r>
    </w:p>
    <w:p w14:paraId="07250F3F" w14:textId="77777777" w:rsidR="000314C2" w:rsidRDefault="000314C2" w:rsidP="000314C2"/>
    <w:p w14:paraId="33C69B2F" w14:textId="74F5D00B" w:rsidR="000314C2" w:rsidRPr="000314C2" w:rsidRDefault="000314C2" w:rsidP="000314C2">
      <w:pPr>
        <w:pStyle w:val="BodyText"/>
        <w:rPr>
          <w:color w:val="53565A" w:themeColor="accent2"/>
          <w:sz w:val="18"/>
          <w:szCs w:val="18"/>
        </w:rPr>
      </w:pPr>
      <w:r w:rsidRPr="000314C2">
        <w:rPr>
          <w:b/>
          <w:bCs/>
          <w:color w:val="53565A" w:themeColor="accent2"/>
          <w:sz w:val="18"/>
          <w:szCs w:val="18"/>
        </w:rPr>
        <w:t>Figure 23</w:t>
      </w:r>
      <w:r w:rsidRPr="000314C2">
        <w:rPr>
          <w:color w:val="53565A" w:themeColor="accent2"/>
          <w:sz w:val="18"/>
          <w:szCs w:val="18"/>
        </w:rPr>
        <w:t xml:space="preserve"> shows total budgeted operating expenditure over the past 5 years from adopted budgets (2016-17 to 20</w:t>
      </w:r>
      <w:r w:rsidR="003A3DD6">
        <w:rPr>
          <w:color w:val="53565A" w:themeColor="accent2"/>
          <w:sz w:val="18"/>
          <w:szCs w:val="18"/>
        </w:rPr>
        <w:t>20</w:t>
      </w:r>
      <w:r w:rsidRPr="000314C2">
        <w:rPr>
          <w:color w:val="53565A" w:themeColor="accent2"/>
          <w:sz w:val="18"/>
          <w:szCs w:val="18"/>
        </w:rPr>
        <w:t>-2</w:t>
      </w:r>
      <w:r w:rsidR="003A3DD6">
        <w:rPr>
          <w:color w:val="53565A" w:themeColor="accent2"/>
          <w:sz w:val="18"/>
          <w:szCs w:val="18"/>
        </w:rPr>
        <w:t>1</w:t>
      </w:r>
      <w:r w:rsidRPr="000314C2">
        <w:rPr>
          <w:color w:val="53565A" w:themeColor="accent2"/>
          <w:sz w:val="18"/>
          <w:szCs w:val="18"/>
        </w:rPr>
        <w:t>)</w:t>
      </w:r>
      <w:r w:rsidR="003A3DD6">
        <w:rPr>
          <w:color w:val="53565A" w:themeColor="accent2"/>
          <w:sz w:val="18"/>
          <w:szCs w:val="18"/>
        </w:rPr>
        <w:t>.</w:t>
      </w:r>
      <w:r w:rsidRPr="000314C2">
        <w:rPr>
          <w:color w:val="53565A" w:themeColor="accent2"/>
          <w:sz w:val="18"/>
          <w:szCs w:val="18"/>
        </w:rPr>
        <w:t xml:space="preserve"> Total operating expenditure has grown each year since 2016-17. Growth was in excess of $297 million in 2017-18, $391 million in 2018-19 and $419 million in 2019-20. The 2020-21 </w:t>
      </w:r>
      <w:r w:rsidR="00EA1BDF">
        <w:rPr>
          <w:color w:val="53565A" w:themeColor="accent2"/>
          <w:sz w:val="18"/>
          <w:szCs w:val="18"/>
        </w:rPr>
        <w:t>adopted</w:t>
      </w:r>
      <w:r w:rsidRPr="000314C2">
        <w:rPr>
          <w:color w:val="53565A" w:themeColor="accent2"/>
          <w:sz w:val="18"/>
          <w:szCs w:val="18"/>
        </w:rPr>
        <w:t xml:space="preserve"> budgets show an increase in operating expenditure of $5</w:t>
      </w:r>
      <w:r w:rsidR="00CC04F3">
        <w:rPr>
          <w:color w:val="53565A" w:themeColor="accent2"/>
          <w:sz w:val="18"/>
          <w:szCs w:val="18"/>
        </w:rPr>
        <w:t>70</w:t>
      </w:r>
      <w:r w:rsidRPr="000314C2">
        <w:rPr>
          <w:color w:val="53565A" w:themeColor="accent2"/>
          <w:sz w:val="18"/>
          <w:szCs w:val="18"/>
        </w:rPr>
        <w:t xml:space="preserve"> million. </w:t>
      </w:r>
    </w:p>
    <w:p w14:paraId="653C35DC" w14:textId="574F12B0" w:rsidR="000314C2" w:rsidRDefault="000314C2" w:rsidP="000314C2">
      <w:pPr>
        <w:pStyle w:val="Caption"/>
        <w:spacing w:after="60"/>
        <w:rPr>
          <w:b/>
          <w:bCs/>
          <w:i w:val="0"/>
          <w:iCs w:val="0"/>
        </w:rPr>
      </w:pPr>
      <w:r w:rsidRPr="005B6B08">
        <w:rPr>
          <w:b/>
          <w:bCs/>
          <w:i w:val="0"/>
          <w:iCs w:val="0"/>
        </w:rPr>
        <w:t xml:space="preserve">Figure </w:t>
      </w:r>
      <w:r>
        <w:rPr>
          <w:b/>
          <w:bCs/>
          <w:i w:val="0"/>
          <w:iCs w:val="0"/>
        </w:rPr>
        <w:t>23</w:t>
      </w:r>
      <w:r w:rsidRPr="005B6B08">
        <w:rPr>
          <w:b/>
          <w:bCs/>
          <w:i w:val="0"/>
          <w:iCs w:val="0"/>
        </w:rPr>
        <w:t xml:space="preserve"> Budgeted total </w:t>
      </w:r>
      <w:r>
        <w:rPr>
          <w:b/>
          <w:bCs/>
          <w:i w:val="0"/>
          <w:iCs w:val="0"/>
        </w:rPr>
        <w:t xml:space="preserve">operating </w:t>
      </w:r>
      <w:r w:rsidRPr="005B6B08">
        <w:rPr>
          <w:b/>
          <w:bCs/>
          <w:i w:val="0"/>
          <w:iCs w:val="0"/>
        </w:rPr>
        <w:t>expenditure 2016-17 to 2020-21</w:t>
      </w:r>
    </w:p>
    <w:p w14:paraId="0F8CC0C8" w14:textId="26FF44EB" w:rsidR="00FB6845" w:rsidRPr="00FB6845" w:rsidRDefault="007930D2" w:rsidP="00FB6845">
      <w:r>
        <w:rPr>
          <w:noProof/>
        </w:rPr>
        <w:drawing>
          <wp:inline distT="0" distB="0" distL="0" distR="0" wp14:anchorId="2A03A358" wp14:editId="4138AE1C">
            <wp:extent cx="5078942" cy="2660651"/>
            <wp:effectExtent l="0" t="0" r="7620" b="6350"/>
            <wp:docPr id="55" name="Chart 55">
              <a:extLst xmlns:a="http://schemas.openxmlformats.org/drawingml/2006/main">
                <a:ext uri="{FF2B5EF4-FFF2-40B4-BE49-F238E27FC236}">
                  <a16:creationId xmlns:a16="http://schemas.microsoft.com/office/drawing/2014/main" id="{05A696D5-2440-4652-ADB0-8E0609CC5F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529D2C2" w14:textId="59B63505" w:rsidR="000314C2" w:rsidRPr="00AE1E91" w:rsidRDefault="000314C2" w:rsidP="000314C2">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70873471" w14:textId="7FA84BF4" w:rsidR="000314C2" w:rsidRPr="000314C2" w:rsidRDefault="000314C2" w:rsidP="000314C2">
      <w:pPr>
        <w:pStyle w:val="BodyText"/>
        <w:rPr>
          <w:color w:val="53565A" w:themeColor="accent2"/>
          <w:sz w:val="18"/>
          <w:szCs w:val="18"/>
        </w:rPr>
      </w:pPr>
      <w:r w:rsidRPr="000314C2">
        <w:rPr>
          <w:color w:val="53565A" w:themeColor="accent2"/>
          <w:sz w:val="18"/>
          <w:szCs w:val="18"/>
        </w:rPr>
        <w:t xml:space="preserve">The rate of growth in operating expenditure in percentage terms is shown in </w:t>
      </w:r>
      <w:r w:rsidRPr="000314C2">
        <w:rPr>
          <w:b/>
          <w:bCs/>
          <w:color w:val="53565A" w:themeColor="accent2"/>
          <w:sz w:val="18"/>
          <w:szCs w:val="18"/>
        </w:rPr>
        <w:t>Figure 24</w:t>
      </w:r>
      <w:r w:rsidRPr="000314C2">
        <w:rPr>
          <w:color w:val="53565A" w:themeColor="accent2"/>
          <w:sz w:val="18"/>
          <w:szCs w:val="18"/>
        </w:rPr>
        <w:t xml:space="preserve">. It shows that collectively councils plan to increase their operating expenditure by </w:t>
      </w:r>
      <w:r w:rsidR="00B0101C">
        <w:rPr>
          <w:color w:val="53565A" w:themeColor="accent2"/>
          <w:sz w:val="18"/>
          <w:szCs w:val="18"/>
        </w:rPr>
        <w:t>6.32</w:t>
      </w:r>
      <w:r w:rsidRPr="000314C2">
        <w:rPr>
          <w:color w:val="53565A" w:themeColor="accent2"/>
          <w:sz w:val="18"/>
          <w:szCs w:val="18"/>
        </w:rPr>
        <w:t xml:space="preserve"> per cent in 2020-21. This continues the five year trend of incremental percentage increases in total budgeted operating expenditure. At a time when the rate of growth in total budgeted local government revenue has slowed to </w:t>
      </w:r>
      <w:r w:rsidR="00627162">
        <w:rPr>
          <w:color w:val="53565A" w:themeColor="accent2"/>
          <w:sz w:val="18"/>
          <w:szCs w:val="18"/>
        </w:rPr>
        <w:t>2</w:t>
      </w:r>
      <w:r w:rsidRPr="000314C2">
        <w:rPr>
          <w:color w:val="53565A" w:themeColor="accent2"/>
          <w:sz w:val="18"/>
          <w:szCs w:val="18"/>
        </w:rPr>
        <w:t>.</w:t>
      </w:r>
      <w:r w:rsidR="00627162">
        <w:rPr>
          <w:color w:val="53565A" w:themeColor="accent2"/>
          <w:sz w:val="18"/>
          <w:szCs w:val="18"/>
        </w:rPr>
        <w:t>22</w:t>
      </w:r>
      <w:r w:rsidRPr="000314C2">
        <w:rPr>
          <w:color w:val="53565A" w:themeColor="accent2"/>
          <w:sz w:val="18"/>
          <w:szCs w:val="18"/>
        </w:rPr>
        <w:t xml:space="preserve"> per cent the rate of growth in total budgeted local government expenditure has risen to </w:t>
      </w:r>
      <w:r w:rsidR="00C8588C">
        <w:rPr>
          <w:color w:val="53565A" w:themeColor="accent2"/>
          <w:sz w:val="18"/>
          <w:szCs w:val="18"/>
        </w:rPr>
        <w:t>6</w:t>
      </w:r>
      <w:r w:rsidRPr="000314C2">
        <w:rPr>
          <w:color w:val="53565A" w:themeColor="accent2"/>
          <w:sz w:val="18"/>
          <w:szCs w:val="18"/>
        </w:rPr>
        <w:t>.</w:t>
      </w:r>
      <w:r w:rsidR="00C8588C">
        <w:rPr>
          <w:color w:val="53565A" w:themeColor="accent2"/>
          <w:sz w:val="18"/>
          <w:szCs w:val="18"/>
        </w:rPr>
        <w:t>32</w:t>
      </w:r>
      <w:r w:rsidRPr="000314C2">
        <w:rPr>
          <w:color w:val="53565A" w:themeColor="accent2"/>
          <w:sz w:val="18"/>
          <w:szCs w:val="18"/>
        </w:rPr>
        <w:t xml:space="preserve"> per cent. This contrast reflects the financial performance pressures facing the sector, largely as a result of COVID-19.   </w:t>
      </w:r>
    </w:p>
    <w:p w14:paraId="0DF3B656" w14:textId="316F62D3" w:rsidR="000314C2" w:rsidRDefault="000314C2" w:rsidP="000314C2">
      <w:pPr>
        <w:pStyle w:val="Caption"/>
        <w:spacing w:after="60"/>
        <w:rPr>
          <w:b/>
          <w:bCs/>
          <w:i w:val="0"/>
          <w:iCs w:val="0"/>
        </w:rPr>
      </w:pPr>
      <w:r w:rsidRPr="005B6B08">
        <w:rPr>
          <w:b/>
          <w:bCs/>
          <w:i w:val="0"/>
          <w:iCs w:val="0"/>
        </w:rPr>
        <w:t xml:space="preserve">Figure </w:t>
      </w:r>
      <w:r>
        <w:rPr>
          <w:b/>
          <w:bCs/>
          <w:i w:val="0"/>
          <w:iCs w:val="0"/>
        </w:rPr>
        <w:t>24</w:t>
      </w:r>
      <w:r w:rsidRPr="005B6B08">
        <w:rPr>
          <w:b/>
          <w:bCs/>
          <w:i w:val="0"/>
          <w:iCs w:val="0"/>
        </w:rPr>
        <w:t xml:space="preserve"> Percentage change in budgeted total </w:t>
      </w:r>
      <w:r>
        <w:rPr>
          <w:b/>
          <w:bCs/>
          <w:i w:val="0"/>
          <w:iCs w:val="0"/>
        </w:rPr>
        <w:t xml:space="preserve">operating </w:t>
      </w:r>
      <w:r w:rsidRPr="005B6B08">
        <w:rPr>
          <w:b/>
          <w:bCs/>
          <w:i w:val="0"/>
          <w:iCs w:val="0"/>
        </w:rPr>
        <w:t>expenditure 2016-17 to 2020-21</w:t>
      </w:r>
    </w:p>
    <w:p w14:paraId="192F018F" w14:textId="19433FCB" w:rsidR="00C8588C" w:rsidRPr="00C8588C" w:rsidRDefault="00C8588C" w:rsidP="00C8588C">
      <w:r>
        <w:rPr>
          <w:noProof/>
        </w:rPr>
        <w:drawing>
          <wp:inline distT="0" distB="0" distL="0" distR="0" wp14:anchorId="43F3103C" wp14:editId="367C2C6F">
            <wp:extent cx="4677305" cy="2419350"/>
            <wp:effectExtent l="0" t="0" r="9525" b="0"/>
            <wp:docPr id="56" name="Chart 56">
              <a:extLst xmlns:a="http://schemas.openxmlformats.org/drawingml/2006/main">
                <a:ext uri="{FF2B5EF4-FFF2-40B4-BE49-F238E27FC236}">
                  <a16:creationId xmlns:a16="http://schemas.microsoft.com/office/drawing/2014/main" id="{DE974720-11AA-43F8-982E-E95BAADF9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9929DFB" w14:textId="64E28749" w:rsidR="000314C2" w:rsidRPr="00AE1E91" w:rsidRDefault="000314C2" w:rsidP="000314C2">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38C39F7E" w14:textId="77777777" w:rsidR="000314C2" w:rsidRDefault="000314C2" w:rsidP="000314C2"/>
    <w:p w14:paraId="43CA8189" w14:textId="77777777" w:rsidR="000314C2" w:rsidRDefault="000314C2" w:rsidP="000314C2"/>
    <w:p w14:paraId="4AD839AA" w14:textId="77777777" w:rsidR="000314C2" w:rsidRDefault="000314C2" w:rsidP="000314C2"/>
    <w:p w14:paraId="642900E1" w14:textId="77777777" w:rsidR="000314C2" w:rsidRDefault="000314C2" w:rsidP="000314C2"/>
    <w:p w14:paraId="14139494" w14:textId="77777777" w:rsidR="000314C2" w:rsidRDefault="000314C2" w:rsidP="000314C2"/>
    <w:p w14:paraId="4E37A744" w14:textId="77777777" w:rsidR="000314C2" w:rsidRPr="00CC7CE7" w:rsidRDefault="000314C2" w:rsidP="000314C2">
      <w:pPr>
        <w:rPr>
          <w:szCs w:val="18"/>
        </w:rPr>
      </w:pPr>
      <w:r w:rsidRPr="00CC7CE7">
        <w:rPr>
          <w:b/>
          <w:bCs/>
          <w:szCs w:val="18"/>
        </w:rPr>
        <w:t>Figure 25</w:t>
      </w:r>
      <w:r w:rsidRPr="00CC7CE7">
        <w:rPr>
          <w:szCs w:val="18"/>
        </w:rPr>
        <w:t xml:space="preserve"> shows the future forecasts for budgeted expenditure by type. It shows that employee costs, materials and services and depreciation expenses are projected to incur modest increases over the four-year life of the SRP. Other expenses and asset write-offs have been forecast to decline moderately or remain constant.</w:t>
      </w:r>
    </w:p>
    <w:p w14:paraId="4818A9B4" w14:textId="452F5448" w:rsidR="000314C2" w:rsidRDefault="000314C2" w:rsidP="000314C2">
      <w:pPr>
        <w:pStyle w:val="Caption"/>
        <w:spacing w:after="60"/>
        <w:rPr>
          <w:b/>
          <w:bCs/>
          <w:i w:val="0"/>
          <w:iCs w:val="0"/>
        </w:rPr>
      </w:pPr>
      <w:r w:rsidRPr="005B6B08">
        <w:rPr>
          <w:b/>
          <w:bCs/>
          <w:i w:val="0"/>
          <w:iCs w:val="0"/>
        </w:rPr>
        <w:t>Figure</w:t>
      </w:r>
      <w:r>
        <w:rPr>
          <w:b/>
          <w:bCs/>
          <w:i w:val="0"/>
          <w:iCs w:val="0"/>
        </w:rPr>
        <w:t xml:space="preserve"> 25</w:t>
      </w:r>
      <w:r w:rsidRPr="005B6B08">
        <w:rPr>
          <w:b/>
          <w:bCs/>
          <w:i w:val="0"/>
          <w:iCs w:val="0"/>
        </w:rPr>
        <w:t xml:space="preserve"> </w:t>
      </w:r>
      <w:r>
        <w:rPr>
          <w:b/>
          <w:bCs/>
          <w:i w:val="0"/>
          <w:iCs w:val="0"/>
        </w:rPr>
        <w:t>Total expenditure forecasted to 2023-24</w:t>
      </w:r>
    </w:p>
    <w:p w14:paraId="43C12EAA" w14:textId="60A1CB46" w:rsidR="00DD0DB7" w:rsidRPr="00DD0DB7" w:rsidRDefault="00DD0DB7" w:rsidP="00DD0DB7">
      <w:r>
        <w:rPr>
          <w:noProof/>
        </w:rPr>
        <w:drawing>
          <wp:inline distT="0" distB="0" distL="0" distR="0" wp14:anchorId="3A003956" wp14:editId="0F89BADF">
            <wp:extent cx="5911850" cy="2856230"/>
            <wp:effectExtent l="0" t="0" r="12700" b="1270"/>
            <wp:docPr id="57" name="Chart 57">
              <a:extLst xmlns:a="http://schemas.openxmlformats.org/drawingml/2006/main">
                <a:ext uri="{FF2B5EF4-FFF2-40B4-BE49-F238E27FC236}">
                  <a16:creationId xmlns:a16="http://schemas.microsoft.com/office/drawing/2014/main" id="{DACD98B3-4265-4D2A-9236-FFD3BC8CD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9825B49" w14:textId="11689060" w:rsidR="000314C2" w:rsidRPr="00AE1E91" w:rsidRDefault="000314C2" w:rsidP="000314C2">
      <w:pPr>
        <w:pStyle w:val="BodyText"/>
        <w:spacing w:before="0"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 and</w:t>
      </w:r>
      <w:r>
        <w:rPr>
          <w:sz w:val="16"/>
          <w:szCs w:val="16"/>
        </w:rPr>
        <w:t xml:space="preserve"> SRPs and </w:t>
      </w:r>
      <w:r w:rsidRPr="00836333">
        <w:rPr>
          <w:sz w:val="16"/>
          <w:szCs w:val="16"/>
        </w:rPr>
        <w:t>2019-20 adopted budgets</w:t>
      </w:r>
    </w:p>
    <w:p w14:paraId="28F4DF5B" w14:textId="77777777" w:rsidR="000314C2" w:rsidRDefault="000314C2" w:rsidP="000314C2">
      <w:pPr>
        <w:pStyle w:val="BodyText"/>
      </w:pPr>
    </w:p>
    <w:p w14:paraId="552965BF" w14:textId="77777777" w:rsidR="000314C2" w:rsidRDefault="000314C2" w:rsidP="000314C2">
      <w:pPr>
        <w:pStyle w:val="BodyText"/>
      </w:pPr>
      <w:r>
        <w:br w:type="page"/>
      </w:r>
    </w:p>
    <w:p w14:paraId="3031395D" w14:textId="77777777" w:rsidR="000314C2" w:rsidRDefault="000314C2" w:rsidP="000314C2">
      <w:pPr>
        <w:pStyle w:val="Heading2"/>
      </w:pPr>
      <w:bookmarkStart w:id="31" w:name="_Toc48848015"/>
      <w:bookmarkStart w:id="32" w:name="_Toc75534490"/>
      <w:r>
        <w:lastRenderedPageBreak/>
        <w:t>Employee costs</w:t>
      </w:r>
      <w:bookmarkEnd w:id="31"/>
      <w:bookmarkEnd w:id="32"/>
    </w:p>
    <w:p w14:paraId="6B726A9E" w14:textId="40FCAB81" w:rsidR="000314C2" w:rsidRPr="00CC7CE7" w:rsidRDefault="000314C2" w:rsidP="000314C2">
      <w:pPr>
        <w:rPr>
          <w:szCs w:val="18"/>
        </w:rPr>
      </w:pPr>
      <w:r w:rsidRPr="00CC7CE7">
        <w:rPr>
          <w:szCs w:val="18"/>
        </w:rPr>
        <w:t xml:space="preserve">Employee costs primarily consist of salaries and wages, but also include on-costs such as superannuation, insurance and leave entitlements. </w:t>
      </w:r>
      <w:r w:rsidRPr="00CC7CE7">
        <w:rPr>
          <w:b/>
          <w:bCs/>
          <w:szCs w:val="18"/>
        </w:rPr>
        <w:t>Figure 26</w:t>
      </w:r>
      <w:r w:rsidRPr="00CC7CE7">
        <w:rPr>
          <w:szCs w:val="18"/>
        </w:rPr>
        <w:t xml:space="preserve"> shows employee costs are budgeted to rise to $3.</w:t>
      </w:r>
      <w:r w:rsidR="008F0A92">
        <w:rPr>
          <w:szCs w:val="18"/>
        </w:rPr>
        <w:t>93</w:t>
      </w:r>
      <w:r w:rsidRPr="00CC7CE7">
        <w:rPr>
          <w:szCs w:val="18"/>
        </w:rPr>
        <w:t xml:space="preserve"> billion in 2020-21, an increase of $1</w:t>
      </w:r>
      <w:r w:rsidR="00767CC1">
        <w:rPr>
          <w:szCs w:val="18"/>
        </w:rPr>
        <w:t xml:space="preserve">51 </w:t>
      </w:r>
      <w:r w:rsidR="00002DEB">
        <w:rPr>
          <w:szCs w:val="18"/>
        </w:rPr>
        <w:t>M</w:t>
      </w:r>
      <w:r w:rsidRPr="00CC7CE7">
        <w:rPr>
          <w:szCs w:val="18"/>
        </w:rPr>
        <w:t>illion on 2019-20. However, the forecast actual employee costs of $3.7</w:t>
      </w:r>
      <w:r w:rsidR="00002DEB">
        <w:rPr>
          <w:szCs w:val="18"/>
        </w:rPr>
        <w:t>02</w:t>
      </w:r>
      <w:r w:rsidRPr="00CC7CE7">
        <w:rPr>
          <w:szCs w:val="18"/>
        </w:rPr>
        <w:t xml:space="preserve"> billion are lower than the 2019-20 adopted budget amount of $3.779 billion. This partly reflects the standing down of council staff due to facility closures.</w:t>
      </w:r>
    </w:p>
    <w:p w14:paraId="1F711454" w14:textId="46D34F25" w:rsidR="000314C2" w:rsidRDefault="000314C2" w:rsidP="000314C2">
      <w:pPr>
        <w:pStyle w:val="Caption"/>
        <w:spacing w:after="60"/>
        <w:rPr>
          <w:b/>
          <w:bCs/>
          <w:i w:val="0"/>
          <w:iCs w:val="0"/>
        </w:rPr>
      </w:pPr>
      <w:r w:rsidRPr="005B6B08">
        <w:rPr>
          <w:b/>
          <w:bCs/>
          <w:i w:val="0"/>
          <w:iCs w:val="0"/>
        </w:rPr>
        <w:t>Figure</w:t>
      </w:r>
      <w:r>
        <w:rPr>
          <w:b/>
          <w:bCs/>
          <w:i w:val="0"/>
          <w:iCs w:val="0"/>
        </w:rPr>
        <w:t xml:space="preserve"> 26</w:t>
      </w:r>
      <w:r w:rsidRPr="005B6B08">
        <w:rPr>
          <w:b/>
          <w:bCs/>
          <w:i w:val="0"/>
          <w:iCs w:val="0"/>
        </w:rPr>
        <w:t xml:space="preserve"> </w:t>
      </w:r>
      <w:r>
        <w:rPr>
          <w:b/>
          <w:bCs/>
          <w:i w:val="0"/>
          <w:iCs w:val="0"/>
        </w:rPr>
        <w:t>Budgeted employee costs 2016-17 to 2020-21</w:t>
      </w:r>
    </w:p>
    <w:p w14:paraId="33900B18" w14:textId="20BFC618" w:rsidR="008F7D9E" w:rsidRPr="008F7D9E" w:rsidRDefault="008F7D9E" w:rsidP="008F7D9E">
      <w:r>
        <w:rPr>
          <w:noProof/>
        </w:rPr>
        <w:drawing>
          <wp:inline distT="0" distB="0" distL="0" distR="0" wp14:anchorId="781F40B6" wp14:editId="48D2F15F">
            <wp:extent cx="5760085" cy="2270125"/>
            <wp:effectExtent l="0" t="0" r="12065" b="15875"/>
            <wp:docPr id="58" name="Chart 58">
              <a:extLst xmlns:a="http://schemas.openxmlformats.org/drawingml/2006/main">
                <a:ext uri="{FF2B5EF4-FFF2-40B4-BE49-F238E27FC236}">
                  <a16:creationId xmlns:a16="http://schemas.microsoft.com/office/drawing/2014/main" id="{56A733E9-16F1-4C47-8851-5DFE738EF1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FA1EE75" w14:textId="2F4D0E03" w:rsidR="000314C2" w:rsidRPr="00AE1E91" w:rsidRDefault="000314C2" w:rsidP="000314C2">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w:t>
      </w:r>
      <w:r w:rsidRPr="00836333">
        <w:rPr>
          <w:sz w:val="16"/>
          <w:szCs w:val="16"/>
        </w:rPr>
        <w:t xml:space="preserve"> budgets</w:t>
      </w:r>
    </w:p>
    <w:p w14:paraId="1245D9B2" w14:textId="045180AC" w:rsidR="000314C2" w:rsidRPr="00CC7CE7" w:rsidRDefault="000314C2" w:rsidP="000314C2">
      <w:pPr>
        <w:rPr>
          <w:szCs w:val="18"/>
        </w:rPr>
      </w:pPr>
      <w:r w:rsidRPr="00CC7CE7">
        <w:rPr>
          <w:szCs w:val="18"/>
        </w:rPr>
        <w:t xml:space="preserve">The rate of growth in employee costs is shown in </w:t>
      </w:r>
      <w:r w:rsidRPr="00CC7CE7">
        <w:rPr>
          <w:b/>
          <w:bCs/>
          <w:szCs w:val="18"/>
        </w:rPr>
        <w:t>Figure 27</w:t>
      </w:r>
      <w:r w:rsidRPr="00CC7CE7">
        <w:rPr>
          <w:szCs w:val="18"/>
        </w:rPr>
        <w:t>. Having grown at over 4 per cent each year since 2016-17 the rate of growth has slowed</w:t>
      </w:r>
      <w:r w:rsidR="002B1E29">
        <w:rPr>
          <w:szCs w:val="18"/>
        </w:rPr>
        <w:t xml:space="preserve"> slightly</w:t>
      </w:r>
      <w:r w:rsidRPr="00CC7CE7">
        <w:rPr>
          <w:szCs w:val="18"/>
        </w:rPr>
        <w:t xml:space="preserve"> to </w:t>
      </w:r>
      <w:r w:rsidR="002B1E29">
        <w:rPr>
          <w:szCs w:val="18"/>
        </w:rPr>
        <w:t>4.01</w:t>
      </w:r>
      <w:r w:rsidRPr="00CC7CE7">
        <w:rPr>
          <w:szCs w:val="18"/>
        </w:rPr>
        <w:t xml:space="preserve"> per cent in 2020-21. </w:t>
      </w:r>
    </w:p>
    <w:p w14:paraId="1CBD3751" w14:textId="43D50A5A" w:rsidR="000314C2" w:rsidRDefault="000314C2" w:rsidP="000314C2">
      <w:pPr>
        <w:pStyle w:val="Caption"/>
        <w:spacing w:after="60"/>
        <w:rPr>
          <w:b/>
          <w:bCs/>
          <w:i w:val="0"/>
          <w:iCs w:val="0"/>
        </w:rPr>
      </w:pPr>
      <w:r w:rsidRPr="005B6B08">
        <w:rPr>
          <w:b/>
          <w:bCs/>
          <w:i w:val="0"/>
          <w:iCs w:val="0"/>
        </w:rPr>
        <w:t>Figure</w:t>
      </w:r>
      <w:r>
        <w:rPr>
          <w:b/>
          <w:bCs/>
          <w:i w:val="0"/>
          <w:iCs w:val="0"/>
        </w:rPr>
        <w:t xml:space="preserve"> 27</w:t>
      </w:r>
      <w:r w:rsidRPr="005B6B08">
        <w:rPr>
          <w:b/>
          <w:bCs/>
          <w:i w:val="0"/>
          <w:iCs w:val="0"/>
        </w:rPr>
        <w:t xml:space="preserve"> </w:t>
      </w:r>
      <w:r>
        <w:rPr>
          <w:b/>
          <w:bCs/>
          <w:i w:val="0"/>
          <w:iCs w:val="0"/>
        </w:rPr>
        <w:t>Percentage change in employee costs 2016-17 to 2020-21</w:t>
      </w:r>
    </w:p>
    <w:p w14:paraId="5EFAE6DA" w14:textId="38A2A142" w:rsidR="004321EE" w:rsidRPr="004321EE" w:rsidRDefault="004321EE" w:rsidP="004321EE">
      <w:r>
        <w:rPr>
          <w:noProof/>
        </w:rPr>
        <w:drawing>
          <wp:inline distT="0" distB="0" distL="0" distR="0" wp14:anchorId="52112250" wp14:editId="1C5F09F2">
            <wp:extent cx="5724525" cy="2057400"/>
            <wp:effectExtent l="0" t="0" r="9525" b="0"/>
            <wp:docPr id="59" name="Chart 59">
              <a:extLst xmlns:a="http://schemas.openxmlformats.org/drawingml/2006/main">
                <a:ext uri="{FF2B5EF4-FFF2-40B4-BE49-F238E27FC236}">
                  <a16:creationId xmlns:a16="http://schemas.microsoft.com/office/drawing/2014/main" id="{358B331A-0139-4FC2-AEE0-573138D2CF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E74D8F7" w14:textId="4528A741" w:rsidR="000314C2" w:rsidRPr="00AE1E91" w:rsidRDefault="000314C2" w:rsidP="000314C2">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13B47B30" w14:textId="77777777" w:rsidR="000314C2" w:rsidRPr="008E3CFE" w:rsidRDefault="000314C2" w:rsidP="000314C2">
      <w:pPr>
        <w:pStyle w:val="BodyText"/>
        <w:spacing w:after="0" w:line="240" w:lineRule="auto"/>
        <w:rPr>
          <w:b/>
          <w:bCs/>
        </w:rPr>
      </w:pPr>
    </w:p>
    <w:p w14:paraId="0DE692DE" w14:textId="77777777" w:rsidR="000314C2" w:rsidRDefault="000314C2" w:rsidP="000314C2">
      <w:pPr>
        <w:pStyle w:val="BodyText"/>
      </w:pPr>
      <w:r>
        <w:br w:type="page"/>
      </w:r>
    </w:p>
    <w:p w14:paraId="619D0B7D" w14:textId="77777777" w:rsidR="000314C2" w:rsidRDefault="000314C2" w:rsidP="000314C2">
      <w:pPr>
        <w:pStyle w:val="Heading2"/>
      </w:pPr>
      <w:bookmarkStart w:id="33" w:name="_Toc48848016"/>
      <w:bookmarkStart w:id="34" w:name="_Toc75534491"/>
      <w:r>
        <w:lastRenderedPageBreak/>
        <w:t>Materials and services</w:t>
      </w:r>
      <w:bookmarkEnd w:id="33"/>
      <w:bookmarkEnd w:id="34"/>
    </w:p>
    <w:p w14:paraId="60CEA721" w14:textId="388C38F3" w:rsidR="000314C2" w:rsidRPr="00CC7CE7" w:rsidRDefault="000314C2" w:rsidP="000314C2">
      <w:pPr>
        <w:rPr>
          <w:szCs w:val="18"/>
        </w:rPr>
      </w:pPr>
      <w:r w:rsidRPr="00CC7CE7">
        <w:rPr>
          <w:szCs w:val="18"/>
        </w:rPr>
        <w:t xml:space="preserve">Materials and services expenditure commonly include items such as contract payments (for example for waste management, open space services, city works, general maintenance and building maintenance) as well as a variety of other expenditure including motor vehicle costs, insurance, utilities, office administration and rental costs. </w:t>
      </w:r>
      <w:r w:rsidRPr="00CC7CE7">
        <w:rPr>
          <w:b/>
          <w:bCs/>
          <w:szCs w:val="18"/>
        </w:rPr>
        <w:t>Figure 28</w:t>
      </w:r>
      <w:r w:rsidRPr="00CC7CE7">
        <w:rPr>
          <w:szCs w:val="18"/>
        </w:rPr>
        <w:t xml:space="preserve"> shows materials and services are budgeted to rise to $3.5</w:t>
      </w:r>
      <w:r w:rsidR="003B4EE5">
        <w:rPr>
          <w:szCs w:val="18"/>
        </w:rPr>
        <w:t>29</w:t>
      </w:r>
      <w:r w:rsidRPr="00CC7CE7">
        <w:rPr>
          <w:szCs w:val="18"/>
        </w:rPr>
        <w:t xml:space="preserve"> billion in 2020-21, an increase of $2</w:t>
      </w:r>
      <w:r w:rsidR="003B4EE5">
        <w:rPr>
          <w:szCs w:val="18"/>
        </w:rPr>
        <w:t xml:space="preserve">40 </w:t>
      </w:r>
      <w:r w:rsidRPr="00CC7CE7">
        <w:rPr>
          <w:szCs w:val="18"/>
        </w:rPr>
        <w:t xml:space="preserve">million on 2019-20. </w:t>
      </w:r>
    </w:p>
    <w:p w14:paraId="72EE8C54" w14:textId="1E6FA5E9" w:rsidR="000314C2" w:rsidRDefault="000314C2" w:rsidP="000314C2">
      <w:pPr>
        <w:pStyle w:val="Caption"/>
        <w:spacing w:after="60"/>
        <w:rPr>
          <w:b/>
          <w:bCs/>
          <w:i w:val="0"/>
          <w:iCs w:val="0"/>
        </w:rPr>
      </w:pPr>
      <w:r w:rsidRPr="005B6B08">
        <w:rPr>
          <w:b/>
          <w:bCs/>
          <w:i w:val="0"/>
          <w:iCs w:val="0"/>
        </w:rPr>
        <w:t>Figure</w:t>
      </w:r>
      <w:r>
        <w:rPr>
          <w:b/>
          <w:bCs/>
          <w:i w:val="0"/>
          <w:iCs w:val="0"/>
        </w:rPr>
        <w:t xml:space="preserve"> 28</w:t>
      </w:r>
      <w:r w:rsidRPr="005B6B08">
        <w:rPr>
          <w:b/>
          <w:bCs/>
          <w:i w:val="0"/>
          <w:iCs w:val="0"/>
        </w:rPr>
        <w:t xml:space="preserve"> </w:t>
      </w:r>
      <w:r>
        <w:rPr>
          <w:b/>
          <w:bCs/>
          <w:i w:val="0"/>
          <w:iCs w:val="0"/>
        </w:rPr>
        <w:t>Budgeted materials and services expenses 2016-17 to 2020-21</w:t>
      </w:r>
    </w:p>
    <w:p w14:paraId="3C3C8BC0" w14:textId="089C27EC" w:rsidR="00390D74" w:rsidRPr="00390D74" w:rsidRDefault="00390D74" w:rsidP="00390D74">
      <w:r>
        <w:rPr>
          <w:noProof/>
        </w:rPr>
        <w:drawing>
          <wp:inline distT="0" distB="0" distL="0" distR="0" wp14:anchorId="69B4426D" wp14:editId="305A3589">
            <wp:extent cx="5591175" cy="2686050"/>
            <wp:effectExtent l="0" t="0" r="9525" b="0"/>
            <wp:docPr id="60" name="Chart 60">
              <a:extLst xmlns:a="http://schemas.openxmlformats.org/drawingml/2006/main">
                <a:ext uri="{FF2B5EF4-FFF2-40B4-BE49-F238E27FC236}">
                  <a16:creationId xmlns:a16="http://schemas.microsoft.com/office/drawing/2014/main" id="{9FDFF801-1372-4137-AF7A-8E9CF16BD9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DE71407" w14:textId="53A3CF1A" w:rsidR="000314C2" w:rsidRPr="00AE1E91" w:rsidRDefault="000314C2" w:rsidP="000314C2">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74F7F7CD" w14:textId="7F090681" w:rsidR="000314C2" w:rsidRPr="00CC7CE7" w:rsidRDefault="000314C2" w:rsidP="000314C2">
      <w:pPr>
        <w:rPr>
          <w:szCs w:val="18"/>
        </w:rPr>
      </w:pPr>
      <w:r w:rsidRPr="00CC7CE7">
        <w:rPr>
          <w:szCs w:val="18"/>
        </w:rPr>
        <w:t xml:space="preserve">The rate of growth in materials and services expenditure is shown in </w:t>
      </w:r>
      <w:r w:rsidRPr="00CC7CE7">
        <w:rPr>
          <w:b/>
          <w:bCs/>
          <w:szCs w:val="18"/>
        </w:rPr>
        <w:t>Figure 29</w:t>
      </w:r>
      <w:r w:rsidRPr="00CC7CE7">
        <w:rPr>
          <w:szCs w:val="18"/>
        </w:rPr>
        <w:t xml:space="preserve">. Having grown at over 4.5 per cent each year since 2017-18 the rate of growth has continued to rise up to </w:t>
      </w:r>
      <w:r w:rsidR="00C635E2">
        <w:rPr>
          <w:szCs w:val="18"/>
        </w:rPr>
        <w:t>7</w:t>
      </w:r>
      <w:r w:rsidRPr="00CC7CE7">
        <w:rPr>
          <w:szCs w:val="18"/>
        </w:rPr>
        <w:t>.</w:t>
      </w:r>
      <w:r w:rsidR="00C635E2">
        <w:rPr>
          <w:szCs w:val="18"/>
        </w:rPr>
        <w:t>31</w:t>
      </w:r>
      <w:r w:rsidRPr="00CC7CE7">
        <w:rPr>
          <w:szCs w:val="18"/>
        </w:rPr>
        <w:t xml:space="preserve"> per cent in 2020-21</w:t>
      </w:r>
      <w:r w:rsidR="00AC7506">
        <w:rPr>
          <w:szCs w:val="18"/>
        </w:rPr>
        <w:t xml:space="preserve">. This </w:t>
      </w:r>
      <w:r w:rsidR="008A5E95">
        <w:rPr>
          <w:szCs w:val="18"/>
        </w:rPr>
        <w:t xml:space="preserve">largely </w:t>
      </w:r>
      <w:r w:rsidR="00AC7506">
        <w:rPr>
          <w:szCs w:val="18"/>
        </w:rPr>
        <w:t>reflects the</w:t>
      </w:r>
      <w:r w:rsidR="008A5E95">
        <w:rPr>
          <w:szCs w:val="18"/>
        </w:rPr>
        <w:t xml:space="preserve"> increased costs incurred by councils as a result of the pandemic</w:t>
      </w:r>
      <w:r w:rsidR="001028CD">
        <w:rPr>
          <w:szCs w:val="18"/>
        </w:rPr>
        <w:t>.</w:t>
      </w:r>
      <w:r w:rsidR="008A5E95">
        <w:rPr>
          <w:szCs w:val="18"/>
        </w:rPr>
        <w:t xml:space="preserve"> </w:t>
      </w:r>
      <w:r w:rsidR="00AC7506">
        <w:rPr>
          <w:szCs w:val="18"/>
        </w:rPr>
        <w:t xml:space="preserve"> </w:t>
      </w:r>
    </w:p>
    <w:p w14:paraId="67EA7A91" w14:textId="153BA886" w:rsidR="000314C2" w:rsidRDefault="000314C2" w:rsidP="000314C2">
      <w:pPr>
        <w:pStyle w:val="Caption"/>
        <w:spacing w:after="60"/>
        <w:rPr>
          <w:b/>
          <w:bCs/>
          <w:i w:val="0"/>
          <w:iCs w:val="0"/>
        </w:rPr>
      </w:pPr>
      <w:r w:rsidRPr="005B6B08">
        <w:rPr>
          <w:b/>
          <w:bCs/>
          <w:i w:val="0"/>
          <w:iCs w:val="0"/>
        </w:rPr>
        <w:t>Figure</w:t>
      </w:r>
      <w:r>
        <w:rPr>
          <w:b/>
          <w:bCs/>
          <w:i w:val="0"/>
          <w:iCs w:val="0"/>
        </w:rPr>
        <w:t xml:space="preserve"> 29</w:t>
      </w:r>
      <w:r w:rsidRPr="005B6B08">
        <w:rPr>
          <w:b/>
          <w:bCs/>
          <w:i w:val="0"/>
          <w:iCs w:val="0"/>
        </w:rPr>
        <w:t xml:space="preserve"> </w:t>
      </w:r>
      <w:r>
        <w:rPr>
          <w:b/>
          <w:bCs/>
          <w:i w:val="0"/>
          <w:iCs w:val="0"/>
        </w:rPr>
        <w:t>Percentage change in materials and services expenses 2016-17 to 2020-21</w:t>
      </w:r>
    </w:p>
    <w:p w14:paraId="2CBCD780" w14:textId="1180CB62" w:rsidR="002024DA" w:rsidRPr="002024DA" w:rsidRDefault="002024DA" w:rsidP="002024DA">
      <w:r>
        <w:rPr>
          <w:noProof/>
        </w:rPr>
        <w:drawing>
          <wp:inline distT="0" distB="0" distL="0" distR="0" wp14:anchorId="15071F88" wp14:editId="0FC48C35">
            <wp:extent cx="5717647" cy="2368550"/>
            <wp:effectExtent l="0" t="0" r="16510" b="12700"/>
            <wp:docPr id="61" name="Chart 61">
              <a:extLst xmlns:a="http://schemas.openxmlformats.org/drawingml/2006/main">
                <a:ext uri="{FF2B5EF4-FFF2-40B4-BE49-F238E27FC236}">
                  <a16:creationId xmlns:a16="http://schemas.microsoft.com/office/drawing/2014/main" id="{79361732-9CB8-4E0C-8607-744557F163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A1DCA09" w14:textId="4F79F2F5" w:rsidR="00305F89" w:rsidRDefault="000314C2" w:rsidP="00305F89">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07FC3825" w14:textId="77777777" w:rsidR="00305F89" w:rsidRDefault="00305F89">
      <w:pPr>
        <w:spacing w:before="0" w:line="276" w:lineRule="auto"/>
        <w:rPr>
          <w:rFonts w:asciiTheme="minorHAnsi" w:hAnsiTheme="minorHAnsi"/>
          <w:color w:val="000000" w:themeColor="text1"/>
          <w:sz w:val="16"/>
          <w:szCs w:val="16"/>
        </w:rPr>
      </w:pPr>
      <w:r>
        <w:rPr>
          <w:sz w:val="16"/>
          <w:szCs w:val="16"/>
        </w:rPr>
        <w:br w:type="page"/>
      </w:r>
    </w:p>
    <w:p w14:paraId="34811016" w14:textId="77777777" w:rsidR="000314C2" w:rsidRDefault="000314C2" w:rsidP="000314C2">
      <w:pPr>
        <w:pStyle w:val="Heading2"/>
      </w:pPr>
      <w:bookmarkStart w:id="35" w:name="_Toc48848017"/>
      <w:bookmarkStart w:id="36" w:name="_Toc75534492"/>
      <w:r>
        <w:lastRenderedPageBreak/>
        <w:t>Depreciation and amortisation</w:t>
      </w:r>
      <w:bookmarkEnd w:id="35"/>
      <w:bookmarkEnd w:id="36"/>
    </w:p>
    <w:p w14:paraId="5652FAED" w14:textId="77777777" w:rsidR="000314C2" w:rsidRPr="00CC7CE7" w:rsidRDefault="000314C2" w:rsidP="000314C2">
      <w:pPr>
        <w:rPr>
          <w:szCs w:val="18"/>
        </w:rPr>
      </w:pPr>
      <w:r w:rsidRPr="00CC7CE7">
        <w:rPr>
          <w:szCs w:val="18"/>
        </w:rPr>
        <w:t xml:space="preserve">Depreciation (and amortisation) is a significant expenditure item due to the asset intensive nature of the local government sector. Councils are responsible for effectively and efficiently maintaining and renewing their infrastructure, property, plant, and equipment to service their communities and meet public demand. Councils are responsible for managing total non-current assets valued in excess of $110 billion, out of which $62.57 billion represent depreciable assets. </w:t>
      </w:r>
      <w:r w:rsidRPr="00CC7CE7">
        <w:rPr>
          <w:b/>
          <w:bCs/>
          <w:szCs w:val="18"/>
        </w:rPr>
        <w:t>Figure 30</w:t>
      </w:r>
      <w:r w:rsidRPr="00CC7CE7">
        <w:rPr>
          <w:szCs w:val="18"/>
        </w:rPr>
        <w:t xml:space="preserve"> below indicates councils are budgeting in FY 2020-21 to maintain their non-current assets at similar levels to FY 2019-20, whereas in the past there has been a steady growth in the sector’s asset base.</w:t>
      </w:r>
    </w:p>
    <w:p w14:paraId="48713542" w14:textId="4845EFCF" w:rsidR="000314C2" w:rsidRDefault="000314C2" w:rsidP="000314C2">
      <w:pPr>
        <w:pStyle w:val="Caption"/>
        <w:spacing w:after="60"/>
        <w:rPr>
          <w:b/>
          <w:bCs/>
          <w:i w:val="0"/>
          <w:iCs w:val="0"/>
        </w:rPr>
      </w:pPr>
      <w:r w:rsidRPr="005B6B08">
        <w:rPr>
          <w:b/>
          <w:bCs/>
          <w:i w:val="0"/>
          <w:iCs w:val="0"/>
        </w:rPr>
        <w:t>Figure</w:t>
      </w:r>
      <w:r>
        <w:rPr>
          <w:b/>
          <w:bCs/>
          <w:i w:val="0"/>
          <w:iCs w:val="0"/>
        </w:rPr>
        <w:t xml:space="preserve"> 30</w:t>
      </w:r>
      <w:r w:rsidRPr="005B6B08">
        <w:rPr>
          <w:b/>
          <w:bCs/>
          <w:i w:val="0"/>
          <w:iCs w:val="0"/>
        </w:rPr>
        <w:t xml:space="preserve"> </w:t>
      </w:r>
      <w:r w:rsidR="00D6336C">
        <w:rPr>
          <w:b/>
          <w:bCs/>
          <w:i w:val="0"/>
          <w:iCs w:val="0"/>
        </w:rPr>
        <w:t>Value of n</w:t>
      </w:r>
      <w:r>
        <w:rPr>
          <w:b/>
          <w:bCs/>
          <w:i w:val="0"/>
          <w:iCs w:val="0"/>
        </w:rPr>
        <w:t>on-</w:t>
      </w:r>
      <w:r w:rsidR="00D6336C">
        <w:rPr>
          <w:b/>
          <w:bCs/>
          <w:i w:val="0"/>
          <w:iCs w:val="0"/>
        </w:rPr>
        <w:t>c</w:t>
      </w:r>
      <w:r>
        <w:rPr>
          <w:b/>
          <w:bCs/>
          <w:i w:val="0"/>
          <w:iCs w:val="0"/>
        </w:rPr>
        <w:t xml:space="preserve">urrent </w:t>
      </w:r>
      <w:r w:rsidR="00D6336C">
        <w:rPr>
          <w:b/>
          <w:bCs/>
          <w:i w:val="0"/>
          <w:iCs w:val="0"/>
        </w:rPr>
        <w:t>a</w:t>
      </w:r>
      <w:r>
        <w:rPr>
          <w:b/>
          <w:bCs/>
          <w:i w:val="0"/>
          <w:iCs w:val="0"/>
        </w:rPr>
        <w:t>ssets 2016-17 to 2020-21</w:t>
      </w:r>
    </w:p>
    <w:p w14:paraId="3E0DB21D" w14:textId="24A01216" w:rsidR="00686568" w:rsidRPr="00686568" w:rsidRDefault="00686568" w:rsidP="00686568">
      <w:r>
        <w:rPr>
          <w:noProof/>
        </w:rPr>
        <w:drawing>
          <wp:inline distT="0" distB="0" distL="0" distR="0" wp14:anchorId="2BE2A771" wp14:editId="02439304">
            <wp:extent cx="5715000" cy="2438400"/>
            <wp:effectExtent l="0" t="0" r="0" b="0"/>
            <wp:docPr id="62" name="Chart 62">
              <a:extLst xmlns:a="http://schemas.openxmlformats.org/drawingml/2006/main">
                <a:ext uri="{FF2B5EF4-FFF2-40B4-BE49-F238E27FC236}">
                  <a16:creationId xmlns:a16="http://schemas.microsoft.com/office/drawing/2014/main" id="{BE012C3D-CC90-4E08-9F47-EFDDDCCFC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50AEBE8C" w14:textId="6AF795BD" w:rsidR="000314C2" w:rsidRPr="00AE1E91" w:rsidRDefault="000314C2" w:rsidP="000314C2">
      <w:pPr>
        <w:pStyle w:val="BodyText"/>
        <w:spacing w:before="0" w:after="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5AD0E9AF" w14:textId="77777777" w:rsidR="000314C2" w:rsidRDefault="000314C2" w:rsidP="000314C2">
      <w:pPr>
        <w:spacing w:after="0"/>
        <w:rPr>
          <w:sz w:val="20"/>
        </w:rPr>
      </w:pPr>
    </w:p>
    <w:p w14:paraId="1BA1BCD6" w14:textId="77777777" w:rsidR="000314C2" w:rsidRPr="00CC7CE7" w:rsidRDefault="000314C2" w:rsidP="000314C2">
      <w:pPr>
        <w:rPr>
          <w:szCs w:val="18"/>
        </w:rPr>
      </w:pPr>
      <w:r w:rsidRPr="00CC7CE7">
        <w:rPr>
          <w:szCs w:val="18"/>
        </w:rPr>
        <w:t xml:space="preserve">Due to changes to accounting requirements under Australian Accounting Standard </w:t>
      </w:r>
      <w:r w:rsidRPr="00CC7CE7">
        <w:rPr>
          <w:b/>
          <w:bCs/>
          <w:szCs w:val="18"/>
        </w:rPr>
        <w:t>AASB 16: Leases</w:t>
      </w:r>
      <w:r w:rsidRPr="00CC7CE7">
        <w:rPr>
          <w:szCs w:val="18"/>
        </w:rPr>
        <w:t xml:space="preserve"> from 1 July 2019 councils are expected to incur increased depreciation and amortisation expenses in future. This is due to the recognition and amortisation of right of use assets, representing an entity’s right to use a leased asset. This change effectively results in the reclassification of former 'operating leases' as ‘finance leases’ (resulting in the recording of both a lease asset and a lease liability on the balance sheet that were not previously recognised).</w:t>
      </w:r>
    </w:p>
    <w:p w14:paraId="26D6248D" w14:textId="4962FC1E" w:rsidR="000314C2" w:rsidRPr="00CC7CE7" w:rsidRDefault="000314C2" w:rsidP="000314C2">
      <w:pPr>
        <w:rPr>
          <w:szCs w:val="18"/>
        </w:rPr>
      </w:pPr>
      <w:r w:rsidRPr="00CC7CE7">
        <w:rPr>
          <w:b/>
          <w:bCs/>
          <w:szCs w:val="18"/>
        </w:rPr>
        <w:t>Figure 31</w:t>
      </w:r>
      <w:r w:rsidRPr="00CC7CE7">
        <w:rPr>
          <w:szCs w:val="18"/>
        </w:rPr>
        <w:t xml:space="preserve"> shows depreciation and amortisation expenditure is budgeted to rise to $1.7</w:t>
      </w:r>
      <w:r w:rsidR="00647B7F">
        <w:rPr>
          <w:szCs w:val="18"/>
        </w:rPr>
        <w:t>3</w:t>
      </w:r>
      <w:r w:rsidRPr="00CC7CE7">
        <w:rPr>
          <w:szCs w:val="18"/>
        </w:rPr>
        <w:t xml:space="preserve"> billion</w:t>
      </w:r>
      <w:r w:rsidR="00CB2E4E">
        <w:rPr>
          <w:szCs w:val="18"/>
        </w:rPr>
        <w:t xml:space="preserve"> in FY 2020-21</w:t>
      </w:r>
      <w:r w:rsidRPr="00CC7CE7">
        <w:rPr>
          <w:szCs w:val="18"/>
        </w:rPr>
        <w:t>, an increase of $</w:t>
      </w:r>
      <w:r w:rsidR="00CC2E1F">
        <w:rPr>
          <w:szCs w:val="18"/>
        </w:rPr>
        <w:t>128.9</w:t>
      </w:r>
      <w:r w:rsidRPr="00CC7CE7">
        <w:rPr>
          <w:szCs w:val="18"/>
        </w:rPr>
        <w:t xml:space="preserve"> million</w:t>
      </w:r>
      <w:r w:rsidR="00CC2E1F">
        <w:rPr>
          <w:szCs w:val="18"/>
        </w:rPr>
        <w:t xml:space="preserve"> or </w:t>
      </w:r>
      <w:r w:rsidR="00592D4F">
        <w:rPr>
          <w:szCs w:val="18"/>
        </w:rPr>
        <w:t>8</w:t>
      </w:r>
      <w:r w:rsidR="006A36B1">
        <w:rPr>
          <w:szCs w:val="18"/>
        </w:rPr>
        <w:t>.1%</w:t>
      </w:r>
      <w:r w:rsidRPr="00CC7CE7">
        <w:rPr>
          <w:szCs w:val="18"/>
        </w:rPr>
        <w:t xml:space="preserve"> on the 2019-20 adopted budget. </w:t>
      </w:r>
    </w:p>
    <w:p w14:paraId="004501A7" w14:textId="67A241FE" w:rsidR="000314C2" w:rsidRDefault="000314C2" w:rsidP="000314C2">
      <w:pPr>
        <w:pStyle w:val="Caption"/>
        <w:spacing w:after="60"/>
        <w:rPr>
          <w:b/>
          <w:bCs/>
          <w:i w:val="0"/>
          <w:iCs w:val="0"/>
        </w:rPr>
      </w:pPr>
      <w:r w:rsidRPr="005B6B08">
        <w:rPr>
          <w:b/>
          <w:bCs/>
          <w:i w:val="0"/>
          <w:iCs w:val="0"/>
        </w:rPr>
        <w:t>Figure</w:t>
      </w:r>
      <w:r>
        <w:rPr>
          <w:b/>
          <w:bCs/>
          <w:i w:val="0"/>
          <w:iCs w:val="0"/>
        </w:rPr>
        <w:t xml:space="preserve"> 31</w:t>
      </w:r>
      <w:r w:rsidRPr="005B6B08">
        <w:rPr>
          <w:b/>
          <w:bCs/>
          <w:i w:val="0"/>
          <w:iCs w:val="0"/>
        </w:rPr>
        <w:t xml:space="preserve"> </w:t>
      </w:r>
      <w:r>
        <w:rPr>
          <w:b/>
          <w:bCs/>
          <w:i w:val="0"/>
          <w:iCs w:val="0"/>
        </w:rPr>
        <w:t>Depreciation and amortisation 2016-17 to 2020-21</w:t>
      </w:r>
    </w:p>
    <w:p w14:paraId="56CAA861" w14:textId="5822CE89" w:rsidR="00576315" w:rsidRPr="00576315" w:rsidRDefault="00576315" w:rsidP="00576315">
      <w:r>
        <w:rPr>
          <w:noProof/>
        </w:rPr>
        <w:drawing>
          <wp:inline distT="0" distB="0" distL="0" distR="0" wp14:anchorId="4A5A3DAD" wp14:editId="7D08E99A">
            <wp:extent cx="5695950" cy="2353945"/>
            <wp:effectExtent l="0" t="0" r="0" b="8255"/>
            <wp:docPr id="6" name="Chart 6">
              <a:extLst xmlns:a="http://schemas.openxmlformats.org/drawingml/2006/main">
                <a:ext uri="{FF2B5EF4-FFF2-40B4-BE49-F238E27FC236}">
                  <a16:creationId xmlns:a16="http://schemas.microsoft.com/office/drawing/2014/main" id="{F8462520-8487-455A-BF69-63A7439009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79E02602" w14:textId="55E7AE62" w:rsidR="000314C2" w:rsidRPr="00AE1E91" w:rsidRDefault="000314C2" w:rsidP="000314C2">
      <w:pPr>
        <w:pStyle w:val="BodyText"/>
        <w:spacing w:before="0" w:after="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w:t>
      </w:r>
      <w:r w:rsidRPr="00836333">
        <w:rPr>
          <w:sz w:val="16"/>
          <w:szCs w:val="16"/>
        </w:rPr>
        <w:t xml:space="preserve"> budgets</w:t>
      </w:r>
    </w:p>
    <w:p w14:paraId="271F0101" w14:textId="77777777" w:rsidR="000314C2" w:rsidRDefault="000314C2" w:rsidP="000314C2">
      <w:pPr>
        <w:pStyle w:val="BodyText"/>
      </w:pPr>
    </w:p>
    <w:p w14:paraId="6B765AF4" w14:textId="77777777" w:rsidR="000314C2" w:rsidRDefault="000314C2" w:rsidP="000314C2">
      <w:pPr>
        <w:pStyle w:val="BodyText"/>
      </w:pPr>
    </w:p>
    <w:p w14:paraId="368C2971" w14:textId="77777777" w:rsidR="000314C2" w:rsidRDefault="000314C2" w:rsidP="000314C2">
      <w:pPr>
        <w:pStyle w:val="Heading2"/>
      </w:pPr>
      <w:bookmarkStart w:id="37" w:name="_Toc48848018"/>
      <w:bookmarkStart w:id="38" w:name="_Toc75534493"/>
      <w:r>
        <w:lastRenderedPageBreak/>
        <w:t>Bad and doubtful debts</w:t>
      </w:r>
      <w:bookmarkEnd w:id="37"/>
      <w:bookmarkEnd w:id="38"/>
    </w:p>
    <w:p w14:paraId="3A1EB5FC" w14:textId="1E49D131" w:rsidR="000314C2" w:rsidRPr="00CC7CE7" w:rsidRDefault="000314C2" w:rsidP="000314C2">
      <w:pPr>
        <w:pStyle w:val="BodyText"/>
        <w:rPr>
          <w:sz w:val="18"/>
          <w:szCs w:val="18"/>
        </w:rPr>
      </w:pPr>
      <w:r w:rsidRPr="00CC7CE7">
        <w:rPr>
          <w:b/>
          <w:bCs/>
          <w:sz w:val="18"/>
          <w:szCs w:val="18"/>
        </w:rPr>
        <w:t>Figure 32</w:t>
      </w:r>
      <w:r w:rsidRPr="00CC7CE7">
        <w:rPr>
          <w:sz w:val="18"/>
          <w:szCs w:val="18"/>
        </w:rPr>
        <w:t xml:space="preserve"> shows bad and doubtful debts expenditure is budgeted to be $3</w:t>
      </w:r>
      <w:r w:rsidR="00936EF9">
        <w:rPr>
          <w:sz w:val="18"/>
          <w:szCs w:val="18"/>
        </w:rPr>
        <w:t>3</w:t>
      </w:r>
      <w:r w:rsidRPr="00CC7CE7">
        <w:rPr>
          <w:sz w:val="18"/>
          <w:szCs w:val="18"/>
        </w:rPr>
        <w:t>.</w:t>
      </w:r>
      <w:r w:rsidR="00936EF9">
        <w:rPr>
          <w:sz w:val="18"/>
          <w:szCs w:val="18"/>
        </w:rPr>
        <w:t>8</w:t>
      </w:r>
      <w:r w:rsidRPr="00CC7CE7">
        <w:rPr>
          <w:sz w:val="18"/>
          <w:szCs w:val="18"/>
        </w:rPr>
        <w:t xml:space="preserve"> million in 2020-21, an increase of $</w:t>
      </w:r>
      <w:r w:rsidR="00C20974">
        <w:rPr>
          <w:sz w:val="18"/>
          <w:szCs w:val="18"/>
        </w:rPr>
        <w:t>2</w:t>
      </w:r>
      <w:r w:rsidRPr="00CC7CE7">
        <w:rPr>
          <w:sz w:val="18"/>
          <w:szCs w:val="18"/>
        </w:rPr>
        <w:t>.</w:t>
      </w:r>
      <w:r w:rsidR="00C20974">
        <w:rPr>
          <w:sz w:val="18"/>
          <w:szCs w:val="18"/>
        </w:rPr>
        <w:t>6</w:t>
      </w:r>
      <w:r w:rsidRPr="00CC7CE7">
        <w:rPr>
          <w:sz w:val="18"/>
          <w:szCs w:val="18"/>
        </w:rPr>
        <w:t xml:space="preserve"> million or </w:t>
      </w:r>
      <w:r w:rsidR="00C20974">
        <w:rPr>
          <w:sz w:val="18"/>
          <w:szCs w:val="18"/>
        </w:rPr>
        <w:t>8</w:t>
      </w:r>
      <w:r w:rsidRPr="00CC7CE7">
        <w:rPr>
          <w:sz w:val="18"/>
          <w:szCs w:val="18"/>
        </w:rPr>
        <w:t>.</w:t>
      </w:r>
      <w:r w:rsidR="003D14FD">
        <w:rPr>
          <w:sz w:val="18"/>
          <w:szCs w:val="18"/>
        </w:rPr>
        <w:t>3</w:t>
      </w:r>
      <w:r w:rsidRPr="00CC7CE7">
        <w:rPr>
          <w:sz w:val="18"/>
          <w:szCs w:val="18"/>
        </w:rPr>
        <w:t xml:space="preserve"> per cent on 2019-20. The forecast actual expenditure for 2019-20 is $40.8 million which is 30.</w:t>
      </w:r>
      <w:r w:rsidR="00F905D5">
        <w:rPr>
          <w:sz w:val="18"/>
          <w:szCs w:val="18"/>
        </w:rPr>
        <w:t>8</w:t>
      </w:r>
      <w:r w:rsidRPr="00CC7CE7">
        <w:rPr>
          <w:sz w:val="18"/>
          <w:szCs w:val="18"/>
        </w:rPr>
        <w:t xml:space="preserve"> per cent greater than originally budgeted. While in absolute dollar terms these costs are not a large proportion of total council expenditure they nevertheless provide a good indication of the general economic conditions facing local government in Victoria. As Australia enters its first recession in 29 years councils must continue to monitor and manage the level of their rates debtors and bad debts to ensure their finances remain robust.</w:t>
      </w:r>
    </w:p>
    <w:p w14:paraId="47384788" w14:textId="77777777" w:rsidR="000314C2" w:rsidRDefault="000314C2" w:rsidP="000314C2">
      <w:pPr>
        <w:pStyle w:val="BodyText"/>
      </w:pPr>
    </w:p>
    <w:p w14:paraId="551D1515" w14:textId="32D19B48" w:rsidR="000314C2" w:rsidRDefault="000314C2" w:rsidP="000314C2">
      <w:pPr>
        <w:pStyle w:val="Caption"/>
        <w:spacing w:after="60"/>
        <w:rPr>
          <w:b/>
          <w:bCs/>
          <w:i w:val="0"/>
          <w:iCs w:val="0"/>
        </w:rPr>
      </w:pPr>
      <w:r w:rsidRPr="005B6B08">
        <w:rPr>
          <w:b/>
          <w:bCs/>
          <w:i w:val="0"/>
          <w:iCs w:val="0"/>
        </w:rPr>
        <w:t>Figure</w:t>
      </w:r>
      <w:r>
        <w:rPr>
          <w:b/>
          <w:bCs/>
          <w:i w:val="0"/>
          <w:iCs w:val="0"/>
        </w:rPr>
        <w:t xml:space="preserve"> 32 Budgeted bad and doubtful debts 2016-17 to 2020-21</w:t>
      </w:r>
    </w:p>
    <w:p w14:paraId="5E9901B8" w14:textId="43720AC6" w:rsidR="007E4BC4" w:rsidRPr="007E4BC4" w:rsidRDefault="007E4BC4" w:rsidP="007E4BC4">
      <w:r>
        <w:rPr>
          <w:noProof/>
        </w:rPr>
        <w:drawing>
          <wp:inline distT="0" distB="0" distL="0" distR="0" wp14:anchorId="09142EE4" wp14:editId="40809C06">
            <wp:extent cx="5495925" cy="2548890"/>
            <wp:effectExtent l="0" t="0" r="9525" b="3810"/>
            <wp:docPr id="96" name="Chart 96">
              <a:extLst xmlns:a="http://schemas.openxmlformats.org/drawingml/2006/main">
                <a:ext uri="{FF2B5EF4-FFF2-40B4-BE49-F238E27FC236}">
                  <a16:creationId xmlns:a16="http://schemas.microsoft.com/office/drawing/2014/main" id="{527C0F1A-A4B8-49C1-B2FF-CC2158C6D7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5B1DDB1" w14:textId="4A89E540" w:rsidR="000314C2" w:rsidRDefault="000314C2" w:rsidP="000314C2">
      <w:pPr>
        <w:pStyle w:val="BodyText"/>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53929AFA" w14:textId="77777777" w:rsidR="000314C2" w:rsidRDefault="000314C2" w:rsidP="000314C2">
      <w:pPr>
        <w:pStyle w:val="BodyText"/>
      </w:pPr>
    </w:p>
    <w:p w14:paraId="3A505431" w14:textId="77777777" w:rsidR="000314C2" w:rsidRDefault="000314C2" w:rsidP="000314C2">
      <w:pPr>
        <w:rPr>
          <w:color w:val="000000" w:themeColor="text1"/>
          <w:sz w:val="20"/>
        </w:rPr>
      </w:pPr>
      <w:r>
        <w:br w:type="page"/>
      </w:r>
    </w:p>
    <w:p w14:paraId="10E567E9" w14:textId="77777777" w:rsidR="00CC7CE7" w:rsidRDefault="00CC7CE7" w:rsidP="00CC7CE7">
      <w:pPr>
        <w:pStyle w:val="Heading1"/>
      </w:pPr>
      <w:bookmarkStart w:id="39" w:name="_Toc48848019"/>
      <w:bookmarkStart w:id="40" w:name="_Toc75534494"/>
      <w:r>
        <w:lastRenderedPageBreak/>
        <w:t>Overall Performance and Result</w:t>
      </w:r>
      <w:bookmarkEnd w:id="39"/>
      <w:bookmarkEnd w:id="40"/>
    </w:p>
    <w:p w14:paraId="4BD022BF" w14:textId="77777777" w:rsidR="00CC7CE7" w:rsidRPr="00DA42D1" w:rsidRDefault="00CC7CE7" w:rsidP="00CC7CE7">
      <w:pPr>
        <w:pStyle w:val="Heading2"/>
      </w:pPr>
      <w:bookmarkStart w:id="41" w:name="_Toc48848020"/>
      <w:bookmarkStart w:id="42" w:name="_Toc75534495"/>
      <w:r w:rsidRPr="00DA42D1">
        <w:t>Accounting operating result</w:t>
      </w:r>
      <w:r>
        <w:t>s</w:t>
      </w:r>
      <w:bookmarkEnd w:id="41"/>
      <w:bookmarkEnd w:id="42"/>
    </w:p>
    <w:p w14:paraId="0AD1CFB5" w14:textId="77777777" w:rsidR="00CC7CE7" w:rsidRPr="00CC7CE7" w:rsidRDefault="00CC7CE7" w:rsidP="00CC7CE7">
      <w:pPr>
        <w:rPr>
          <w:szCs w:val="18"/>
        </w:rPr>
      </w:pPr>
      <w:r w:rsidRPr="00CC7CE7">
        <w:rPr>
          <w:szCs w:val="18"/>
        </w:rPr>
        <w:t xml:space="preserve">The planned financial performance of Victorian councils is publicly reported in the financial statements included within the annual budget. These financial statements are prepared in accordance with the Australian Accounting Standards (AAS). The Comprehensive Income Statement reports the net amount of budgeted revenues and operating expenses, known as the accounting operating result. When revenues exceed operating expenses the council is budgeting an accounting operating surplus. When operating expenses exceed revenues the council is budgeting an accounting operating deficit.  </w:t>
      </w:r>
    </w:p>
    <w:p w14:paraId="2E1A0FD2" w14:textId="272CAFF4" w:rsidR="00CC7CE7" w:rsidRPr="00CC7CE7" w:rsidRDefault="00CC7CE7" w:rsidP="00CC7CE7">
      <w:pPr>
        <w:rPr>
          <w:szCs w:val="18"/>
        </w:rPr>
      </w:pPr>
      <w:r w:rsidRPr="00CC7CE7">
        <w:rPr>
          <w:szCs w:val="18"/>
        </w:rPr>
        <w:t>Collectively, Victorian councils are budgeting to generate an accounting operating surplus of $1.</w:t>
      </w:r>
      <w:r w:rsidR="00C44C95">
        <w:rPr>
          <w:szCs w:val="18"/>
        </w:rPr>
        <w:t>38</w:t>
      </w:r>
      <w:r w:rsidRPr="00CC7CE7">
        <w:rPr>
          <w:szCs w:val="18"/>
        </w:rPr>
        <w:t xml:space="preserve"> billion in 2020-21. The forecast actual accounting operating surplus in FY 2019-20 is estimated to be $1.6 billion, while the accounting operating surplus in the adopted budgets for 2019-20 was $1.7 billion. Cumulatively, all cohorts are generating accounting operating surpluses according to the </w:t>
      </w:r>
      <w:r w:rsidR="00EA1BDF">
        <w:rPr>
          <w:szCs w:val="18"/>
        </w:rPr>
        <w:t>adopted</w:t>
      </w:r>
      <w:r w:rsidRPr="00CC7CE7">
        <w:rPr>
          <w:szCs w:val="18"/>
        </w:rPr>
        <w:t xml:space="preserve"> budgets for FY 2020-21. </w:t>
      </w:r>
    </w:p>
    <w:p w14:paraId="38DDC68D" w14:textId="468D2216" w:rsidR="00CC7CE7" w:rsidRPr="00CC7CE7" w:rsidRDefault="00CC7CE7" w:rsidP="00CC7CE7">
      <w:pPr>
        <w:rPr>
          <w:szCs w:val="18"/>
        </w:rPr>
      </w:pPr>
      <w:r w:rsidRPr="00CC7CE7">
        <w:rPr>
          <w:szCs w:val="18"/>
        </w:rPr>
        <w:t>However, some items included in council accounting operating revenue do not represent cash or are not considered recurrent in nature. Gifted assets (developer contributions)</w:t>
      </w:r>
      <w:r w:rsidRPr="00CC7CE7">
        <w:rPr>
          <w:rStyle w:val="FootnoteReference"/>
          <w:szCs w:val="18"/>
        </w:rPr>
        <w:footnoteReference w:id="9"/>
      </w:r>
      <w:r w:rsidRPr="00CC7CE7">
        <w:rPr>
          <w:szCs w:val="18"/>
        </w:rPr>
        <w:t xml:space="preserve"> and non-recurrent capital grants</w:t>
      </w:r>
      <w:r w:rsidRPr="00CC7CE7">
        <w:rPr>
          <w:rStyle w:val="FootnoteReference"/>
          <w:szCs w:val="18"/>
        </w:rPr>
        <w:footnoteReference w:id="10"/>
      </w:r>
      <w:r w:rsidRPr="00CC7CE7">
        <w:rPr>
          <w:szCs w:val="18"/>
        </w:rPr>
        <w:t xml:space="preserve"> are examples. </w:t>
      </w:r>
      <w:r w:rsidRPr="00CC7CE7">
        <w:rPr>
          <w:b/>
          <w:bCs/>
          <w:szCs w:val="18"/>
        </w:rPr>
        <w:t xml:space="preserve">Figure </w:t>
      </w:r>
      <w:r w:rsidR="00EE29D5">
        <w:rPr>
          <w:b/>
          <w:bCs/>
          <w:szCs w:val="18"/>
        </w:rPr>
        <w:t>33</w:t>
      </w:r>
      <w:r w:rsidRPr="00CC7CE7">
        <w:rPr>
          <w:szCs w:val="18"/>
        </w:rPr>
        <w:t xml:space="preserve"> shows that Interface councils are projecting an accounting operating surplus of $0.8</w:t>
      </w:r>
      <w:r w:rsidR="002F4A8C">
        <w:rPr>
          <w:szCs w:val="18"/>
        </w:rPr>
        <w:t>6</w:t>
      </w:r>
      <w:r w:rsidRPr="00CC7CE7">
        <w:rPr>
          <w:szCs w:val="18"/>
        </w:rPr>
        <w:t xml:space="preserve"> billion largely due to significant revenue generated in the form of gifted assets (developer contributions) which must be included in accounting operating revenue in accordance with AAS. </w:t>
      </w:r>
    </w:p>
    <w:p w14:paraId="2F16F234" w14:textId="77777777" w:rsidR="00CC7CE7" w:rsidRPr="00CC7CE7" w:rsidRDefault="00CC7CE7" w:rsidP="00CC7CE7">
      <w:pPr>
        <w:rPr>
          <w:szCs w:val="18"/>
        </w:rPr>
      </w:pPr>
      <w:r w:rsidRPr="00CC7CE7">
        <w:rPr>
          <w:szCs w:val="18"/>
        </w:rPr>
        <w:t>The concept of an adjusted underlying operating result is another useful way to consider council financial performance.</w:t>
      </w:r>
    </w:p>
    <w:p w14:paraId="1E568CB5" w14:textId="77777777" w:rsidR="00CC7CE7" w:rsidRDefault="00CC7CE7" w:rsidP="00CC7CE7">
      <w:pPr>
        <w:pStyle w:val="Heading2"/>
      </w:pPr>
      <w:bookmarkStart w:id="43" w:name="_Toc48848021"/>
      <w:bookmarkStart w:id="44" w:name="_Toc75534496"/>
      <w:r>
        <w:t>Adjusted underlying operating results</w:t>
      </w:r>
      <w:bookmarkEnd w:id="43"/>
      <w:bookmarkEnd w:id="44"/>
    </w:p>
    <w:p w14:paraId="7960D118" w14:textId="77777777" w:rsidR="00CC7CE7" w:rsidRPr="00CC7CE7" w:rsidRDefault="00CC7CE7" w:rsidP="00CC7CE7">
      <w:pPr>
        <w:rPr>
          <w:szCs w:val="18"/>
        </w:rPr>
      </w:pPr>
      <w:r w:rsidRPr="00CC7CE7">
        <w:rPr>
          <w:szCs w:val="18"/>
        </w:rPr>
        <w:t xml:space="preserve">VAGO introduced the notion of an adjusted underlying operating result as part of their overall assessment of a council’s financial sustainability. VAGO use a suite of seven financial sustainability indicators to assess council financial sustainability risks. The adjusted underlying operating result removes the revenue from developer contributions and non-recurrent capital grants in order to measure an entity’s ability to generate a surplus in the ordinary course of business. As shown in </w:t>
      </w:r>
      <w:r w:rsidRPr="00CC7CE7">
        <w:rPr>
          <w:b/>
          <w:bCs/>
          <w:szCs w:val="18"/>
        </w:rPr>
        <w:t>Figure 33</w:t>
      </w:r>
      <w:r w:rsidRPr="00CC7CE7">
        <w:rPr>
          <w:szCs w:val="18"/>
        </w:rPr>
        <w:t xml:space="preserve"> the favourable results in the form of accounting operating surpluses are in sharp contrast to the adjusted underlying operating deficits being budgeted by all 5 cohorts cumulatively. </w:t>
      </w:r>
    </w:p>
    <w:p w14:paraId="7A491481" w14:textId="38B3920F" w:rsidR="00883691" w:rsidRDefault="009471E8" w:rsidP="00CC7CE7">
      <w:pPr>
        <w:pStyle w:val="Caption"/>
        <w:rPr>
          <w:b/>
          <w:bCs/>
          <w:i w:val="0"/>
          <w:iCs w:val="0"/>
          <w:sz w:val="16"/>
          <w:szCs w:val="16"/>
        </w:rPr>
      </w:pPr>
      <w:r>
        <w:rPr>
          <w:noProof/>
        </w:rPr>
        <w:drawing>
          <wp:anchor distT="0" distB="0" distL="114300" distR="114300" simplePos="0" relativeHeight="251658251" behindDoc="0" locked="0" layoutInCell="1" allowOverlap="1" wp14:anchorId="6EA2D51B" wp14:editId="7428C973">
            <wp:simplePos x="0" y="0"/>
            <wp:positionH relativeFrom="margin">
              <wp:align>left</wp:align>
            </wp:positionH>
            <wp:positionV relativeFrom="paragraph">
              <wp:posOffset>177165</wp:posOffset>
            </wp:positionV>
            <wp:extent cx="5760085" cy="2070100"/>
            <wp:effectExtent l="0" t="0" r="12065" b="6350"/>
            <wp:wrapSquare wrapText="bothSides"/>
            <wp:docPr id="97" name="Chart 97">
              <a:extLst xmlns:a="http://schemas.openxmlformats.org/drawingml/2006/main">
                <a:ext uri="{FF2B5EF4-FFF2-40B4-BE49-F238E27FC236}">
                  <a16:creationId xmlns:a16="http://schemas.microsoft.com/office/drawing/2014/main" id="{90E87F3B-893C-4DE0-829C-5A906DC34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CC7CE7" w:rsidRPr="004A63A3">
        <w:rPr>
          <w:b/>
          <w:bCs/>
          <w:i w:val="0"/>
          <w:iCs w:val="0"/>
          <w:sz w:val="16"/>
          <w:szCs w:val="16"/>
        </w:rPr>
        <w:t>Figure 33 Budgeted accounting operating result (surpluses) &amp; adjusted underlying operating result (deficits) by cohort</w:t>
      </w:r>
    </w:p>
    <w:p w14:paraId="425B1B25" w14:textId="71C95172" w:rsidR="00CC7CE7" w:rsidRDefault="00CC7CE7" w:rsidP="00CC7CE7">
      <w:pPr>
        <w:pStyle w:val="Caption"/>
        <w:rPr>
          <w:sz w:val="16"/>
          <w:szCs w:val="16"/>
        </w:rPr>
      </w:pPr>
      <w:r w:rsidRPr="00CC7CE7">
        <w:rPr>
          <w:i w:val="0"/>
          <w:iCs w:val="0"/>
          <w:sz w:val="16"/>
          <w:szCs w:val="16"/>
        </w:rPr>
        <w:t xml:space="preserve">Source: 2020-21 </w:t>
      </w:r>
      <w:r w:rsidR="00EA1BDF">
        <w:rPr>
          <w:i w:val="0"/>
          <w:iCs w:val="0"/>
          <w:sz w:val="16"/>
          <w:szCs w:val="16"/>
        </w:rPr>
        <w:t>adopted</w:t>
      </w:r>
      <w:r w:rsidRPr="00CC7CE7">
        <w:rPr>
          <w:i w:val="0"/>
          <w:iCs w:val="0"/>
          <w:sz w:val="16"/>
          <w:szCs w:val="16"/>
        </w:rPr>
        <w:t xml:space="preserve"> budgets</w:t>
      </w:r>
    </w:p>
    <w:p w14:paraId="3C2D316F" w14:textId="77777777" w:rsidR="00CC7CE7" w:rsidRPr="00CC7CE7" w:rsidRDefault="00CC7CE7" w:rsidP="00CC7CE7">
      <w:pPr>
        <w:rPr>
          <w:szCs w:val="18"/>
        </w:rPr>
      </w:pPr>
      <w:r w:rsidRPr="00CC7CE7">
        <w:rPr>
          <w:b/>
          <w:bCs/>
          <w:szCs w:val="18"/>
        </w:rPr>
        <w:lastRenderedPageBreak/>
        <w:t>Figure 34</w:t>
      </w:r>
      <w:r w:rsidRPr="00CC7CE7">
        <w:rPr>
          <w:szCs w:val="18"/>
        </w:rPr>
        <w:t xml:space="preserve"> below compares the number of councils reporting an accounting operating deficit and an adjusted underlying operating deficit by cohort.</w:t>
      </w:r>
    </w:p>
    <w:p w14:paraId="2CCE44BE" w14:textId="32AE52AA" w:rsidR="00CC7CE7" w:rsidRDefault="00CC7CE7" w:rsidP="00CC7CE7">
      <w:pPr>
        <w:pStyle w:val="Caption"/>
        <w:rPr>
          <w:b/>
          <w:bCs/>
          <w:i w:val="0"/>
          <w:iCs w:val="0"/>
        </w:rPr>
      </w:pPr>
      <w:r w:rsidRPr="005B6B08">
        <w:rPr>
          <w:b/>
          <w:bCs/>
          <w:i w:val="0"/>
          <w:iCs w:val="0"/>
        </w:rPr>
        <w:t>Figure</w:t>
      </w:r>
      <w:r>
        <w:rPr>
          <w:b/>
          <w:bCs/>
          <w:i w:val="0"/>
          <w:iCs w:val="0"/>
        </w:rPr>
        <w:t xml:space="preserve"> 34 Number of councils reporting accounting operating deficit and adjusted underlying operating deficit by cohort 2020-21</w:t>
      </w:r>
    </w:p>
    <w:p w14:paraId="64A61ECB" w14:textId="3F85613B" w:rsidR="00AA1BEE" w:rsidRPr="00AA1BEE" w:rsidRDefault="00AA1BEE" w:rsidP="00AA1BEE">
      <w:r>
        <w:rPr>
          <w:noProof/>
        </w:rPr>
        <w:drawing>
          <wp:inline distT="0" distB="0" distL="0" distR="0" wp14:anchorId="7AEFE37B" wp14:editId="3CFEEFA3">
            <wp:extent cx="5727700" cy="2762250"/>
            <wp:effectExtent l="0" t="0" r="6350" b="0"/>
            <wp:docPr id="98" name="Chart 98">
              <a:extLst xmlns:a="http://schemas.openxmlformats.org/drawingml/2006/main">
                <a:ext uri="{FF2B5EF4-FFF2-40B4-BE49-F238E27FC236}">
                  <a16:creationId xmlns:a16="http://schemas.microsoft.com/office/drawing/2014/main" id="{2C2C18A3-E202-4684-A1DB-35839ADF5D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DEB994D" w14:textId="49233928" w:rsidR="00CC7CE7" w:rsidRDefault="00CC7CE7" w:rsidP="00CC7CE7">
      <w:pPr>
        <w:pStyle w:val="BodyText"/>
        <w:spacing w:before="0"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w:t>
      </w:r>
    </w:p>
    <w:p w14:paraId="6264FD75" w14:textId="27DC509B" w:rsidR="00CC7CE7" w:rsidRPr="00CC7CE7" w:rsidRDefault="00CC7CE7" w:rsidP="00CC7CE7">
      <w:pPr>
        <w:rPr>
          <w:sz w:val="16"/>
          <w:szCs w:val="18"/>
        </w:rPr>
      </w:pPr>
      <w:r w:rsidRPr="00CC7CE7">
        <w:rPr>
          <w:szCs w:val="18"/>
        </w:rPr>
        <w:t xml:space="preserve">Overall, </w:t>
      </w:r>
      <w:r w:rsidR="00D322AF">
        <w:rPr>
          <w:szCs w:val="18"/>
        </w:rPr>
        <w:t>51</w:t>
      </w:r>
      <w:r w:rsidRPr="00CC7CE7">
        <w:rPr>
          <w:szCs w:val="18"/>
        </w:rPr>
        <w:t xml:space="preserve"> out of 79 councils are projecting an adjusted underlying operating deficit. The total cumulative adjusted underlying operating deficit for the sector amounts to $</w:t>
      </w:r>
      <w:r w:rsidR="00D322AF">
        <w:rPr>
          <w:szCs w:val="18"/>
        </w:rPr>
        <w:t>365</w:t>
      </w:r>
      <w:r w:rsidRPr="00CC7CE7">
        <w:rPr>
          <w:szCs w:val="18"/>
        </w:rPr>
        <w:t>.</w:t>
      </w:r>
      <w:r w:rsidR="00D322AF">
        <w:rPr>
          <w:szCs w:val="18"/>
        </w:rPr>
        <w:t>22</w:t>
      </w:r>
      <w:r w:rsidRPr="00CC7CE7">
        <w:rPr>
          <w:szCs w:val="18"/>
        </w:rPr>
        <w:t xml:space="preserve"> million. Historically, some of the regional, large and small shire councils have experienced negative results against this indicator, as pointed out in the most recent report on 2018-19 local government audits by VAGO. However, with the impact of the COVID-19 pandemic on councils OSR and increased related expenditure, an increased number of metropolitan and interface councils are also experiencing adjusted underlying operating deficits, particularly in the short term.</w:t>
      </w:r>
    </w:p>
    <w:p w14:paraId="40A447DC" w14:textId="77777777" w:rsidR="00CC7CE7" w:rsidRDefault="00CC7CE7" w:rsidP="00CC7CE7">
      <w:pPr>
        <w:pStyle w:val="Heading1"/>
      </w:pPr>
      <w:bookmarkStart w:id="45" w:name="_Toc48848022"/>
      <w:bookmarkStart w:id="46" w:name="_Toc75534497"/>
      <w:r>
        <w:lastRenderedPageBreak/>
        <w:t>Capital Works</w:t>
      </w:r>
      <w:bookmarkEnd w:id="45"/>
      <w:bookmarkEnd w:id="46"/>
    </w:p>
    <w:p w14:paraId="7965A94F" w14:textId="5EA6220E" w:rsidR="00CC7CE7" w:rsidRPr="00CC7CE7" w:rsidRDefault="00CC7CE7" w:rsidP="00CC7CE7">
      <w:pPr>
        <w:rPr>
          <w:szCs w:val="18"/>
        </w:rPr>
      </w:pPr>
      <w:r w:rsidRPr="00CC7CE7">
        <w:rPr>
          <w:szCs w:val="18"/>
        </w:rPr>
        <w:t>The management and maintenance of assets owned by the councils is one of the most significant activit</w:t>
      </w:r>
      <w:r w:rsidR="00463347">
        <w:rPr>
          <w:szCs w:val="18"/>
        </w:rPr>
        <w:t>ies</w:t>
      </w:r>
      <w:r w:rsidRPr="00CC7CE7">
        <w:rPr>
          <w:szCs w:val="18"/>
        </w:rPr>
        <w:t xml:space="preserve"> undertaken by any council. In the </w:t>
      </w:r>
      <w:r w:rsidR="00EA1BDF">
        <w:rPr>
          <w:szCs w:val="18"/>
        </w:rPr>
        <w:t>adopted</w:t>
      </w:r>
      <w:r w:rsidRPr="00CC7CE7">
        <w:rPr>
          <w:szCs w:val="18"/>
        </w:rPr>
        <w:t xml:space="preserve"> budgets for FY 2020-21, the local government sector is collectively budgeting for total non-current assets </w:t>
      </w:r>
      <w:r w:rsidR="008B36D3">
        <w:rPr>
          <w:szCs w:val="18"/>
        </w:rPr>
        <w:t>valued at</w:t>
      </w:r>
      <w:r w:rsidRPr="00CC7CE7">
        <w:rPr>
          <w:szCs w:val="18"/>
        </w:rPr>
        <w:t xml:space="preserve"> $110.</w:t>
      </w:r>
      <w:r w:rsidR="00AB6F7C">
        <w:rPr>
          <w:szCs w:val="18"/>
        </w:rPr>
        <w:t>3</w:t>
      </w:r>
      <w:r w:rsidRPr="00CC7CE7">
        <w:rPr>
          <w:szCs w:val="18"/>
        </w:rPr>
        <w:t xml:space="preserve">8 billion at the end of FY 2020-21 ($108.7 </w:t>
      </w:r>
      <w:r w:rsidR="008C4FAE">
        <w:rPr>
          <w:szCs w:val="18"/>
        </w:rPr>
        <w:t>billion</w:t>
      </w:r>
      <w:r w:rsidRPr="00CC7CE7">
        <w:rPr>
          <w:szCs w:val="18"/>
        </w:rPr>
        <w:t xml:space="preserve"> in adopted budget FY 2019-20). </w:t>
      </w:r>
      <w:r w:rsidR="00780E81">
        <w:rPr>
          <w:szCs w:val="18"/>
        </w:rPr>
        <w:t>The s</w:t>
      </w:r>
      <w:r w:rsidRPr="00CC7CE7">
        <w:rPr>
          <w:szCs w:val="18"/>
        </w:rPr>
        <w:t>ector has budgeted for combined capital expenditure of $3.</w:t>
      </w:r>
      <w:r w:rsidR="00A60CFD">
        <w:rPr>
          <w:szCs w:val="18"/>
        </w:rPr>
        <w:t>50</w:t>
      </w:r>
      <w:r w:rsidRPr="00CC7CE7">
        <w:rPr>
          <w:szCs w:val="18"/>
        </w:rPr>
        <w:t xml:space="preserve"> billion in 2020-21. This is an $</w:t>
      </w:r>
      <w:r w:rsidR="00E35E26">
        <w:rPr>
          <w:szCs w:val="18"/>
        </w:rPr>
        <w:t>27</w:t>
      </w:r>
      <w:r w:rsidRPr="00CC7CE7">
        <w:rPr>
          <w:szCs w:val="18"/>
        </w:rPr>
        <w:t>.</w:t>
      </w:r>
      <w:r w:rsidR="00E35E26">
        <w:rPr>
          <w:szCs w:val="18"/>
        </w:rPr>
        <w:t>5</w:t>
      </w:r>
      <w:r w:rsidRPr="00CC7CE7">
        <w:rPr>
          <w:szCs w:val="18"/>
        </w:rPr>
        <w:t xml:space="preserve"> million </w:t>
      </w:r>
      <w:r w:rsidR="00E35E26">
        <w:rPr>
          <w:szCs w:val="18"/>
        </w:rPr>
        <w:t>in</w:t>
      </w:r>
      <w:r w:rsidRPr="00CC7CE7">
        <w:rPr>
          <w:szCs w:val="18"/>
        </w:rPr>
        <w:t xml:space="preserve">crease on the $3.48 billion budgeted in 2019-20, as shown in </w:t>
      </w:r>
      <w:r w:rsidRPr="00CC7CE7">
        <w:rPr>
          <w:b/>
          <w:szCs w:val="18"/>
        </w:rPr>
        <w:t xml:space="preserve">Figure </w:t>
      </w:r>
      <w:r w:rsidRPr="00CC7CE7">
        <w:rPr>
          <w:b/>
          <w:bCs/>
          <w:szCs w:val="18"/>
        </w:rPr>
        <w:t>35</w:t>
      </w:r>
      <w:r w:rsidRPr="00CC7CE7">
        <w:rPr>
          <w:szCs w:val="18"/>
        </w:rPr>
        <w:t xml:space="preserve">. </w:t>
      </w:r>
      <w:r w:rsidRPr="00CC7CE7">
        <w:rPr>
          <w:b/>
          <w:bCs/>
          <w:szCs w:val="18"/>
        </w:rPr>
        <w:t>Figure 36</w:t>
      </w:r>
      <w:r w:rsidRPr="00CC7CE7">
        <w:rPr>
          <w:szCs w:val="18"/>
        </w:rPr>
        <w:t xml:space="preserve"> shows this </w:t>
      </w:r>
      <w:r w:rsidR="00AB6F7C">
        <w:rPr>
          <w:szCs w:val="18"/>
        </w:rPr>
        <w:t>in</w:t>
      </w:r>
      <w:r w:rsidRPr="00CC7CE7">
        <w:rPr>
          <w:szCs w:val="18"/>
        </w:rPr>
        <w:t xml:space="preserve">crease represents </w:t>
      </w:r>
      <w:r w:rsidR="00E35E26">
        <w:rPr>
          <w:szCs w:val="18"/>
        </w:rPr>
        <w:t>only a slight increase of 0.79% and</w:t>
      </w:r>
      <w:r w:rsidRPr="00CC7CE7">
        <w:rPr>
          <w:szCs w:val="18"/>
        </w:rPr>
        <w:t xml:space="preserve"> compares unfavourably with the budgeted percentage increases in capital works each other year since 2016-17. </w:t>
      </w:r>
    </w:p>
    <w:p w14:paraId="4C1D30E3" w14:textId="77777777" w:rsidR="00CC7CE7" w:rsidRPr="00CC7CE7" w:rsidRDefault="00CC7CE7" w:rsidP="00CC7CE7">
      <w:pPr>
        <w:rPr>
          <w:szCs w:val="18"/>
        </w:rPr>
      </w:pPr>
      <w:r w:rsidRPr="00CC7CE7">
        <w:rPr>
          <w:szCs w:val="18"/>
        </w:rPr>
        <w:t>Councils have projected that 70% of the four-year capital works program will be funded through rates and other own-sourced revenue.</w:t>
      </w:r>
    </w:p>
    <w:p w14:paraId="16E9519B" w14:textId="72DB4A70" w:rsidR="00CC7CE7" w:rsidRDefault="00CC7CE7" w:rsidP="00CC7CE7">
      <w:pPr>
        <w:pStyle w:val="Caption"/>
        <w:rPr>
          <w:b/>
          <w:bCs/>
          <w:i w:val="0"/>
          <w:iCs w:val="0"/>
        </w:rPr>
      </w:pPr>
      <w:r w:rsidRPr="005B6B08">
        <w:rPr>
          <w:b/>
          <w:bCs/>
          <w:i w:val="0"/>
          <w:iCs w:val="0"/>
        </w:rPr>
        <w:t>Figure</w:t>
      </w:r>
      <w:r>
        <w:rPr>
          <w:b/>
          <w:bCs/>
          <w:i w:val="0"/>
          <w:iCs w:val="0"/>
        </w:rPr>
        <w:t xml:space="preserve"> 35</w:t>
      </w:r>
      <w:r w:rsidRPr="005B6B08">
        <w:rPr>
          <w:b/>
          <w:bCs/>
          <w:i w:val="0"/>
          <w:iCs w:val="0"/>
        </w:rPr>
        <w:t xml:space="preserve"> </w:t>
      </w:r>
      <w:r>
        <w:rPr>
          <w:b/>
          <w:bCs/>
          <w:i w:val="0"/>
          <w:iCs w:val="0"/>
        </w:rPr>
        <w:t>Budgeted Capital expenditure trend from 2016-17 onwards</w:t>
      </w:r>
    </w:p>
    <w:p w14:paraId="781ED14D" w14:textId="19CC15C6" w:rsidR="00CC7CE7" w:rsidRPr="00AE1E91" w:rsidRDefault="00A60CFD" w:rsidP="007C448B">
      <w:pPr>
        <w:rPr>
          <w:sz w:val="16"/>
          <w:szCs w:val="16"/>
        </w:rPr>
      </w:pPr>
      <w:r>
        <w:rPr>
          <w:noProof/>
        </w:rPr>
        <w:drawing>
          <wp:anchor distT="0" distB="0" distL="114300" distR="114300" simplePos="0" relativeHeight="251658252" behindDoc="0" locked="0" layoutInCell="1" allowOverlap="1" wp14:anchorId="2421F013" wp14:editId="20EE5FBC">
            <wp:simplePos x="0" y="0"/>
            <wp:positionH relativeFrom="column">
              <wp:posOffset>3810</wp:posOffset>
            </wp:positionH>
            <wp:positionV relativeFrom="paragraph">
              <wp:posOffset>-3175</wp:posOffset>
            </wp:positionV>
            <wp:extent cx="5543550" cy="2505075"/>
            <wp:effectExtent l="0" t="0" r="0" b="9525"/>
            <wp:wrapSquare wrapText="bothSides"/>
            <wp:docPr id="99" name="Chart 99">
              <a:extLst xmlns:a="http://schemas.openxmlformats.org/drawingml/2006/main">
                <a:ext uri="{FF2B5EF4-FFF2-40B4-BE49-F238E27FC236}">
                  <a16:creationId xmlns:a16="http://schemas.microsoft.com/office/drawing/2014/main" id="{59467984-2859-4952-B652-802063A47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CC7CE7"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00CC7CE7" w:rsidRPr="00836333">
        <w:rPr>
          <w:sz w:val="16"/>
          <w:szCs w:val="16"/>
        </w:rPr>
        <w:t>budgets</w:t>
      </w:r>
    </w:p>
    <w:p w14:paraId="51507C0B" w14:textId="77777777" w:rsidR="00CC7CE7" w:rsidRDefault="00CC7CE7" w:rsidP="00CC7CE7">
      <w:pPr>
        <w:spacing w:after="0"/>
        <w:rPr>
          <w:b/>
          <w:bCs/>
        </w:rPr>
      </w:pPr>
    </w:p>
    <w:p w14:paraId="17B3A29E" w14:textId="60EC52DC" w:rsidR="00CC7CE7" w:rsidRPr="00CC7CE7" w:rsidRDefault="00CC7CE7" w:rsidP="00CC7CE7">
      <w:pPr>
        <w:rPr>
          <w:szCs w:val="18"/>
        </w:rPr>
      </w:pPr>
      <w:r w:rsidRPr="00CC7CE7">
        <w:rPr>
          <w:b/>
          <w:szCs w:val="18"/>
        </w:rPr>
        <w:t xml:space="preserve">Figure </w:t>
      </w:r>
      <w:r w:rsidRPr="00CC7CE7">
        <w:rPr>
          <w:b/>
          <w:bCs/>
          <w:szCs w:val="18"/>
        </w:rPr>
        <w:t>36</w:t>
      </w:r>
      <w:r w:rsidRPr="00CC7CE7">
        <w:rPr>
          <w:b/>
          <w:szCs w:val="18"/>
        </w:rPr>
        <w:t xml:space="preserve"> </w:t>
      </w:r>
      <w:r w:rsidRPr="00CC7CE7">
        <w:rPr>
          <w:szCs w:val="18"/>
        </w:rPr>
        <w:t xml:space="preserve">below shows a </w:t>
      </w:r>
      <w:r w:rsidR="00D75895">
        <w:rPr>
          <w:szCs w:val="18"/>
        </w:rPr>
        <w:t>slowdown</w:t>
      </w:r>
      <w:r w:rsidRPr="00CC7CE7">
        <w:rPr>
          <w:szCs w:val="18"/>
        </w:rPr>
        <w:t xml:space="preserve"> in </w:t>
      </w:r>
      <w:r w:rsidR="009654F2">
        <w:rPr>
          <w:szCs w:val="18"/>
        </w:rPr>
        <w:t xml:space="preserve">the </w:t>
      </w:r>
      <w:r w:rsidR="004E4C2C">
        <w:rPr>
          <w:szCs w:val="18"/>
        </w:rPr>
        <w:t xml:space="preserve">rate of increase in capital works expenditure </w:t>
      </w:r>
      <w:r w:rsidR="005C02F9">
        <w:rPr>
          <w:szCs w:val="18"/>
        </w:rPr>
        <w:t xml:space="preserve">compared to the previous </w:t>
      </w:r>
      <w:r w:rsidR="00170458">
        <w:rPr>
          <w:szCs w:val="18"/>
        </w:rPr>
        <w:t>4 years</w:t>
      </w:r>
      <w:r w:rsidRPr="00CC7CE7">
        <w:rPr>
          <w:szCs w:val="18"/>
        </w:rPr>
        <w:t xml:space="preserve">. This reflects the fact that </w:t>
      </w:r>
      <w:r w:rsidR="00F47048">
        <w:rPr>
          <w:szCs w:val="18"/>
        </w:rPr>
        <w:t xml:space="preserve">some </w:t>
      </w:r>
      <w:r w:rsidRPr="00CC7CE7">
        <w:rPr>
          <w:szCs w:val="18"/>
        </w:rPr>
        <w:t xml:space="preserve">councils have opted to reduce or defer capital works, facing increased pressure on their revenue sources as well as increased </w:t>
      </w:r>
      <w:r w:rsidR="00895CA9">
        <w:rPr>
          <w:szCs w:val="18"/>
        </w:rPr>
        <w:t xml:space="preserve">operating </w:t>
      </w:r>
      <w:r w:rsidRPr="00CC7CE7">
        <w:rPr>
          <w:szCs w:val="18"/>
        </w:rPr>
        <w:t>costs as a result of the COVID-19 pandemic.</w:t>
      </w:r>
    </w:p>
    <w:p w14:paraId="61723B19" w14:textId="06953D51" w:rsidR="00CC7CE7" w:rsidRDefault="00CC7CE7" w:rsidP="00CC7CE7">
      <w:pPr>
        <w:pStyle w:val="Caption"/>
        <w:rPr>
          <w:b/>
          <w:bCs/>
          <w:i w:val="0"/>
          <w:iCs w:val="0"/>
        </w:rPr>
      </w:pPr>
      <w:r w:rsidRPr="005B6B08">
        <w:rPr>
          <w:b/>
          <w:bCs/>
          <w:i w:val="0"/>
          <w:iCs w:val="0"/>
        </w:rPr>
        <w:t>Figure</w:t>
      </w:r>
      <w:r>
        <w:rPr>
          <w:b/>
          <w:bCs/>
          <w:i w:val="0"/>
          <w:iCs w:val="0"/>
        </w:rPr>
        <w:t xml:space="preserve"> 36 Budgeted </w:t>
      </w:r>
      <w:r w:rsidR="00895CA9">
        <w:rPr>
          <w:b/>
          <w:bCs/>
          <w:i w:val="0"/>
          <w:iCs w:val="0"/>
        </w:rPr>
        <w:t>c</w:t>
      </w:r>
      <w:r>
        <w:rPr>
          <w:b/>
          <w:bCs/>
          <w:i w:val="0"/>
          <w:iCs w:val="0"/>
        </w:rPr>
        <w:t>apital expenditure trend from 2016-17 onwards</w:t>
      </w:r>
    </w:p>
    <w:p w14:paraId="45EF646C" w14:textId="58CC13D7" w:rsidR="00CC7CE7" w:rsidRPr="00AE1E91" w:rsidRDefault="00062F38" w:rsidP="00AB47A3">
      <w:pPr>
        <w:rPr>
          <w:sz w:val="16"/>
          <w:szCs w:val="16"/>
        </w:rPr>
      </w:pPr>
      <w:r>
        <w:rPr>
          <w:noProof/>
        </w:rPr>
        <w:drawing>
          <wp:anchor distT="0" distB="0" distL="114300" distR="114300" simplePos="0" relativeHeight="251658253" behindDoc="0" locked="0" layoutInCell="1" allowOverlap="1" wp14:anchorId="2601F7D9" wp14:editId="050D4D07">
            <wp:simplePos x="0" y="0"/>
            <wp:positionH relativeFrom="column">
              <wp:posOffset>3810</wp:posOffset>
            </wp:positionH>
            <wp:positionV relativeFrom="paragraph">
              <wp:posOffset>-635</wp:posOffset>
            </wp:positionV>
            <wp:extent cx="5534025" cy="2009775"/>
            <wp:effectExtent l="0" t="0" r="9525" b="9525"/>
            <wp:wrapSquare wrapText="bothSides"/>
            <wp:docPr id="100" name="Chart 100">
              <a:extLst xmlns:a="http://schemas.openxmlformats.org/drawingml/2006/main">
                <a:ext uri="{FF2B5EF4-FFF2-40B4-BE49-F238E27FC236}">
                  <a16:creationId xmlns:a16="http://schemas.microsoft.com/office/drawing/2014/main" id="{407DC31B-9F23-446C-AAAA-9F44A32A7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sidR="00CC7CE7"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00CC7CE7" w:rsidRPr="00836333">
        <w:rPr>
          <w:sz w:val="16"/>
          <w:szCs w:val="16"/>
        </w:rPr>
        <w:t>budgets</w:t>
      </w:r>
    </w:p>
    <w:p w14:paraId="0BEC5296" w14:textId="77777777" w:rsidR="00CC7CE7" w:rsidRDefault="00CC7CE7" w:rsidP="00CC7CE7"/>
    <w:p w14:paraId="042905AF" w14:textId="09656C7F" w:rsidR="00CC7CE7" w:rsidRPr="00CC7CE7" w:rsidRDefault="00CC7CE7" w:rsidP="00CC7CE7">
      <w:pPr>
        <w:rPr>
          <w:szCs w:val="18"/>
        </w:rPr>
      </w:pPr>
      <w:r w:rsidRPr="00CC7CE7">
        <w:rPr>
          <w:b/>
          <w:bCs/>
          <w:szCs w:val="18"/>
        </w:rPr>
        <w:t>Figure 37</w:t>
      </w:r>
      <w:r w:rsidRPr="00CC7CE7">
        <w:rPr>
          <w:szCs w:val="18"/>
        </w:rPr>
        <w:t xml:space="preserve"> below further analyses the dip in capital works expenditure by council cohort</w:t>
      </w:r>
      <w:r w:rsidR="00E26D64">
        <w:rPr>
          <w:szCs w:val="18"/>
        </w:rPr>
        <w:t xml:space="preserve">. It compares </w:t>
      </w:r>
      <w:r w:rsidRPr="00CC7CE7">
        <w:rPr>
          <w:szCs w:val="18"/>
        </w:rPr>
        <w:t xml:space="preserve">the percentage </w:t>
      </w:r>
      <w:r w:rsidR="009729B3">
        <w:rPr>
          <w:szCs w:val="18"/>
        </w:rPr>
        <w:t xml:space="preserve">change </w:t>
      </w:r>
      <w:r w:rsidR="00CB6736">
        <w:rPr>
          <w:szCs w:val="18"/>
        </w:rPr>
        <w:t xml:space="preserve">in </w:t>
      </w:r>
      <w:r w:rsidR="006C0B5D">
        <w:rPr>
          <w:szCs w:val="18"/>
        </w:rPr>
        <w:t xml:space="preserve">budgeted capital works </w:t>
      </w:r>
      <w:r w:rsidR="00F335C3">
        <w:rPr>
          <w:szCs w:val="18"/>
        </w:rPr>
        <w:t xml:space="preserve">expenditure by cohort </w:t>
      </w:r>
      <w:r w:rsidRPr="00CC7CE7">
        <w:rPr>
          <w:szCs w:val="18"/>
        </w:rPr>
        <w:t xml:space="preserve">in </w:t>
      </w:r>
      <w:r w:rsidR="008528E9">
        <w:rPr>
          <w:szCs w:val="18"/>
        </w:rPr>
        <w:t xml:space="preserve">FY 2020-21 </w:t>
      </w:r>
      <w:r w:rsidR="00EA1BDF">
        <w:rPr>
          <w:szCs w:val="18"/>
        </w:rPr>
        <w:t>adopted</w:t>
      </w:r>
      <w:r w:rsidRPr="00CC7CE7">
        <w:rPr>
          <w:szCs w:val="18"/>
        </w:rPr>
        <w:t xml:space="preserve"> budget</w:t>
      </w:r>
      <w:r w:rsidR="008528E9">
        <w:rPr>
          <w:szCs w:val="18"/>
        </w:rPr>
        <w:t xml:space="preserve">s and FY </w:t>
      </w:r>
      <w:r w:rsidR="008528E9">
        <w:rPr>
          <w:szCs w:val="18"/>
        </w:rPr>
        <w:lastRenderedPageBreak/>
        <w:t>2019-20</w:t>
      </w:r>
      <w:r w:rsidRPr="00CC7CE7">
        <w:rPr>
          <w:szCs w:val="18"/>
        </w:rPr>
        <w:t xml:space="preserve"> adopted budget</w:t>
      </w:r>
      <w:r w:rsidR="008528E9">
        <w:rPr>
          <w:szCs w:val="18"/>
        </w:rPr>
        <w:t xml:space="preserve">s. </w:t>
      </w:r>
      <w:r w:rsidR="00E15A00">
        <w:rPr>
          <w:szCs w:val="18"/>
        </w:rPr>
        <w:t xml:space="preserve">Interface and </w:t>
      </w:r>
      <w:r w:rsidRPr="00CC7CE7">
        <w:rPr>
          <w:szCs w:val="18"/>
        </w:rPr>
        <w:t>Large shire councils are still projecting an increase in capital works</w:t>
      </w:r>
      <w:r w:rsidR="00DE380B">
        <w:rPr>
          <w:szCs w:val="18"/>
        </w:rPr>
        <w:t xml:space="preserve"> spending</w:t>
      </w:r>
      <w:r w:rsidRPr="00CC7CE7">
        <w:rPr>
          <w:szCs w:val="18"/>
        </w:rPr>
        <w:t xml:space="preserve"> while all other council cohorts show a </w:t>
      </w:r>
      <w:r w:rsidR="000955E4">
        <w:rPr>
          <w:szCs w:val="18"/>
        </w:rPr>
        <w:t xml:space="preserve">budgeted </w:t>
      </w:r>
      <w:r w:rsidRPr="00CC7CE7">
        <w:rPr>
          <w:szCs w:val="18"/>
        </w:rPr>
        <w:t>decrease in capital works</w:t>
      </w:r>
      <w:r w:rsidR="000955E4">
        <w:rPr>
          <w:szCs w:val="18"/>
        </w:rPr>
        <w:t xml:space="preserve"> spending in FY 2020-21</w:t>
      </w:r>
      <w:r w:rsidRPr="00CC7CE7">
        <w:rPr>
          <w:szCs w:val="18"/>
        </w:rPr>
        <w:t>.</w:t>
      </w:r>
    </w:p>
    <w:p w14:paraId="34CBBF1A" w14:textId="66969F2A" w:rsidR="00CC7CE7" w:rsidRDefault="00CC7CE7" w:rsidP="00CC7CE7">
      <w:pPr>
        <w:pStyle w:val="Caption"/>
        <w:rPr>
          <w:b/>
          <w:bCs/>
          <w:i w:val="0"/>
          <w:iCs w:val="0"/>
        </w:rPr>
      </w:pPr>
      <w:r w:rsidRPr="005B6B08">
        <w:rPr>
          <w:b/>
          <w:bCs/>
          <w:i w:val="0"/>
          <w:iCs w:val="0"/>
        </w:rPr>
        <w:t>Figure</w:t>
      </w:r>
      <w:r>
        <w:rPr>
          <w:b/>
          <w:bCs/>
          <w:i w:val="0"/>
          <w:iCs w:val="0"/>
        </w:rPr>
        <w:t xml:space="preserve"> 37 Change in budgeted capital works compared to previous year</w:t>
      </w:r>
    </w:p>
    <w:p w14:paraId="3B64F848" w14:textId="315BBE20" w:rsidR="004E618C" w:rsidRPr="004E618C" w:rsidRDefault="004E618C" w:rsidP="004E618C">
      <w:r>
        <w:rPr>
          <w:noProof/>
        </w:rPr>
        <w:drawing>
          <wp:inline distT="0" distB="0" distL="0" distR="0" wp14:anchorId="2799B0DC" wp14:editId="5A024F6A">
            <wp:extent cx="5755005" cy="2828925"/>
            <wp:effectExtent l="0" t="0" r="17145" b="9525"/>
            <wp:docPr id="101" name="Chart 101">
              <a:extLst xmlns:a="http://schemas.openxmlformats.org/drawingml/2006/main">
                <a:ext uri="{FF2B5EF4-FFF2-40B4-BE49-F238E27FC236}">
                  <a16:creationId xmlns:a16="http://schemas.microsoft.com/office/drawing/2014/main" id="{2FD9BC3C-C5B1-4A1E-AB27-BB747A37B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49A9288D" w14:textId="7A1409D9" w:rsidR="00CC7CE7" w:rsidRPr="00AE1E91" w:rsidRDefault="00CC7CE7" w:rsidP="00CC7CE7">
      <w:pPr>
        <w:pStyle w:val="BodyText"/>
        <w:spacing w:before="0" w:line="240" w:lineRule="auto"/>
        <w:rPr>
          <w:sz w:val="16"/>
          <w:szCs w:val="16"/>
        </w:rPr>
      </w:pPr>
      <w:bookmarkStart w:id="47" w:name="_Hlk48071464"/>
      <w:r w:rsidRPr="00836333">
        <w:rPr>
          <w:sz w:val="16"/>
          <w:szCs w:val="16"/>
        </w:rPr>
        <w:t xml:space="preserve">Source: 2020-21 </w:t>
      </w:r>
      <w:r w:rsidR="00EA1BDF">
        <w:rPr>
          <w:sz w:val="16"/>
          <w:szCs w:val="16"/>
        </w:rPr>
        <w:t>adopted</w:t>
      </w:r>
      <w:r w:rsidRPr="00836333">
        <w:rPr>
          <w:sz w:val="16"/>
          <w:szCs w:val="16"/>
        </w:rPr>
        <w:t xml:space="preserve"> budgets and 2019-20 adopted budgets</w:t>
      </w:r>
    </w:p>
    <w:bookmarkEnd w:id="47"/>
    <w:p w14:paraId="79857CB1" w14:textId="77777777" w:rsidR="00CC7CE7" w:rsidRPr="00CC7CE7" w:rsidRDefault="00CC7CE7" w:rsidP="00CC7CE7">
      <w:pPr>
        <w:rPr>
          <w:szCs w:val="18"/>
        </w:rPr>
      </w:pPr>
      <w:r w:rsidRPr="00CC7CE7">
        <w:rPr>
          <w:szCs w:val="18"/>
        </w:rPr>
        <w:t xml:space="preserve">Council’s operating cashflow remains the major source of funding for capital works across all council cohorts as illustrated by </w:t>
      </w:r>
      <w:r w:rsidRPr="00CC7CE7">
        <w:rPr>
          <w:b/>
          <w:szCs w:val="18"/>
        </w:rPr>
        <w:t xml:space="preserve">Figure </w:t>
      </w:r>
      <w:r w:rsidRPr="00CC7CE7">
        <w:rPr>
          <w:b/>
          <w:bCs/>
          <w:szCs w:val="18"/>
        </w:rPr>
        <w:t>38</w:t>
      </w:r>
      <w:r w:rsidRPr="00CC7CE7">
        <w:rPr>
          <w:szCs w:val="18"/>
        </w:rPr>
        <w:t xml:space="preserve"> below. However, in the case of small and large shires, there is a higher reliance on grants to carry out the budgeted capital works. Regional cities are also relying heavily on new borrowings to fund some of their capital works.</w:t>
      </w:r>
    </w:p>
    <w:p w14:paraId="110D797B" w14:textId="77777777" w:rsidR="00CC7CE7" w:rsidRDefault="00CC7CE7" w:rsidP="00CC7CE7">
      <w:pPr>
        <w:pStyle w:val="Caption"/>
        <w:rPr>
          <w:b/>
          <w:bCs/>
          <w:i w:val="0"/>
          <w:iCs w:val="0"/>
        </w:rPr>
      </w:pPr>
      <w:bookmarkStart w:id="48" w:name="_Hlk48071770"/>
      <w:r w:rsidRPr="005B6B08">
        <w:rPr>
          <w:b/>
          <w:bCs/>
          <w:i w:val="0"/>
          <w:iCs w:val="0"/>
        </w:rPr>
        <w:t>Figure</w:t>
      </w:r>
      <w:r>
        <w:rPr>
          <w:b/>
          <w:bCs/>
          <w:i w:val="0"/>
          <w:iCs w:val="0"/>
        </w:rPr>
        <w:t xml:space="preserve"> 38 Composition and amount of capital work funding</w:t>
      </w:r>
    </w:p>
    <w:p w14:paraId="4CFA1BCE" w14:textId="58E5B308" w:rsidR="00E55DE7" w:rsidRPr="00E55DE7" w:rsidRDefault="000F6CFC" w:rsidP="00E55DE7">
      <w:r>
        <w:rPr>
          <w:noProof/>
        </w:rPr>
        <w:drawing>
          <wp:inline distT="0" distB="0" distL="0" distR="0" wp14:anchorId="7F121B89" wp14:editId="1F6D412D">
            <wp:extent cx="5760085" cy="2771775"/>
            <wp:effectExtent l="0" t="0" r="12065" b="9525"/>
            <wp:docPr id="103" name="Chart 103">
              <a:extLst xmlns:a="http://schemas.openxmlformats.org/drawingml/2006/main">
                <a:ext uri="{FF2B5EF4-FFF2-40B4-BE49-F238E27FC236}">
                  <a16:creationId xmlns:a16="http://schemas.microsoft.com/office/drawing/2014/main" id="{ED2B46FF-7011-4CF6-A4E3-B849B797B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209898D" w14:textId="145733D1" w:rsidR="00CC7CE7" w:rsidRPr="00AE1E91" w:rsidRDefault="00CC7CE7" w:rsidP="00CC7CE7">
      <w:pPr>
        <w:pStyle w:val="BodyText"/>
        <w:spacing w:before="0"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w:t>
      </w:r>
    </w:p>
    <w:bookmarkEnd w:id="48"/>
    <w:p w14:paraId="7880F3D3" w14:textId="77777777" w:rsidR="009556B1" w:rsidRDefault="009556B1" w:rsidP="00CC7CE7">
      <w:pPr>
        <w:rPr>
          <w:b/>
          <w:bCs/>
          <w:szCs w:val="18"/>
        </w:rPr>
      </w:pPr>
    </w:p>
    <w:p w14:paraId="212E5613" w14:textId="77777777" w:rsidR="009556B1" w:rsidRDefault="009556B1" w:rsidP="00CC7CE7">
      <w:pPr>
        <w:rPr>
          <w:b/>
          <w:bCs/>
          <w:szCs w:val="18"/>
        </w:rPr>
      </w:pPr>
    </w:p>
    <w:p w14:paraId="082AC5BB" w14:textId="77777777" w:rsidR="009556B1" w:rsidRDefault="009556B1" w:rsidP="00CC7CE7">
      <w:pPr>
        <w:rPr>
          <w:b/>
          <w:bCs/>
          <w:szCs w:val="18"/>
        </w:rPr>
      </w:pPr>
    </w:p>
    <w:p w14:paraId="32EEA64A" w14:textId="77777777" w:rsidR="00CC7CE7" w:rsidRPr="00CC7CE7" w:rsidRDefault="00CC7CE7" w:rsidP="00CC7CE7">
      <w:pPr>
        <w:rPr>
          <w:szCs w:val="18"/>
        </w:rPr>
      </w:pPr>
      <w:r w:rsidRPr="00CC7CE7">
        <w:rPr>
          <w:b/>
          <w:bCs/>
          <w:szCs w:val="18"/>
        </w:rPr>
        <w:t>Figure 39</w:t>
      </w:r>
      <w:r w:rsidRPr="00CC7CE7">
        <w:rPr>
          <w:szCs w:val="18"/>
        </w:rPr>
        <w:t xml:space="preserve"> below illustrates that new asset expenditure and asset renewal expenditure are the significant components of overall capital works for all cohorts.</w:t>
      </w:r>
    </w:p>
    <w:p w14:paraId="0466DF0D" w14:textId="77777777" w:rsidR="00CC7CE7" w:rsidRDefault="00CC7CE7" w:rsidP="00CC7CE7">
      <w:pPr>
        <w:pStyle w:val="Caption"/>
        <w:rPr>
          <w:b/>
          <w:bCs/>
          <w:i w:val="0"/>
          <w:iCs w:val="0"/>
        </w:rPr>
      </w:pPr>
      <w:r w:rsidRPr="005B6B08">
        <w:rPr>
          <w:b/>
          <w:bCs/>
          <w:i w:val="0"/>
          <w:iCs w:val="0"/>
        </w:rPr>
        <w:lastRenderedPageBreak/>
        <w:t>Figure</w:t>
      </w:r>
      <w:r>
        <w:rPr>
          <w:b/>
          <w:bCs/>
          <w:i w:val="0"/>
          <w:iCs w:val="0"/>
        </w:rPr>
        <w:t xml:space="preserve"> 39 Composition and amount of capital work</w:t>
      </w:r>
    </w:p>
    <w:p w14:paraId="7987B628" w14:textId="5B430368" w:rsidR="00305F1E" w:rsidRPr="00305F1E" w:rsidRDefault="00305F1E" w:rsidP="00305F1E">
      <w:r>
        <w:rPr>
          <w:noProof/>
        </w:rPr>
        <w:drawing>
          <wp:inline distT="0" distB="0" distL="0" distR="0" wp14:anchorId="34E699BA" wp14:editId="38416086">
            <wp:extent cx="5760085" cy="2543175"/>
            <wp:effectExtent l="0" t="0" r="12065" b="9525"/>
            <wp:docPr id="104" name="Chart 104">
              <a:extLst xmlns:a="http://schemas.openxmlformats.org/drawingml/2006/main">
                <a:ext uri="{FF2B5EF4-FFF2-40B4-BE49-F238E27FC236}">
                  <a16:creationId xmlns:a16="http://schemas.microsoft.com/office/drawing/2014/main" id="{4379C503-8BDF-413B-8555-33AAD42934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66424D3" w14:textId="6B4082B4" w:rsidR="00CC7CE7" w:rsidRPr="00AE1E91" w:rsidRDefault="00CC7CE7" w:rsidP="00CC7CE7">
      <w:pPr>
        <w:pStyle w:val="BodyText"/>
        <w:spacing w:before="0"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w:t>
      </w:r>
    </w:p>
    <w:p w14:paraId="2AE59C14" w14:textId="2F7D638B" w:rsidR="00CC7CE7" w:rsidRPr="00A80C1E" w:rsidRDefault="00CC7CE7" w:rsidP="00CC7CE7">
      <w:pPr>
        <w:rPr>
          <w:szCs w:val="18"/>
        </w:rPr>
      </w:pPr>
      <w:r w:rsidRPr="00A80C1E">
        <w:rPr>
          <w:szCs w:val="18"/>
        </w:rPr>
        <w:t>Over the next three years (FY</w:t>
      </w:r>
      <w:r w:rsidR="00AE4F9B">
        <w:rPr>
          <w:szCs w:val="18"/>
        </w:rPr>
        <w:t xml:space="preserve"> </w:t>
      </w:r>
      <w:r w:rsidRPr="00A80C1E">
        <w:rPr>
          <w:szCs w:val="18"/>
        </w:rPr>
        <w:t>2021-22 to FY</w:t>
      </w:r>
      <w:r w:rsidR="00AE4F9B">
        <w:rPr>
          <w:szCs w:val="18"/>
        </w:rPr>
        <w:t xml:space="preserve"> </w:t>
      </w:r>
      <w:r w:rsidRPr="00A80C1E">
        <w:rPr>
          <w:szCs w:val="18"/>
        </w:rPr>
        <w:t>2023-24), 43% of the overall capital works of $9.5 billion are expected to be delivered by metropolitan councils, while only 18.</w:t>
      </w:r>
      <w:r w:rsidR="00C675A9">
        <w:rPr>
          <w:szCs w:val="18"/>
        </w:rPr>
        <w:t>87</w:t>
      </w:r>
      <w:r w:rsidRPr="00A80C1E">
        <w:rPr>
          <w:szCs w:val="18"/>
        </w:rPr>
        <w:t>% are expected to be delivered by large and small rural councils. These figures include road construction and maintenance, which constitute a significant responsibility for rural and regional councils. Metropolitan, interface and regional cities together account for 81.</w:t>
      </w:r>
      <w:r w:rsidR="004463A8">
        <w:rPr>
          <w:szCs w:val="18"/>
        </w:rPr>
        <w:t>13</w:t>
      </w:r>
      <w:r w:rsidRPr="00A80C1E">
        <w:rPr>
          <w:szCs w:val="18"/>
        </w:rPr>
        <w:t>% of capital works while their combined population comprises of 87.9% of the Victorian total. In contrast, the 38 large and small rural councils are projected to deliver 18.</w:t>
      </w:r>
      <w:r w:rsidR="004463A8">
        <w:rPr>
          <w:szCs w:val="18"/>
        </w:rPr>
        <w:t>87</w:t>
      </w:r>
      <w:r w:rsidRPr="00A80C1E">
        <w:rPr>
          <w:szCs w:val="18"/>
        </w:rPr>
        <w:t>% of capital works expenditure for 12.1% of the population due to geographically larger areas with relatively larger road networks and higher costs.</w:t>
      </w:r>
    </w:p>
    <w:p w14:paraId="45A1748C" w14:textId="77777777" w:rsidR="00CC7CE7" w:rsidRPr="00A80C1E" w:rsidRDefault="00CC7CE7" w:rsidP="00CC7CE7">
      <w:pPr>
        <w:rPr>
          <w:szCs w:val="18"/>
        </w:rPr>
      </w:pPr>
      <w:r w:rsidRPr="00A80C1E">
        <w:rPr>
          <w:b/>
          <w:bCs/>
          <w:szCs w:val="18"/>
        </w:rPr>
        <w:t>Figure 40</w:t>
      </w:r>
      <w:r w:rsidRPr="00A80C1E">
        <w:rPr>
          <w:szCs w:val="18"/>
        </w:rPr>
        <w:t xml:space="preserve"> below shows the forecast changes to council capital expenditure over the next four years by council cohort. Both small and large shires are forecasting decreases in capital expenditure over the next four years, however this can be matched to decreased forecasts in capital grant funding, which is not in line with historical outcomes.  Interface councils receive large developer contributions including gifted assets.  These gifted assets are not reflected in the capital expenditure forecasts shown below.</w:t>
      </w:r>
    </w:p>
    <w:p w14:paraId="5E00EB0F" w14:textId="4E4532A6" w:rsidR="00CC7CE7" w:rsidRDefault="00CC7CE7" w:rsidP="00CC7CE7">
      <w:pPr>
        <w:pStyle w:val="Caption"/>
        <w:rPr>
          <w:b/>
          <w:bCs/>
          <w:i w:val="0"/>
          <w:iCs w:val="0"/>
        </w:rPr>
      </w:pPr>
      <w:r w:rsidRPr="005B6B08">
        <w:rPr>
          <w:b/>
          <w:bCs/>
          <w:i w:val="0"/>
          <w:iCs w:val="0"/>
        </w:rPr>
        <w:t>Figure</w:t>
      </w:r>
      <w:r>
        <w:rPr>
          <w:b/>
          <w:bCs/>
          <w:i w:val="0"/>
          <w:iCs w:val="0"/>
        </w:rPr>
        <w:t xml:space="preserve"> 40 Budgeted </w:t>
      </w:r>
      <w:r w:rsidR="00575F8D">
        <w:rPr>
          <w:b/>
          <w:bCs/>
          <w:i w:val="0"/>
          <w:iCs w:val="0"/>
        </w:rPr>
        <w:t>c</w:t>
      </w:r>
      <w:r>
        <w:rPr>
          <w:b/>
          <w:bCs/>
          <w:i w:val="0"/>
          <w:iCs w:val="0"/>
        </w:rPr>
        <w:t>apital expenditure trend from 2019-20 onwards</w:t>
      </w:r>
    </w:p>
    <w:p w14:paraId="6446943C" w14:textId="048A7A00" w:rsidR="003E5F9C" w:rsidRPr="003E5F9C" w:rsidRDefault="003E5F9C" w:rsidP="003E5F9C">
      <w:r>
        <w:rPr>
          <w:noProof/>
        </w:rPr>
        <w:drawing>
          <wp:inline distT="0" distB="0" distL="0" distR="0" wp14:anchorId="4F76F3CB" wp14:editId="412478AC">
            <wp:extent cx="5760085" cy="2819400"/>
            <wp:effectExtent l="0" t="0" r="12065" b="0"/>
            <wp:docPr id="105" name="Chart 105">
              <a:extLst xmlns:a="http://schemas.openxmlformats.org/drawingml/2006/main">
                <a:ext uri="{FF2B5EF4-FFF2-40B4-BE49-F238E27FC236}">
                  <a16:creationId xmlns:a16="http://schemas.microsoft.com/office/drawing/2014/main" id="{3A388964-F011-4FBA-BB7C-C6F930C5B5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2B1B052" w14:textId="3BB21ACB" w:rsidR="00CC7CE7" w:rsidRDefault="00CC7CE7" w:rsidP="00CC7CE7">
      <w:pPr>
        <w:pStyle w:val="BodyText"/>
        <w:spacing w:before="0" w:line="240" w:lineRule="auto"/>
      </w:pPr>
      <w:r w:rsidRPr="00836333">
        <w:rPr>
          <w:sz w:val="16"/>
          <w:szCs w:val="16"/>
        </w:rPr>
        <w:t xml:space="preserve">Source: 2020-21 </w:t>
      </w:r>
      <w:r w:rsidR="00EA1BDF">
        <w:rPr>
          <w:sz w:val="16"/>
          <w:szCs w:val="16"/>
        </w:rPr>
        <w:t>adopted</w:t>
      </w:r>
      <w:r w:rsidRPr="00836333">
        <w:rPr>
          <w:sz w:val="16"/>
          <w:szCs w:val="16"/>
        </w:rPr>
        <w:t xml:space="preserve"> budgets</w:t>
      </w:r>
      <w:r>
        <w:br w:type="page"/>
      </w:r>
    </w:p>
    <w:p w14:paraId="75C5EA31" w14:textId="77777777" w:rsidR="00CC7CE7" w:rsidRDefault="00CC7CE7" w:rsidP="00CC7CE7">
      <w:pPr>
        <w:pStyle w:val="Heading1"/>
      </w:pPr>
      <w:bookmarkStart w:id="49" w:name="_Toc48848023"/>
      <w:bookmarkStart w:id="50" w:name="_Toc75534498"/>
      <w:r>
        <w:lastRenderedPageBreak/>
        <w:t>Cash and borrowings</w:t>
      </w:r>
      <w:bookmarkEnd w:id="49"/>
      <w:bookmarkEnd w:id="50"/>
    </w:p>
    <w:p w14:paraId="44B640AE" w14:textId="43F3E872" w:rsidR="00CC7CE7" w:rsidRPr="00305F89" w:rsidRDefault="00CC7CE7" w:rsidP="00CC7CE7">
      <w:pPr>
        <w:rPr>
          <w:szCs w:val="18"/>
        </w:rPr>
      </w:pPr>
      <w:r w:rsidRPr="00305F89">
        <w:rPr>
          <w:szCs w:val="18"/>
        </w:rPr>
        <w:t>The sector is budgeting to hold cash and investments of approximately $4.3 billion at 30 June 202</w:t>
      </w:r>
      <w:r w:rsidR="005D0FC8">
        <w:rPr>
          <w:szCs w:val="18"/>
        </w:rPr>
        <w:t>1</w:t>
      </w:r>
      <w:r w:rsidRPr="00305F89">
        <w:rPr>
          <w:szCs w:val="18"/>
        </w:rPr>
        <w:t>. The sector’s forecast actual cash and investments at 30 June 2020 was $</w:t>
      </w:r>
      <w:r w:rsidR="007953C5">
        <w:rPr>
          <w:szCs w:val="18"/>
        </w:rPr>
        <w:t>5</w:t>
      </w:r>
      <w:r w:rsidRPr="00305F89">
        <w:rPr>
          <w:szCs w:val="18"/>
        </w:rPr>
        <w:t>.</w:t>
      </w:r>
      <w:r w:rsidR="007953C5">
        <w:rPr>
          <w:szCs w:val="18"/>
        </w:rPr>
        <w:t>09</w:t>
      </w:r>
      <w:r w:rsidRPr="00305F89">
        <w:rPr>
          <w:szCs w:val="18"/>
        </w:rPr>
        <w:t xml:space="preserve"> billion. </w:t>
      </w:r>
      <w:r w:rsidRPr="00305F89">
        <w:rPr>
          <w:b/>
          <w:szCs w:val="18"/>
        </w:rPr>
        <w:t xml:space="preserve">Figure </w:t>
      </w:r>
      <w:r w:rsidRPr="00305F89">
        <w:rPr>
          <w:b/>
          <w:bCs/>
          <w:szCs w:val="18"/>
        </w:rPr>
        <w:t>41</w:t>
      </w:r>
      <w:r w:rsidRPr="00305F89">
        <w:rPr>
          <w:szCs w:val="18"/>
        </w:rPr>
        <w:t xml:space="preserve"> below shows a healthy increase in cash and financial assets over the last 5 years and further strengthens the sustainability of the sector in the short term.</w:t>
      </w:r>
    </w:p>
    <w:p w14:paraId="1EDC2CC1" w14:textId="77777777" w:rsidR="00CC7CE7" w:rsidRDefault="00CC7CE7" w:rsidP="00CC7CE7">
      <w:pPr>
        <w:pStyle w:val="Caption"/>
        <w:rPr>
          <w:b/>
          <w:bCs/>
          <w:i w:val="0"/>
          <w:iCs w:val="0"/>
        </w:rPr>
      </w:pPr>
      <w:r w:rsidRPr="005B6B08">
        <w:rPr>
          <w:b/>
          <w:bCs/>
          <w:i w:val="0"/>
          <w:iCs w:val="0"/>
        </w:rPr>
        <w:t>Figure</w:t>
      </w:r>
      <w:r>
        <w:rPr>
          <w:b/>
          <w:bCs/>
          <w:i w:val="0"/>
          <w:iCs w:val="0"/>
        </w:rPr>
        <w:t xml:space="preserve"> 41 Budgeted cash and financial assets 2016-17 onwards </w:t>
      </w:r>
    </w:p>
    <w:p w14:paraId="7FAD9DE9" w14:textId="04BD4E2D" w:rsidR="00B36F10" w:rsidRPr="00B36F10" w:rsidRDefault="00B36F10" w:rsidP="00B36F10">
      <w:r>
        <w:rPr>
          <w:noProof/>
        </w:rPr>
        <w:drawing>
          <wp:inline distT="0" distB="0" distL="0" distR="0" wp14:anchorId="6D6CD2C3" wp14:editId="25AD83F4">
            <wp:extent cx="5457825" cy="2610485"/>
            <wp:effectExtent l="0" t="0" r="9525" b="18415"/>
            <wp:docPr id="106" name="Chart 106">
              <a:extLst xmlns:a="http://schemas.openxmlformats.org/drawingml/2006/main">
                <a:ext uri="{FF2B5EF4-FFF2-40B4-BE49-F238E27FC236}">
                  <a16:creationId xmlns:a16="http://schemas.microsoft.com/office/drawing/2014/main" id="{E545455C-F38B-4ED1-BB58-803ACB1B93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428FDD85" w14:textId="6C6E19F9" w:rsidR="00CC7CE7" w:rsidRDefault="00CC7CE7" w:rsidP="00CC7CE7">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2432041F" w14:textId="77777777" w:rsidR="00CC7CE7" w:rsidRPr="00305F89" w:rsidRDefault="00CC7CE7" w:rsidP="00CC7CE7">
      <w:pPr>
        <w:rPr>
          <w:szCs w:val="18"/>
        </w:rPr>
      </w:pPr>
      <w:r w:rsidRPr="00305F89">
        <w:rPr>
          <w:szCs w:val="18"/>
        </w:rPr>
        <w:t xml:space="preserve">These forecast actual levels of cash and investments may have been positively impacted in some instances by the advance receipt of Commonwealth grant funds. </w:t>
      </w:r>
      <w:r w:rsidRPr="00305F89">
        <w:rPr>
          <w:b/>
          <w:szCs w:val="18"/>
        </w:rPr>
        <w:t xml:space="preserve">Figure </w:t>
      </w:r>
      <w:r w:rsidRPr="00305F89">
        <w:rPr>
          <w:b/>
          <w:bCs/>
          <w:szCs w:val="18"/>
        </w:rPr>
        <w:t xml:space="preserve">42 </w:t>
      </w:r>
      <w:r w:rsidRPr="00305F89">
        <w:rPr>
          <w:szCs w:val="18"/>
        </w:rPr>
        <w:t>below shows cash and financial assets forecast for the next 4 years by individual cohorts. The trend shows councils forecasting a slight decline in cash and investments in all cohorts in the FY 2020-21 but the cash balances are relatively stable after that.</w:t>
      </w:r>
    </w:p>
    <w:p w14:paraId="2DD4D3B5" w14:textId="77777777" w:rsidR="00CC7CE7" w:rsidRDefault="00CC7CE7" w:rsidP="00CC7CE7">
      <w:pPr>
        <w:pStyle w:val="Caption"/>
        <w:rPr>
          <w:b/>
          <w:bCs/>
          <w:i w:val="0"/>
          <w:iCs w:val="0"/>
        </w:rPr>
      </w:pPr>
      <w:r w:rsidRPr="005B6B08">
        <w:rPr>
          <w:b/>
          <w:bCs/>
          <w:i w:val="0"/>
          <w:iCs w:val="0"/>
        </w:rPr>
        <w:t>Figure</w:t>
      </w:r>
      <w:r>
        <w:rPr>
          <w:b/>
          <w:bCs/>
          <w:i w:val="0"/>
          <w:iCs w:val="0"/>
        </w:rPr>
        <w:t xml:space="preserve"> 42 Budgeted cash and financial assets 2019-20 onwards </w:t>
      </w:r>
    </w:p>
    <w:p w14:paraId="58CA944E" w14:textId="14B0A956" w:rsidR="00AD6A06" w:rsidRPr="00AD6A06" w:rsidRDefault="00AD6A06" w:rsidP="00AD6A06">
      <w:r>
        <w:rPr>
          <w:noProof/>
        </w:rPr>
        <w:drawing>
          <wp:inline distT="0" distB="0" distL="0" distR="0" wp14:anchorId="585CF233" wp14:editId="0E035022">
            <wp:extent cx="5760085" cy="2505075"/>
            <wp:effectExtent l="0" t="0" r="12065" b="9525"/>
            <wp:docPr id="107" name="Chart 107">
              <a:extLst xmlns:a="http://schemas.openxmlformats.org/drawingml/2006/main">
                <a:ext uri="{FF2B5EF4-FFF2-40B4-BE49-F238E27FC236}">
                  <a16:creationId xmlns:a16="http://schemas.microsoft.com/office/drawing/2014/main" id="{585CE755-8E0D-46F1-9010-42B40C4A5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EA84E19" w14:textId="5D81A459" w:rsidR="00CC7CE7" w:rsidRDefault="00CC7CE7" w:rsidP="00CC7CE7">
      <w:pPr>
        <w:pStyle w:val="BodyText"/>
        <w:spacing w:before="0" w:line="240" w:lineRule="auto"/>
        <w:rPr>
          <w:sz w:val="16"/>
          <w:szCs w:val="16"/>
        </w:rPr>
      </w:pPr>
      <w:r w:rsidRPr="00836333">
        <w:rPr>
          <w:sz w:val="16"/>
          <w:szCs w:val="16"/>
        </w:rPr>
        <w:t xml:space="preserve">Source: 2020-21 </w:t>
      </w:r>
      <w:r w:rsidR="00EA1BDF">
        <w:rPr>
          <w:sz w:val="16"/>
          <w:szCs w:val="16"/>
        </w:rPr>
        <w:t>adopted</w:t>
      </w:r>
      <w:r w:rsidRPr="00836333">
        <w:rPr>
          <w:sz w:val="16"/>
          <w:szCs w:val="16"/>
        </w:rPr>
        <w:t xml:space="preserve"> budgets</w:t>
      </w:r>
    </w:p>
    <w:p w14:paraId="49C90626" w14:textId="77777777" w:rsidR="00CC7CE7" w:rsidRDefault="00CC7CE7" w:rsidP="00CC7CE7"/>
    <w:p w14:paraId="3FFDBD64" w14:textId="77777777" w:rsidR="00CC7CE7" w:rsidRDefault="00CC7CE7" w:rsidP="00CC7CE7">
      <w:pPr>
        <w:rPr>
          <w:sz w:val="20"/>
        </w:rPr>
      </w:pPr>
    </w:p>
    <w:p w14:paraId="46A8F57C" w14:textId="77777777" w:rsidR="0077274F" w:rsidRPr="007D1B32" w:rsidRDefault="0077274F" w:rsidP="00CC7CE7">
      <w:pPr>
        <w:rPr>
          <w:sz w:val="20"/>
        </w:rPr>
      </w:pPr>
    </w:p>
    <w:p w14:paraId="04577A27" w14:textId="08189FFF" w:rsidR="00CC7CE7" w:rsidRPr="00305F89" w:rsidRDefault="00CC7CE7" w:rsidP="00CC7CE7">
      <w:pPr>
        <w:rPr>
          <w:szCs w:val="18"/>
        </w:rPr>
      </w:pPr>
      <w:r w:rsidRPr="00305F89">
        <w:rPr>
          <w:szCs w:val="18"/>
        </w:rPr>
        <w:lastRenderedPageBreak/>
        <w:t xml:space="preserve">A review of the last 5 year’s adopted budgets shows over a 20% decline in debt for the sector in FY 2019-20 </w:t>
      </w:r>
      <w:r w:rsidR="00B81FA3">
        <w:rPr>
          <w:szCs w:val="18"/>
        </w:rPr>
        <w:t>f</w:t>
      </w:r>
      <w:r w:rsidRPr="00305F89">
        <w:rPr>
          <w:szCs w:val="18"/>
        </w:rPr>
        <w:t xml:space="preserve">orecast </w:t>
      </w:r>
      <w:r w:rsidR="00B81FA3">
        <w:rPr>
          <w:szCs w:val="18"/>
        </w:rPr>
        <w:t>a</w:t>
      </w:r>
      <w:r w:rsidRPr="00305F89">
        <w:rPr>
          <w:szCs w:val="18"/>
        </w:rPr>
        <w:t xml:space="preserve">ctual compared to FY 2016-17 </w:t>
      </w:r>
      <w:r w:rsidR="00B81FA3">
        <w:rPr>
          <w:szCs w:val="18"/>
        </w:rPr>
        <w:t>a</w:t>
      </w:r>
      <w:r w:rsidRPr="00305F89">
        <w:rPr>
          <w:szCs w:val="18"/>
        </w:rPr>
        <w:t xml:space="preserve">dopted budget. Councils have however budgeted for increasing debt in FY 2020-21 </w:t>
      </w:r>
      <w:r w:rsidR="00EA1BDF">
        <w:rPr>
          <w:szCs w:val="18"/>
        </w:rPr>
        <w:t>adopted</w:t>
      </w:r>
      <w:r w:rsidRPr="00305F89">
        <w:rPr>
          <w:szCs w:val="18"/>
        </w:rPr>
        <w:t xml:space="preserve"> budgets as shown in </w:t>
      </w:r>
      <w:r w:rsidR="00FE59B8">
        <w:rPr>
          <w:b/>
          <w:bCs/>
          <w:szCs w:val="18"/>
        </w:rPr>
        <w:t>F</w:t>
      </w:r>
      <w:r w:rsidRPr="00305F89">
        <w:rPr>
          <w:b/>
          <w:bCs/>
          <w:szCs w:val="18"/>
        </w:rPr>
        <w:t>igure 43</w:t>
      </w:r>
      <w:r w:rsidRPr="00305F89">
        <w:rPr>
          <w:szCs w:val="18"/>
        </w:rPr>
        <w:t xml:space="preserve"> below.</w:t>
      </w:r>
    </w:p>
    <w:p w14:paraId="2AF5CEF6" w14:textId="77777777" w:rsidR="00CC7CE7" w:rsidRDefault="00CC7CE7" w:rsidP="00CC7CE7">
      <w:pPr>
        <w:pStyle w:val="Caption"/>
        <w:rPr>
          <w:b/>
          <w:bCs/>
          <w:i w:val="0"/>
          <w:iCs w:val="0"/>
        </w:rPr>
      </w:pPr>
      <w:r w:rsidRPr="005B6B08">
        <w:rPr>
          <w:b/>
          <w:bCs/>
          <w:i w:val="0"/>
          <w:iCs w:val="0"/>
        </w:rPr>
        <w:t>Figure</w:t>
      </w:r>
      <w:r>
        <w:rPr>
          <w:b/>
          <w:bCs/>
          <w:i w:val="0"/>
          <w:iCs w:val="0"/>
        </w:rPr>
        <w:t xml:space="preserve"> 43 Budgeted debt 2016-17 onwards </w:t>
      </w:r>
    </w:p>
    <w:p w14:paraId="33116DF6" w14:textId="74BA6C10" w:rsidR="0077274F" w:rsidRPr="0077274F" w:rsidRDefault="0077274F" w:rsidP="0077274F">
      <w:r>
        <w:rPr>
          <w:noProof/>
        </w:rPr>
        <w:drawing>
          <wp:inline distT="0" distB="0" distL="0" distR="0" wp14:anchorId="2ED085C5" wp14:editId="512C7736">
            <wp:extent cx="5378450" cy="2701925"/>
            <wp:effectExtent l="0" t="0" r="12700" b="3175"/>
            <wp:docPr id="108" name="Chart 108">
              <a:extLst xmlns:a="http://schemas.openxmlformats.org/drawingml/2006/main">
                <a:ext uri="{FF2B5EF4-FFF2-40B4-BE49-F238E27FC236}">
                  <a16:creationId xmlns:a16="http://schemas.microsoft.com/office/drawing/2014/main" id="{262D7B0E-0EB8-43C7-8BBF-F8056192A3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EB451DB" w14:textId="3735D497" w:rsidR="00CC7CE7" w:rsidRDefault="00CC7CE7" w:rsidP="00CC7CE7">
      <w:pPr>
        <w:pStyle w:val="BodyText"/>
        <w:spacing w:before="0" w:line="240" w:lineRule="auto"/>
        <w:rPr>
          <w:sz w:val="16"/>
          <w:szCs w:val="16"/>
        </w:rPr>
      </w:pPr>
      <w:r w:rsidRPr="00836333">
        <w:rPr>
          <w:sz w:val="16"/>
          <w:szCs w:val="16"/>
        </w:rPr>
        <w:t xml:space="preserve">Source: </w:t>
      </w:r>
      <w:r w:rsidR="009C6EB9">
        <w:rPr>
          <w:sz w:val="16"/>
          <w:szCs w:val="16"/>
        </w:rPr>
        <w:t xml:space="preserve">2016-17 - </w:t>
      </w:r>
      <w:r w:rsidR="009C6EB9" w:rsidRPr="00836333">
        <w:rPr>
          <w:sz w:val="16"/>
          <w:szCs w:val="16"/>
        </w:rPr>
        <w:t>20</w:t>
      </w:r>
      <w:r w:rsidR="009C6EB9">
        <w:rPr>
          <w:sz w:val="16"/>
          <w:szCs w:val="16"/>
        </w:rPr>
        <w:t>20</w:t>
      </w:r>
      <w:r w:rsidR="009C6EB9" w:rsidRPr="00836333">
        <w:rPr>
          <w:sz w:val="16"/>
          <w:szCs w:val="16"/>
        </w:rPr>
        <w:t>-2</w:t>
      </w:r>
      <w:r w:rsidR="009C6EB9">
        <w:rPr>
          <w:sz w:val="16"/>
          <w:szCs w:val="16"/>
        </w:rPr>
        <w:t>1</w:t>
      </w:r>
      <w:r w:rsidR="009C6EB9" w:rsidRPr="00836333">
        <w:rPr>
          <w:sz w:val="16"/>
          <w:szCs w:val="16"/>
        </w:rPr>
        <w:t xml:space="preserve"> adopted </w:t>
      </w:r>
      <w:r w:rsidRPr="00836333">
        <w:rPr>
          <w:sz w:val="16"/>
          <w:szCs w:val="16"/>
        </w:rPr>
        <w:t>budgets</w:t>
      </w:r>
    </w:p>
    <w:p w14:paraId="26B51015" w14:textId="44098A47" w:rsidR="00CC7CE7" w:rsidRPr="00305F89" w:rsidRDefault="00CC7CE7" w:rsidP="00CC7CE7">
      <w:pPr>
        <w:rPr>
          <w:szCs w:val="18"/>
        </w:rPr>
      </w:pPr>
      <w:r w:rsidRPr="00305F89">
        <w:rPr>
          <w:b/>
          <w:bCs/>
          <w:szCs w:val="18"/>
        </w:rPr>
        <w:t>Figure 44</w:t>
      </w:r>
      <w:r w:rsidRPr="00305F89">
        <w:rPr>
          <w:szCs w:val="18"/>
        </w:rPr>
        <w:t xml:space="preserve"> below shows a steady increase in debt for metropolitan councils over the next four years as compared to the forecast actual for FY 2019-20. It should be noted that approximately 4</w:t>
      </w:r>
      <w:r w:rsidR="00FD02DB">
        <w:rPr>
          <w:szCs w:val="18"/>
        </w:rPr>
        <w:t>5</w:t>
      </w:r>
      <w:r w:rsidRPr="00305F89">
        <w:rPr>
          <w:szCs w:val="18"/>
        </w:rPr>
        <w:t xml:space="preserve">% of the metropolitan cohort borrowings for FY 2021-22 pertain to </w:t>
      </w:r>
      <w:r w:rsidR="009B53D0">
        <w:rPr>
          <w:szCs w:val="18"/>
        </w:rPr>
        <w:t xml:space="preserve">planned debt </w:t>
      </w:r>
      <w:r w:rsidR="00782BFE">
        <w:rPr>
          <w:szCs w:val="18"/>
        </w:rPr>
        <w:t xml:space="preserve">at </w:t>
      </w:r>
      <w:r w:rsidRPr="00305F89">
        <w:rPr>
          <w:szCs w:val="18"/>
        </w:rPr>
        <w:t>Melbourne, Knox and Brimbank city councils. Significant borrowings in larger metropolitan councils can distort debt forecasts. Interface councils, regional cities and large shires are also projecting increased levels of debt at the end of FY 2023-24 while small shires are projecting a slight decrease at the end of FY 2023-24 as compared to forecast actual for FY 2019-20.</w:t>
      </w:r>
    </w:p>
    <w:p w14:paraId="0B36C116" w14:textId="77777777" w:rsidR="00CC7CE7" w:rsidRDefault="00CC7CE7" w:rsidP="00CC7CE7">
      <w:pPr>
        <w:pStyle w:val="Caption"/>
        <w:rPr>
          <w:b/>
          <w:bCs/>
          <w:i w:val="0"/>
          <w:iCs w:val="0"/>
        </w:rPr>
      </w:pPr>
      <w:r w:rsidRPr="005B6B08">
        <w:rPr>
          <w:b/>
          <w:bCs/>
          <w:i w:val="0"/>
          <w:iCs w:val="0"/>
        </w:rPr>
        <w:t>Figure</w:t>
      </w:r>
      <w:r>
        <w:rPr>
          <w:b/>
          <w:bCs/>
          <w:i w:val="0"/>
          <w:iCs w:val="0"/>
        </w:rPr>
        <w:t xml:space="preserve"> 44 Budgeted debt 2019-20 onwards by Cohort</w:t>
      </w:r>
    </w:p>
    <w:p w14:paraId="4E9A1918" w14:textId="7D7D4C98" w:rsidR="00057891" w:rsidRPr="00057891" w:rsidRDefault="00057891" w:rsidP="00057891">
      <w:r>
        <w:rPr>
          <w:noProof/>
        </w:rPr>
        <w:drawing>
          <wp:inline distT="0" distB="0" distL="0" distR="0" wp14:anchorId="4AF05077" wp14:editId="2A1F2E88">
            <wp:extent cx="5705475" cy="2809875"/>
            <wp:effectExtent l="0" t="0" r="9525" b="9525"/>
            <wp:docPr id="109" name="Chart 109">
              <a:extLst xmlns:a="http://schemas.openxmlformats.org/drawingml/2006/main">
                <a:ext uri="{FF2B5EF4-FFF2-40B4-BE49-F238E27FC236}">
                  <a16:creationId xmlns:a16="http://schemas.microsoft.com/office/drawing/2014/main" id="{6DD492CE-459B-4DAE-801F-CAF11FE93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8C19F17" w14:textId="176E1E05" w:rsidR="00CC7CE7" w:rsidRDefault="00CC7CE7" w:rsidP="00CC7CE7">
      <w:pPr>
        <w:rPr>
          <w:sz w:val="20"/>
        </w:rPr>
      </w:pPr>
      <w:r w:rsidRPr="00836333">
        <w:rPr>
          <w:sz w:val="16"/>
          <w:szCs w:val="16"/>
        </w:rPr>
        <w:t xml:space="preserve">Source: 2020-21 </w:t>
      </w:r>
      <w:r w:rsidR="00EA1BDF">
        <w:rPr>
          <w:sz w:val="16"/>
          <w:szCs w:val="16"/>
        </w:rPr>
        <w:t>adopted</w:t>
      </w:r>
      <w:r w:rsidRPr="00836333">
        <w:rPr>
          <w:sz w:val="16"/>
          <w:szCs w:val="16"/>
        </w:rPr>
        <w:t xml:space="preserve"> budgets</w:t>
      </w:r>
    </w:p>
    <w:p w14:paraId="0700E204" w14:textId="77777777" w:rsidR="00CC7CE7" w:rsidRDefault="00CC7CE7" w:rsidP="00CC7CE7">
      <w:pPr>
        <w:rPr>
          <w:sz w:val="20"/>
        </w:rPr>
      </w:pPr>
    </w:p>
    <w:p w14:paraId="47EB70D2" w14:textId="77777777" w:rsidR="00CC7CE7" w:rsidRDefault="00CC7CE7" w:rsidP="00CC7CE7">
      <w:pPr>
        <w:rPr>
          <w:sz w:val="20"/>
        </w:rPr>
      </w:pPr>
    </w:p>
    <w:p w14:paraId="2E53F910" w14:textId="77777777" w:rsidR="00CC7CE7" w:rsidRDefault="00CC7CE7" w:rsidP="00CC7CE7">
      <w:pPr>
        <w:rPr>
          <w:sz w:val="20"/>
        </w:rPr>
      </w:pPr>
    </w:p>
    <w:p w14:paraId="6686AD4E" w14:textId="6DEE112A" w:rsidR="00CC7CE7" w:rsidRPr="00305F89" w:rsidRDefault="00CC7CE7" w:rsidP="00CC7CE7">
      <w:pPr>
        <w:spacing w:line="276" w:lineRule="auto"/>
        <w:rPr>
          <w:szCs w:val="18"/>
        </w:rPr>
      </w:pPr>
      <w:r w:rsidRPr="00305F89">
        <w:rPr>
          <w:szCs w:val="18"/>
        </w:rPr>
        <w:lastRenderedPageBreak/>
        <w:t xml:space="preserve">In addition to the </w:t>
      </w:r>
      <w:r w:rsidR="009B70B5">
        <w:rPr>
          <w:szCs w:val="18"/>
        </w:rPr>
        <w:t xml:space="preserve">adjusted </w:t>
      </w:r>
      <w:r w:rsidRPr="00305F89">
        <w:rPr>
          <w:szCs w:val="18"/>
        </w:rPr>
        <w:t xml:space="preserve">underlying </w:t>
      </w:r>
      <w:r w:rsidR="009B70B5">
        <w:rPr>
          <w:szCs w:val="18"/>
        </w:rPr>
        <w:t xml:space="preserve">operating </w:t>
      </w:r>
      <w:r w:rsidR="00B961A3">
        <w:rPr>
          <w:szCs w:val="18"/>
        </w:rPr>
        <w:t>result</w:t>
      </w:r>
      <w:r w:rsidRPr="00305F89">
        <w:rPr>
          <w:szCs w:val="18"/>
        </w:rPr>
        <w:t xml:space="preserve">, liquidity and indebtedness are other key indicators used by VAGO to assess the financial sustainability of Victorian councils. In their most recent report on 2018-19 local government audits, VAGO applied low risk ratings to all cohorts in relation to both liquidity and indebtedness. Collectively, the sector is expected to sustain the low risk ratings for liquidity and indebtedness in the short term despite the projected increase in new borrowings. </w:t>
      </w:r>
      <w:r w:rsidRPr="00305F89">
        <w:rPr>
          <w:b/>
          <w:bCs/>
          <w:szCs w:val="18"/>
        </w:rPr>
        <w:t xml:space="preserve">Figure 45 </w:t>
      </w:r>
      <w:r w:rsidRPr="00305F89">
        <w:rPr>
          <w:szCs w:val="18"/>
        </w:rPr>
        <w:t>below presents the comparison of budgeted debt and available cash and financial assets from 2016-17 onwards along with forward forecasts from 2020-21 onwards. Collectively councils remain in a relatively strong and stable liquidity position.</w:t>
      </w:r>
    </w:p>
    <w:p w14:paraId="57B38903" w14:textId="4F66DDD4" w:rsidR="00CC7CE7" w:rsidRDefault="00CC7CE7" w:rsidP="00CC7CE7">
      <w:pPr>
        <w:pStyle w:val="Caption"/>
        <w:rPr>
          <w:b/>
          <w:bCs/>
          <w:i w:val="0"/>
          <w:iCs w:val="0"/>
        </w:rPr>
      </w:pPr>
      <w:r w:rsidRPr="005B6B08">
        <w:rPr>
          <w:b/>
          <w:bCs/>
          <w:i w:val="0"/>
          <w:iCs w:val="0"/>
        </w:rPr>
        <w:t>Figure</w:t>
      </w:r>
      <w:r>
        <w:rPr>
          <w:b/>
          <w:bCs/>
          <w:i w:val="0"/>
          <w:iCs w:val="0"/>
        </w:rPr>
        <w:t xml:space="preserve"> 45 Budgeted </w:t>
      </w:r>
      <w:r w:rsidR="004E6E29">
        <w:rPr>
          <w:b/>
          <w:bCs/>
          <w:i w:val="0"/>
          <w:iCs w:val="0"/>
        </w:rPr>
        <w:t>c</w:t>
      </w:r>
      <w:r>
        <w:rPr>
          <w:b/>
          <w:bCs/>
          <w:i w:val="0"/>
          <w:iCs w:val="0"/>
        </w:rPr>
        <w:t xml:space="preserve">ash and </w:t>
      </w:r>
      <w:r w:rsidR="004E6E29">
        <w:rPr>
          <w:b/>
          <w:bCs/>
          <w:i w:val="0"/>
          <w:iCs w:val="0"/>
        </w:rPr>
        <w:t>d</w:t>
      </w:r>
      <w:r>
        <w:rPr>
          <w:b/>
          <w:bCs/>
          <w:i w:val="0"/>
          <w:iCs w:val="0"/>
        </w:rPr>
        <w:t>ebt 2016-17 onwards</w:t>
      </w:r>
    </w:p>
    <w:p w14:paraId="1D9C25B6" w14:textId="077DA497" w:rsidR="007F0E1B" w:rsidRPr="007F0E1B" w:rsidRDefault="007F0E1B" w:rsidP="007F0E1B">
      <w:r>
        <w:rPr>
          <w:noProof/>
        </w:rPr>
        <w:drawing>
          <wp:inline distT="0" distB="0" distL="0" distR="0" wp14:anchorId="7A1FECF9" wp14:editId="68B21843">
            <wp:extent cx="5463381" cy="2849562"/>
            <wp:effectExtent l="0" t="0" r="4445" b="8255"/>
            <wp:docPr id="110" name="Chart 110">
              <a:extLst xmlns:a="http://schemas.openxmlformats.org/drawingml/2006/main">
                <a:ext uri="{FF2B5EF4-FFF2-40B4-BE49-F238E27FC236}">
                  <a16:creationId xmlns:a16="http://schemas.microsoft.com/office/drawing/2014/main" id="{A4566C68-863E-470D-84BF-1918B0EEF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A5F86FF" w14:textId="2B492830" w:rsidR="00CC7CE7" w:rsidRDefault="00CC7CE7" w:rsidP="00CC7CE7">
      <w:pPr>
        <w:pStyle w:val="BodyText"/>
        <w:spacing w:before="0" w:line="240" w:lineRule="auto"/>
        <w:rPr>
          <w:sz w:val="16"/>
          <w:szCs w:val="16"/>
        </w:rPr>
      </w:pPr>
      <w:r w:rsidRPr="00836333">
        <w:rPr>
          <w:sz w:val="16"/>
          <w:szCs w:val="16"/>
        </w:rPr>
        <w:t xml:space="preserve">Source: </w:t>
      </w:r>
      <w:r w:rsidR="009A7E2C">
        <w:rPr>
          <w:sz w:val="16"/>
          <w:szCs w:val="16"/>
        </w:rPr>
        <w:t xml:space="preserve">2016-17 to </w:t>
      </w:r>
      <w:r w:rsidRPr="00836333">
        <w:rPr>
          <w:sz w:val="16"/>
          <w:szCs w:val="16"/>
        </w:rPr>
        <w:t xml:space="preserve">2020-21 </w:t>
      </w:r>
      <w:r w:rsidR="00EA1BDF">
        <w:rPr>
          <w:sz w:val="16"/>
          <w:szCs w:val="16"/>
        </w:rPr>
        <w:t>adopted</w:t>
      </w:r>
      <w:r w:rsidRPr="00836333">
        <w:rPr>
          <w:sz w:val="16"/>
          <w:szCs w:val="16"/>
        </w:rPr>
        <w:t xml:space="preserve"> budgets</w:t>
      </w:r>
    </w:p>
    <w:p w14:paraId="0DCA89E1" w14:textId="77777777" w:rsidR="00CC7CE7" w:rsidRDefault="00CC7CE7" w:rsidP="00CC7CE7"/>
    <w:p w14:paraId="2E183AC8" w14:textId="77777777" w:rsidR="00CC7CE7" w:rsidRDefault="00CC7CE7" w:rsidP="00CC7CE7"/>
    <w:p w14:paraId="7293CD6A" w14:textId="77777777" w:rsidR="00CC7CE7" w:rsidRDefault="00CC7CE7" w:rsidP="00CC7CE7"/>
    <w:p w14:paraId="2B3C55A4" w14:textId="77777777" w:rsidR="00CC7CE7" w:rsidRDefault="00CC7CE7" w:rsidP="00CC7CE7"/>
    <w:p w14:paraId="44AE516A" w14:textId="77777777" w:rsidR="00CC7CE7" w:rsidRDefault="00CC7CE7" w:rsidP="00CC7CE7">
      <w:r>
        <w:br w:type="page"/>
      </w:r>
    </w:p>
    <w:p w14:paraId="6E762B5E" w14:textId="77777777" w:rsidR="00CC7CE7" w:rsidRDefault="00CC7CE7" w:rsidP="00CC7CE7">
      <w:pPr>
        <w:pStyle w:val="Heading1"/>
      </w:pPr>
      <w:bookmarkStart w:id="51" w:name="_Toc48848024"/>
      <w:bookmarkStart w:id="52" w:name="_Toc75534499"/>
      <w:r>
        <w:lastRenderedPageBreak/>
        <w:t>Conclusion</w:t>
      </w:r>
      <w:bookmarkEnd w:id="51"/>
      <w:bookmarkEnd w:id="52"/>
    </w:p>
    <w:p w14:paraId="466AA983" w14:textId="77777777" w:rsidR="00CC7CE7" w:rsidRPr="00305F89" w:rsidRDefault="00CC7CE7" w:rsidP="00CC7CE7">
      <w:pPr>
        <w:rPr>
          <w:szCs w:val="18"/>
        </w:rPr>
      </w:pPr>
      <w:r w:rsidRPr="00305F89">
        <w:rPr>
          <w:szCs w:val="18"/>
        </w:rPr>
        <w:t xml:space="preserve">Despite the adverse impact of COVID-19 on both budgeted revenue and expenditure items, Victorian councils remain well placed to meet the economic challenges of the pandemic in the short term. The sector collectively entered the pandemic in a relatively strong financial position based on solid financial performance results in recent years. </w:t>
      </w:r>
    </w:p>
    <w:p w14:paraId="04F5E3E1" w14:textId="2619F77E" w:rsidR="00CC7CE7" w:rsidRPr="00305F89" w:rsidRDefault="00CC7CE7" w:rsidP="00CC7CE7">
      <w:pPr>
        <w:rPr>
          <w:szCs w:val="18"/>
        </w:rPr>
      </w:pPr>
      <w:r w:rsidRPr="00305F89">
        <w:rPr>
          <w:szCs w:val="18"/>
        </w:rPr>
        <w:t xml:space="preserve">While the </w:t>
      </w:r>
      <w:r w:rsidR="00EA1BDF">
        <w:rPr>
          <w:szCs w:val="18"/>
        </w:rPr>
        <w:t>adopted</w:t>
      </w:r>
      <w:r w:rsidRPr="00305F89">
        <w:rPr>
          <w:szCs w:val="18"/>
        </w:rPr>
        <w:t xml:space="preserve"> budgets for FY 2020-21 indicate some deferrals and reductions of capital works, the majority of Victorian councils have introduced measures to provide their ratepayers with relief from financial hardship and targeted community support packages. </w:t>
      </w:r>
      <w:r w:rsidR="00100367">
        <w:rPr>
          <w:szCs w:val="18"/>
        </w:rPr>
        <w:t>Seventeen</w:t>
      </w:r>
      <w:r w:rsidRPr="00305F89">
        <w:rPr>
          <w:szCs w:val="18"/>
        </w:rPr>
        <w:t xml:space="preserve"> councils have even chosen to apply a zero per cent rate rise</w:t>
      </w:r>
      <w:r w:rsidR="002022C8">
        <w:rPr>
          <w:szCs w:val="18"/>
        </w:rPr>
        <w:t xml:space="preserve"> or less</w:t>
      </w:r>
      <w:r w:rsidRPr="00305F89">
        <w:rPr>
          <w:szCs w:val="18"/>
        </w:rPr>
        <w:t>.</w:t>
      </w:r>
    </w:p>
    <w:p w14:paraId="6833E7AF" w14:textId="50494323" w:rsidR="00CC7CE7" w:rsidRPr="00305F89" w:rsidRDefault="00CC7CE7" w:rsidP="00CC7CE7">
      <w:pPr>
        <w:rPr>
          <w:szCs w:val="18"/>
        </w:rPr>
      </w:pPr>
      <w:r w:rsidRPr="00305F89">
        <w:rPr>
          <w:szCs w:val="18"/>
        </w:rPr>
        <w:t xml:space="preserve">The loss of income from statutory fees and fines and user fees as a result of council facility closures is concerning for metropolitan councils as these funds are a particularly important component of own source revenue for this cohort of councils. The 2020-21 </w:t>
      </w:r>
      <w:r w:rsidR="00EA1BDF">
        <w:rPr>
          <w:szCs w:val="18"/>
        </w:rPr>
        <w:t>adopted</w:t>
      </w:r>
      <w:r w:rsidRPr="00305F89">
        <w:rPr>
          <w:szCs w:val="18"/>
        </w:rPr>
        <w:t xml:space="preserve"> budgets demonstrate the direct impact any reduction in income from these sources can have on the financial performance (including adjusted underlying results) for metropolitan councils. The extended lockdowns in Victoria have the potential to further adversely impact on council finances, possibly beyond what has been estimated in the 2020-21 </w:t>
      </w:r>
      <w:r w:rsidR="00EA1BDF">
        <w:rPr>
          <w:szCs w:val="18"/>
        </w:rPr>
        <w:t>adopted</w:t>
      </w:r>
      <w:r w:rsidRPr="00305F89">
        <w:rPr>
          <w:szCs w:val="18"/>
        </w:rPr>
        <w:t xml:space="preserve"> budgets. </w:t>
      </w:r>
    </w:p>
    <w:p w14:paraId="2A4C0037" w14:textId="5D67A1B6" w:rsidR="00CC7CE7" w:rsidRPr="00305F89" w:rsidRDefault="00CC7CE7" w:rsidP="00CC7CE7">
      <w:pPr>
        <w:rPr>
          <w:szCs w:val="18"/>
        </w:rPr>
      </w:pPr>
      <w:r w:rsidRPr="00305F89">
        <w:rPr>
          <w:szCs w:val="18"/>
        </w:rPr>
        <w:t>As own source revenue reduces, councils will look to alternative revenue streams to supplement their finances. New borrowings in addition to the grant funding from the Commonwealth and State government may be an option to continue to deliver on council capital works programs. The existing strong liquidity position of the sector would help councils sustain debt repayments in the short term and the record low interest rates in Australia also make the increased use of debt a relatively viable option in such a scenario.</w:t>
      </w:r>
    </w:p>
    <w:p w14:paraId="40B0F713" w14:textId="77777777" w:rsidR="00CC7CE7" w:rsidRPr="00305F89" w:rsidRDefault="00CC7CE7" w:rsidP="00CC7CE7">
      <w:pPr>
        <w:rPr>
          <w:szCs w:val="18"/>
        </w:rPr>
      </w:pPr>
      <w:r w:rsidRPr="00305F89">
        <w:rPr>
          <w:szCs w:val="18"/>
        </w:rPr>
        <w:t xml:space="preserve">Sound financial planning and management can help councils continue to adapt in these challenging times. Some councils have already indicated their intentions to monitor the current situation in Victoria as it unfolds and realign their financial strategy in response, in the form of subsequent revised budgets. </w:t>
      </w:r>
    </w:p>
    <w:p w14:paraId="60037D7A" w14:textId="4BC9CC14" w:rsidR="00EE29D5" w:rsidRDefault="00CC7CE7" w:rsidP="00CC7CE7">
      <w:pPr>
        <w:rPr>
          <w:szCs w:val="18"/>
        </w:rPr>
      </w:pPr>
      <w:r w:rsidRPr="00305F89">
        <w:rPr>
          <w:szCs w:val="18"/>
        </w:rPr>
        <w:t xml:space="preserve">The true economic impacts of this global pandemic in both the immediate and longer term remain unclear, but Victorian councils have options due to the relative strength of their finances before COVID-19. </w:t>
      </w:r>
    </w:p>
    <w:p w14:paraId="17A6F6AE" w14:textId="77777777" w:rsidR="00EE29D5" w:rsidRDefault="00EE29D5" w:rsidP="00CC7CE7">
      <w:pPr>
        <w:rPr>
          <w:szCs w:val="18"/>
        </w:rPr>
      </w:pPr>
    </w:p>
    <w:p w14:paraId="2D5C4892" w14:textId="77777777" w:rsidR="00EE29D5" w:rsidRDefault="00EE29D5">
      <w:pPr>
        <w:spacing w:before="0" w:line="276" w:lineRule="auto"/>
        <w:rPr>
          <w:szCs w:val="18"/>
        </w:rPr>
      </w:pPr>
      <w:r>
        <w:rPr>
          <w:szCs w:val="18"/>
        </w:rPr>
        <w:br w:type="page"/>
      </w:r>
    </w:p>
    <w:p w14:paraId="1E7FD9F1" w14:textId="14A7C523" w:rsidR="00EE29D5" w:rsidRDefault="00EE29D5" w:rsidP="00EE29D5">
      <w:pPr>
        <w:pStyle w:val="Heading1"/>
      </w:pPr>
      <w:bookmarkStart w:id="53" w:name="_Toc75534500"/>
      <w:r>
        <w:lastRenderedPageBreak/>
        <w:t>Glossary</w:t>
      </w:r>
      <w:bookmarkEnd w:id="53"/>
    </w:p>
    <w:p w14:paraId="0BC1A0C7" w14:textId="77777777" w:rsidR="00EE29D5" w:rsidRDefault="00EE29D5" w:rsidP="00EE29D5"/>
    <w:tbl>
      <w:tblPr>
        <w:tblW w:w="9781" w:type="dxa"/>
        <w:tblInd w:w="80" w:type="dxa"/>
        <w:tblLayout w:type="fixed"/>
        <w:tblCellMar>
          <w:left w:w="0" w:type="dxa"/>
          <w:right w:w="0" w:type="dxa"/>
        </w:tblCellMar>
        <w:tblLook w:val="0000" w:firstRow="0" w:lastRow="0" w:firstColumn="0" w:lastColumn="0" w:noHBand="0" w:noVBand="0"/>
      </w:tblPr>
      <w:tblGrid>
        <w:gridCol w:w="2047"/>
        <w:gridCol w:w="7734"/>
      </w:tblGrid>
      <w:tr w:rsidR="00EE29D5" w:rsidRPr="003126D9" w14:paraId="52A4953D" w14:textId="77777777" w:rsidTr="00E978AB">
        <w:trPr>
          <w:trHeight w:val="60"/>
        </w:trPr>
        <w:tc>
          <w:tcPr>
            <w:tcW w:w="2047" w:type="dxa"/>
            <w:tcMar>
              <w:top w:w="57" w:type="dxa"/>
              <w:left w:w="80" w:type="dxa"/>
              <w:bottom w:w="57" w:type="dxa"/>
              <w:right w:w="80" w:type="dxa"/>
            </w:tcMar>
          </w:tcPr>
          <w:p w14:paraId="1E41AB77" w14:textId="77777777" w:rsidR="00EE29D5" w:rsidRPr="00646050" w:rsidRDefault="00EE29D5" w:rsidP="00E978AB">
            <w:pPr>
              <w:pStyle w:val="BodyText"/>
              <w:rPr>
                <w:rFonts w:cstheme="minorHAnsi"/>
                <w:b/>
                <w:sz w:val="18"/>
                <w:szCs w:val="18"/>
              </w:rPr>
            </w:pPr>
            <w:r w:rsidRPr="00646050">
              <w:rPr>
                <w:rFonts w:cstheme="minorHAnsi"/>
                <w:b/>
                <w:sz w:val="18"/>
                <w:szCs w:val="18"/>
              </w:rPr>
              <w:t>Act</w:t>
            </w:r>
          </w:p>
        </w:tc>
        <w:tc>
          <w:tcPr>
            <w:tcW w:w="7734" w:type="dxa"/>
            <w:tcMar>
              <w:top w:w="57" w:type="dxa"/>
              <w:left w:w="80" w:type="dxa"/>
              <w:bottom w:w="57" w:type="dxa"/>
              <w:right w:w="80" w:type="dxa"/>
            </w:tcMar>
          </w:tcPr>
          <w:p w14:paraId="585BBE69" w14:textId="77777777" w:rsidR="00EE29D5" w:rsidRPr="00646050" w:rsidRDefault="00EE29D5" w:rsidP="00E978AB">
            <w:pPr>
              <w:pStyle w:val="BodyText"/>
              <w:rPr>
                <w:rFonts w:cstheme="minorHAnsi"/>
                <w:sz w:val="18"/>
                <w:szCs w:val="18"/>
              </w:rPr>
            </w:pPr>
            <w:r w:rsidRPr="00646050">
              <w:rPr>
                <w:rFonts w:cstheme="minorHAnsi"/>
                <w:sz w:val="18"/>
                <w:szCs w:val="18"/>
              </w:rPr>
              <w:t>means the</w:t>
            </w:r>
            <w:r w:rsidRPr="00646050">
              <w:rPr>
                <w:rFonts w:cstheme="minorHAnsi"/>
                <w:i/>
                <w:iCs/>
                <w:sz w:val="18"/>
                <w:szCs w:val="18"/>
              </w:rPr>
              <w:t xml:space="preserve"> Local Government Act 1989</w:t>
            </w:r>
          </w:p>
        </w:tc>
      </w:tr>
      <w:tr w:rsidR="00EE29D5" w:rsidRPr="003126D9" w14:paraId="4520F546" w14:textId="77777777" w:rsidTr="00E978AB">
        <w:trPr>
          <w:trHeight w:val="60"/>
        </w:trPr>
        <w:tc>
          <w:tcPr>
            <w:tcW w:w="2047" w:type="dxa"/>
            <w:tcMar>
              <w:top w:w="57" w:type="dxa"/>
              <w:left w:w="80" w:type="dxa"/>
              <w:bottom w:w="57" w:type="dxa"/>
              <w:right w:w="80" w:type="dxa"/>
            </w:tcMar>
          </w:tcPr>
          <w:p w14:paraId="0EFE2FDD" w14:textId="77777777" w:rsidR="00EE29D5" w:rsidRPr="00646050" w:rsidRDefault="00EE29D5" w:rsidP="00E978AB">
            <w:pPr>
              <w:pStyle w:val="BodyText"/>
              <w:rPr>
                <w:rFonts w:cstheme="minorHAnsi"/>
                <w:b/>
                <w:sz w:val="18"/>
                <w:szCs w:val="18"/>
              </w:rPr>
            </w:pPr>
            <w:r w:rsidRPr="00646050">
              <w:rPr>
                <w:rFonts w:cstheme="minorHAnsi"/>
                <w:b/>
                <w:sz w:val="18"/>
                <w:szCs w:val="18"/>
              </w:rPr>
              <w:t>Adopted budget</w:t>
            </w:r>
          </w:p>
        </w:tc>
        <w:tc>
          <w:tcPr>
            <w:tcW w:w="7734" w:type="dxa"/>
            <w:tcMar>
              <w:top w:w="57" w:type="dxa"/>
              <w:left w:w="80" w:type="dxa"/>
              <w:bottom w:w="57" w:type="dxa"/>
              <w:right w:w="80" w:type="dxa"/>
            </w:tcMar>
          </w:tcPr>
          <w:p w14:paraId="487ED793" w14:textId="77777777" w:rsidR="00EE29D5" w:rsidRPr="00646050" w:rsidRDefault="00EE29D5" w:rsidP="00E978AB">
            <w:pPr>
              <w:pStyle w:val="BodyText"/>
              <w:rPr>
                <w:rFonts w:cstheme="minorHAnsi"/>
                <w:sz w:val="18"/>
                <w:szCs w:val="18"/>
              </w:rPr>
            </w:pPr>
            <w:r w:rsidRPr="00646050">
              <w:rPr>
                <w:rFonts w:cstheme="minorHAnsi"/>
                <w:sz w:val="18"/>
                <w:szCs w:val="18"/>
              </w:rPr>
              <w:t xml:space="preserve">means a budget adopted by a council in accordance with the Act </w:t>
            </w:r>
          </w:p>
        </w:tc>
      </w:tr>
      <w:tr w:rsidR="00EE29D5" w:rsidRPr="003126D9" w14:paraId="114375F5" w14:textId="77777777" w:rsidTr="00E978AB">
        <w:trPr>
          <w:trHeight w:val="60"/>
        </w:trPr>
        <w:tc>
          <w:tcPr>
            <w:tcW w:w="2047" w:type="dxa"/>
            <w:tcMar>
              <w:top w:w="57" w:type="dxa"/>
              <w:left w:w="80" w:type="dxa"/>
              <w:bottom w:w="57" w:type="dxa"/>
              <w:right w:w="80" w:type="dxa"/>
            </w:tcMar>
          </w:tcPr>
          <w:p w14:paraId="1C6E543A" w14:textId="77777777" w:rsidR="00EE29D5" w:rsidRPr="00646050" w:rsidRDefault="00EE29D5" w:rsidP="00E978AB">
            <w:pPr>
              <w:pStyle w:val="BodyText"/>
              <w:rPr>
                <w:rFonts w:cstheme="minorHAnsi"/>
                <w:b/>
                <w:sz w:val="18"/>
                <w:szCs w:val="18"/>
              </w:rPr>
            </w:pPr>
            <w:r w:rsidRPr="00646050">
              <w:rPr>
                <w:rFonts w:cstheme="minorHAnsi"/>
                <w:b/>
                <w:sz w:val="18"/>
                <w:szCs w:val="18"/>
              </w:rPr>
              <w:t>Annual report</w:t>
            </w:r>
          </w:p>
        </w:tc>
        <w:tc>
          <w:tcPr>
            <w:tcW w:w="7734" w:type="dxa"/>
            <w:tcMar>
              <w:top w:w="57" w:type="dxa"/>
              <w:left w:w="80" w:type="dxa"/>
              <w:bottom w:w="57" w:type="dxa"/>
              <w:right w:w="80" w:type="dxa"/>
            </w:tcMar>
          </w:tcPr>
          <w:p w14:paraId="4FA1E7B9" w14:textId="77777777" w:rsidR="00EE29D5" w:rsidRPr="00646050" w:rsidRDefault="00EE29D5" w:rsidP="00E978AB">
            <w:pPr>
              <w:pStyle w:val="BodyText"/>
              <w:rPr>
                <w:rFonts w:cstheme="minorHAnsi"/>
                <w:sz w:val="18"/>
                <w:szCs w:val="18"/>
              </w:rPr>
            </w:pPr>
            <w:r w:rsidRPr="00646050">
              <w:rPr>
                <w:rFonts w:cstheme="minorHAnsi"/>
                <w:sz w:val="18"/>
                <w:szCs w:val="18"/>
              </w:rPr>
              <w:t>means a report of the council’s operations of the previous financial year and contains a report of operations, audited financial statements and an audited performance statement</w:t>
            </w:r>
          </w:p>
        </w:tc>
      </w:tr>
      <w:tr w:rsidR="00EE29D5" w:rsidRPr="003126D9" w14:paraId="76AA3BEF" w14:textId="77777777" w:rsidTr="00E978AB">
        <w:trPr>
          <w:trHeight w:val="475"/>
        </w:trPr>
        <w:tc>
          <w:tcPr>
            <w:tcW w:w="2047" w:type="dxa"/>
            <w:tcMar>
              <w:top w:w="57" w:type="dxa"/>
              <w:left w:w="80" w:type="dxa"/>
              <w:bottom w:w="57" w:type="dxa"/>
              <w:right w:w="80" w:type="dxa"/>
            </w:tcMar>
          </w:tcPr>
          <w:p w14:paraId="6410F1FF" w14:textId="77777777" w:rsidR="00EE29D5" w:rsidRPr="00646050" w:rsidRDefault="00EE29D5" w:rsidP="00E978AB">
            <w:pPr>
              <w:pStyle w:val="BodyText"/>
              <w:rPr>
                <w:rFonts w:cstheme="minorHAnsi"/>
                <w:b/>
                <w:sz w:val="18"/>
                <w:szCs w:val="18"/>
              </w:rPr>
            </w:pPr>
            <w:r w:rsidRPr="00646050">
              <w:rPr>
                <w:rFonts w:cstheme="minorHAnsi"/>
                <w:b/>
                <w:sz w:val="18"/>
                <w:szCs w:val="18"/>
              </w:rPr>
              <w:t>Australian Accounting Standards (AAS)</w:t>
            </w:r>
          </w:p>
        </w:tc>
        <w:tc>
          <w:tcPr>
            <w:tcW w:w="7734" w:type="dxa"/>
            <w:tcMar>
              <w:top w:w="57" w:type="dxa"/>
              <w:left w:w="80" w:type="dxa"/>
              <w:bottom w:w="57" w:type="dxa"/>
              <w:right w:w="80" w:type="dxa"/>
            </w:tcMar>
          </w:tcPr>
          <w:p w14:paraId="7920B41A" w14:textId="77777777" w:rsidR="00EE29D5" w:rsidRPr="00646050" w:rsidRDefault="00EE29D5" w:rsidP="00E978AB">
            <w:pPr>
              <w:pStyle w:val="BodyText"/>
              <w:rPr>
                <w:rFonts w:cstheme="minorHAnsi"/>
                <w:sz w:val="18"/>
                <w:szCs w:val="18"/>
              </w:rPr>
            </w:pPr>
            <w:r w:rsidRPr="00646050">
              <w:rPr>
                <w:rFonts w:cstheme="minorHAnsi"/>
                <w:sz w:val="18"/>
                <w:szCs w:val="18"/>
              </w:rPr>
              <w:t>means the accounting standards published by the Australian Accounting Standards Board</w:t>
            </w:r>
          </w:p>
        </w:tc>
      </w:tr>
      <w:tr w:rsidR="00EE29D5" w:rsidRPr="003126D9" w14:paraId="5151E6AE" w14:textId="77777777" w:rsidTr="00E978AB">
        <w:trPr>
          <w:trHeight w:val="60"/>
        </w:trPr>
        <w:tc>
          <w:tcPr>
            <w:tcW w:w="2047" w:type="dxa"/>
            <w:tcMar>
              <w:top w:w="57" w:type="dxa"/>
              <w:left w:w="80" w:type="dxa"/>
              <w:bottom w:w="57" w:type="dxa"/>
              <w:right w:w="80" w:type="dxa"/>
            </w:tcMar>
          </w:tcPr>
          <w:p w14:paraId="7BCA2EA4" w14:textId="77777777" w:rsidR="00EE29D5" w:rsidRPr="00646050" w:rsidRDefault="00EE29D5" w:rsidP="00E978AB">
            <w:pPr>
              <w:pStyle w:val="BodyText"/>
              <w:rPr>
                <w:rFonts w:cstheme="minorHAnsi"/>
                <w:b/>
                <w:sz w:val="18"/>
                <w:szCs w:val="18"/>
              </w:rPr>
            </w:pPr>
            <w:r w:rsidRPr="00646050">
              <w:rPr>
                <w:rFonts w:cstheme="minorHAnsi"/>
                <w:b/>
                <w:sz w:val="18"/>
                <w:szCs w:val="18"/>
              </w:rPr>
              <w:t>Budget</w:t>
            </w:r>
          </w:p>
        </w:tc>
        <w:tc>
          <w:tcPr>
            <w:tcW w:w="7734" w:type="dxa"/>
            <w:tcMar>
              <w:top w:w="57" w:type="dxa"/>
              <w:left w:w="80" w:type="dxa"/>
              <w:bottom w:w="57" w:type="dxa"/>
              <w:right w:w="80" w:type="dxa"/>
            </w:tcMar>
          </w:tcPr>
          <w:p w14:paraId="166C3C4C" w14:textId="77777777" w:rsidR="00EE29D5" w:rsidRPr="00646050" w:rsidRDefault="00EE29D5" w:rsidP="00E978AB">
            <w:pPr>
              <w:pStyle w:val="BodyText"/>
              <w:rPr>
                <w:rFonts w:cstheme="minorHAnsi"/>
                <w:sz w:val="18"/>
                <w:szCs w:val="18"/>
              </w:rPr>
            </w:pPr>
            <w:r w:rsidRPr="00646050">
              <w:rPr>
                <w:rFonts w:cstheme="minorHAnsi"/>
                <w:sz w:val="18"/>
                <w:szCs w:val="18"/>
              </w:rPr>
              <w:t>means a plan setting out the services and initiatives to be funded for the financial year and how they will contribute to achieving the strategic objectives specified in the council plan</w:t>
            </w:r>
          </w:p>
        </w:tc>
      </w:tr>
      <w:tr w:rsidR="00EE29D5" w:rsidRPr="003126D9" w14:paraId="37A0E4C3" w14:textId="77777777" w:rsidTr="00E978AB">
        <w:trPr>
          <w:trHeight w:val="60"/>
        </w:trPr>
        <w:tc>
          <w:tcPr>
            <w:tcW w:w="2047" w:type="dxa"/>
            <w:tcMar>
              <w:top w:w="57" w:type="dxa"/>
              <w:left w:w="80" w:type="dxa"/>
              <w:bottom w:w="57" w:type="dxa"/>
              <w:right w:w="80" w:type="dxa"/>
            </w:tcMar>
          </w:tcPr>
          <w:p w14:paraId="4E0B8E75" w14:textId="77777777" w:rsidR="00EE29D5" w:rsidRPr="00646050" w:rsidRDefault="00EE29D5" w:rsidP="00E978AB">
            <w:pPr>
              <w:pStyle w:val="BodyText"/>
              <w:rPr>
                <w:rFonts w:cstheme="minorHAnsi"/>
                <w:b/>
                <w:sz w:val="18"/>
                <w:szCs w:val="18"/>
              </w:rPr>
            </w:pPr>
            <w:r w:rsidRPr="00646050">
              <w:rPr>
                <w:rFonts w:cstheme="minorHAnsi"/>
                <w:b/>
                <w:sz w:val="18"/>
                <w:szCs w:val="18"/>
              </w:rPr>
              <w:t>Council plan</w:t>
            </w:r>
          </w:p>
        </w:tc>
        <w:tc>
          <w:tcPr>
            <w:tcW w:w="7734" w:type="dxa"/>
            <w:tcMar>
              <w:top w:w="57" w:type="dxa"/>
              <w:left w:w="80" w:type="dxa"/>
              <w:bottom w:w="57" w:type="dxa"/>
              <w:right w:w="80" w:type="dxa"/>
            </w:tcMar>
          </w:tcPr>
          <w:p w14:paraId="2C64F1E7" w14:textId="77777777" w:rsidR="00EE29D5" w:rsidRPr="00646050" w:rsidRDefault="00EE29D5" w:rsidP="00E978AB">
            <w:pPr>
              <w:pStyle w:val="BodyText"/>
              <w:rPr>
                <w:rFonts w:cstheme="minorHAnsi"/>
                <w:sz w:val="18"/>
                <w:szCs w:val="18"/>
              </w:rPr>
            </w:pPr>
            <w:r w:rsidRPr="00646050">
              <w:rPr>
                <w:rFonts w:cstheme="minorHAnsi"/>
                <w:sz w:val="18"/>
                <w:szCs w:val="18"/>
              </w:rPr>
              <w:t>means a plan setting out the medium-term strategic objectives, strategies, strategic indicators and resources reflecting vision and aspirations of the community for the next four years</w:t>
            </w:r>
          </w:p>
        </w:tc>
      </w:tr>
      <w:tr w:rsidR="00EE29D5" w:rsidRPr="003126D9" w14:paraId="3BA61CCF" w14:textId="77777777" w:rsidTr="00E978AB">
        <w:trPr>
          <w:trHeight w:val="60"/>
        </w:trPr>
        <w:tc>
          <w:tcPr>
            <w:tcW w:w="2047" w:type="dxa"/>
            <w:tcMar>
              <w:top w:w="57" w:type="dxa"/>
              <w:left w:w="80" w:type="dxa"/>
              <w:bottom w:w="57" w:type="dxa"/>
              <w:right w:w="80" w:type="dxa"/>
            </w:tcMar>
          </w:tcPr>
          <w:p w14:paraId="3274EF5F" w14:textId="77777777" w:rsidR="00EE29D5" w:rsidRPr="00646050" w:rsidRDefault="00EE29D5" w:rsidP="00E978AB">
            <w:pPr>
              <w:pStyle w:val="BodyText"/>
              <w:rPr>
                <w:rFonts w:cstheme="minorHAnsi"/>
                <w:b/>
                <w:sz w:val="18"/>
                <w:szCs w:val="18"/>
              </w:rPr>
            </w:pPr>
            <w:r w:rsidRPr="00646050">
              <w:rPr>
                <w:rFonts w:cstheme="minorHAnsi"/>
                <w:b/>
                <w:sz w:val="18"/>
                <w:szCs w:val="18"/>
              </w:rPr>
              <w:t xml:space="preserve">Financial statements </w:t>
            </w:r>
          </w:p>
        </w:tc>
        <w:tc>
          <w:tcPr>
            <w:tcW w:w="7734" w:type="dxa"/>
            <w:tcMar>
              <w:top w:w="57" w:type="dxa"/>
              <w:left w:w="80" w:type="dxa"/>
              <w:bottom w:w="57" w:type="dxa"/>
              <w:right w:w="80" w:type="dxa"/>
            </w:tcMar>
          </w:tcPr>
          <w:p w14:paraId="4B0FE3E1" w14:textId="77777777" w:rsidR="00EE29D5" w:rsidRPr="00646050" w:rsidRDefault="00EE29D5" w:rsidP="00E978AB">
            <w:pPr>
              <w:pStyle w:val="BodyText"/>
              <w:rPr>
                <w:rFonts w:cstheme="minorHAnsi"/>
                <w:sz w:val="18"/>
                <w:szCs w:val="18"/>
              </w:rPr>
            </w:pPr>
            <w:r w:rsidRPr="00646050">
              <w:rPr>
                <w:rFonts w:cstheme="minorHAnsi"/>
                <w:sz w:val="18"/>
                <w:szCs w:val="18"/>
              </w:rPr>
              <w:t xml:space="preserve">means the financial statements and notes prepared in accordance with the </w:t>
            </w:r>
            <w:r w:rsidRPr="00646050">
              <w:rPr>
                <w:rFonts w:cstheme="minorHAnsi"/>
                <w:i/>
                <w:iCs/>
                <w:sz w:val="18"/>
                <w:szCs w:val="18"/>
              </w:rPr>
              <w:t>Local Government Model Financial Report</w:t>
            </w:r>
            <w:r w:rsidRPr="00646050">
              <w:rPr>
                <w:rFonts w:cstheme="minorHAnsi"/>
                <w:sz w:val="18"/>
                <w:szCs w:val="18"/>
              </w:rPr>
              <w:t>, Australian Accounting Standards and other applicable standards as they apply to the general purpose financial reports and statement of capital works, included in the annual report</w:t>
            </w:r>
          </w:p>
        </w:tc>
      </w:tr>
      <w:tr w:rsidR="00EE29D5" w:rsidRPr="003126D9" w14:paraId="33979D50" w14:textId="77777777" w:rsidTr="00E978AB">
        <w:trPr>
          <w:trHeight w:val="225"/>
        </w:trPr>
        <w:tc>
          <w:tcPr>
            <w:tcW w:w="2047" w:type="dxa"/>
            <w:tcMar>
              <w:top w:w="57" w:type="dxa"/>
              <w:left w:w="80" w:type="dxa"/>
              <w:bottom w:w="57" w:type="dxa"/>
              <w:right w:w="80" w:type="dxa"/>
            </w:tcMar>
          </w:tcPr>
          <w:p w14:paraId="6EAC0484" w14:textId="77777777" w:rsidR="00EE29D5" w:rsidRPr="00646050" w:rsidRDefault="00EE29D5" w:rsidP="00E978AB">
            <w:pPr>
              <w:pStyle w:val="BodyText"/>
              <w:rPr>
                <w:rFonts w:cstheme="minorHAnsi"/>
                <w:b/>
                <w:sz w:val="18"/>
                <w:szCs w:val="18"/>
              </w:rPr>
            </w:pPr>
            <w:r w:rsidRPr="00646050">
              <w:rPr>
                <w:rFonts w:cstheme="minorHAnsi"/>
                <w:b/>
                <w:sz w:val="18"/>
                <w:szCs w:val="18"/>
              </w:rPr>
              <w:t>Financial year</w:t>
            </w:r>
          </w:p>
        </w:tc>
        <w:tc>
          <w:tcPr>
            <w:tcW w:w="7734" w:type="dxa"/>
            <w:tcMar>
              <w:top w:w="57" w:type="dxa"/>
              <w:left w:w="80" w:type="dxa"/>
              <w:bottom w:w="57" w:type="dxa"/>
              <w:right w:w="80" w:type="dxa"/>
            </w:tcMar>
          </w:tcPr>
          <w:p w14:paraId="58363B8E" w14:textId="77777777" w:rsidR="00EE29D5" w:rsidRPr="00646050" w:rsidRDefault="00EE29D5" w:rsidP="00E978AB">
            <w:pPr>
              <w:pStyle w:val="BodyText"/>
              <w:rPr>
                <w:rFonts w:cstheme="minorHAnsi"/>
                <w:sz w:val="18"/>
                <w:szCs w:val="18"/>
              </w:rPr>
            </w:pPr>
            <w:r w:rsidRPr="00646050">
              <w:rPr>
                <w:rFonts w:cstheme="minorHAnsi"/>
                <w:sz w:val="18"/>
                <w:szCs w:val="18"/>
              </w:rPr>
              <w:t>means the period of 12 months ending on 30 June each year</w:t>
            </w:r>
          </w:p>
        </w:tc>
      </w:tr>
      <w:tr w:rsidR="00EE29D5" w:rsidRPr="003126D9" w14:paraId="1E15189B" w14:textId="77777777" w:rsidTr="00E978AB">
        <w:trPr>
          <w:trHeight w:val="225"/>
        </w:trPr>
        <w:tc>
          <w:tcPr>
            <w:tcW w:w="2047" w:type="dxa"/>
            <w:tcMar>
              <w:top w:w="57" w:type="dxa"/>
              <w:left w:w="80" w:type="dxa"/>
              <w:bottom w:w="57" w:type="dxa"/>
              <w:right w:w="80" w:type="dxa"/>
            </w:tcMar>
          </w:tcPr>
          <w:p w14:paraId="5A7AE106" w14:textId="77777777" w:rsidR="00EE29D5" w:rsidRPr="00646050" w:rsidRDefault="00EE29D5" w:rsidP="00E978AB">
            <w:pPr>
              <w:pStyle w:val="BodyText"/>
              <w:rPr>
                <w:rFonts w:cstheme="minorHAnsi"/>
                <w:b/>
                <w:sz w:val="18"/>
                <w:szCs w:val="18"/>
              </w:rPr>
            </w:pPr>
            <w:r w:rsidRPr="00646050">
              <w:rPr>
                <w:rFonts w:cstheme="minorHAnsi"/>
                <w:b/>
                <w:sz w:val="18"/>
                <w:szCs w:val="18"/>
              </w:rPr>
              <w:t>Forecast actual</w:t>
            </w:r>
          </w:p>
        </w:tc>
        <w:tc>
          <w:tcPr>
            <w:tcW w:w="7734" w:type="dxa"/>
            <w:tcMar>
              <w:top w:w="57" w:type="dxa"/>
              <w:left w:w="80" w:type="dxa"/>
              <w:bottom w:w="57" w:type="dxa"/>
              <w:right w:w="80" w:type="dxa"/>
            </w:tcMar>
          </w:tcPr>
          <w:p w14:paraId="371790A7" w14:textId="77777777" w:rsidR="00EE29D5" w:rsidRPr="00646050" w:rsidRDefault="00EE29D5" w:rsidP="00E978AB">
            <w:pPr>
              <w:pStyle w:val="BodyText"/>
              <w:rPr>
                <w:rFonts w:cstheme="minorHAnsi"/>
                <w:sz w:val="18"/>
                <w:szCs w:val="18"/>
              </w:rPr>
            </w:pPr>
            <w:r w:rsidRPr="00646050">
              <w:rPr>
                <w:rFonts w:cstheme="minorHAnsi"/>
                <w:sz w:val="18"/>
                <w:szCs w:val="18"/>
              </w:rPr>
              <w:t xml:space="preserve">means an estimate of the result at 30 June based on the latest available actual data  </w:t>
            </w:r>
          </w:p>
        </w:tc>
      </w:tr>
      <w:tr w:rsidR="00EE29D5" w:rsidRPr="003126D9" w14:paraId="718ACD74" w14:textId="77777777" w:rsidTr="00E978AB">
        <w:trPr>
          <w:trHeight w:val="60"/>
        </w:trPr>
        <w:tc>
          <w:tcPr>
            <w:tcW w:w="2047" w:type="dxa"/>
            <w:tcMar>
              <w:top w:w="57" w:type="dxa"/>
              <w:left w:w="80" w:type="dxa"/>
              <w:bottom w:w="57" w:type="dxa"/>
              <w:right w:w="80" w:type="dxa"/>
            </w:tcMar>
          </w:tcPr>
          <w:p w14:paraId="2A5DC628" w14:textId="0E51EEA2" w:rsidR="00EE29D5" w:rsidRPr="00646050" w:rsidRDefault="00C661C2" w:rsidP="00E978AB">
            <w:pPr>
              <w:pStyle w:val="BodyText"/>
              <w:rPr>
                <w:rFonts w:cstheme="minorHAnsi"/>
                <w:b/>
                <w:sz w:val="18"/>
                <w:szCs w:val="18"/>
              </w:rPr>
            </w:pPr>
            <w:r>
              <w:rPr>
                <w:rFonts w:cstheme="minorHAnsi"/>
                <w:b/>
                <w:sz w:val="18"/>
                <w:szCs w:val="18"/>
              </w:rPr>
              <w:t>Proposed</w:t>
            </w:r>
            <w:r w:rsidR="00EE29D5" w:rsidRPr="00646050">
              <w:rPr>
                <w:rFonts w:cstheme="minorHAnsi"/>
                <w:b/>
                <w:sz w:val="18"/>
                <w:szCs w:val="18"/>
              </w:rPr>
              <w:t xml:space="preserve"> budget</w:t>
            </w:r>
          </w:p>
        </w:tc>
        <w:tc>
          <w:tcPr>
            <w:tcW w:w="7734" w:type="dxa"/>
            <w:tcMar>
              <w:top w:w="57" w:type="dxa"/>
              <w:left w:w="80" w:type="dxa"/>
              <w:bottom w:w="57" w:type="dxa"/>
              <w:right w:w="80" w:type="dxa"/>
            </w:tcMar>
          </w:tcPr>
          <w:p w14:paraId="6A87A9D2" w14:textId="77777777" w:rsidR="00EE29D5" w:rsidRPr="00646050" w:rsidRDefault="00EE29D5" w:rsidP="00E978AB">
            <w:pPr>
              <w:pStyle w:val="BodyText"/>
              <w:rPr>
                <w:rFonts w:cstheme="minorHAnsi"/>
                <w:sz w:val="18"/>
                <w:szCs w:val="18"/>
              </w:rPr>
            </w:pPr>
            <w:r w:rsidRPr="00646050">
              <w:rPr>
                <w:rFonts w:cstheme="minorHAnsi"/>
                <w:sz w:val="18"/>
                <w:szCs w:val="18"/>
              </w:rPr>
              <w:t>means a budget approved by a council for public advertising and consultation in accordance with the Act and yet to be adopted.</w:t>
            </w:r>
          </w:p>
        </w:tc>
      </w:tr>
      <w:tr w:rsidR="00EE29D5" w:rsidRPr="003126D9" w14:paraId="3FFCF3BF" w14:textId="77777777" w:rsidTr="00E978AB">
        <w:trPr>
          <w:trHeight w:val="60"/>
        </w:trPr>
        <w:tc>
          <w:tcPr>
            <w:tcW w:w="2047" w:type="dxa"/>
            <w:tcMar>
              <w:top w:w="57" w:type="dxa"/>
              <w:left w:w="80" w:type="dxa"/>
              <w:bottom w:w="57" w:type="dxa"/>
              <w:right w:w="80" w:type="dxa"/>
            </w:tcMar>
          </w:tcPr>
          <w:p w14:paraId="74F8D81E" w14:textId="77777777" w:rsidR="00EE29D5" w:rsidRPr="00646050" w:rsidRDefault="00EE29D5" w:rsidP="00E978AB">
            <w:pPr>
              <w:pStyle w:val="BodyText"/>
              <w:rPr>
                <w:rFonts w:cstheme="minorHAnsi"/>
                <w:b/>
                <w:sz w:val="18"/>
                <w:szCs w:val="18"/>
              </w:rPr>
            </w:pPr>
            <w:r w:rsidRPr="00646050">
              <w:rPr>
                <w:rFonts w:cstheme="minorHAnsi"/>
                <w:b/>
                <w:sz w:val="18"/>
                <w:szCs w:val="18"/>
              </w:rPr>
              <w:t>Rates and Charges</w:t>
            </w:r>
          </w:p>
        </w:tc>
        <w:tc>
          <w:tcPr>
            <w:tcW w:w="7734" w:type="dxa"/>
            <w:tcMar>
              <w:top w:w="57" w:type="dxa"/>
              <w:left w:w="80" w:type="dxa"/>
              <w:bottom w:w="57" w:type="dxa"/>
              <w:right w:w="80" w:type="dxa"/>
            </w:tcMar>
          </w:tcPr>
          <w:p w14:paraId="0987F635" w14:textId="77777777" w:rsidR="00EE29D5" w:rsidRPr="00646050" w:rsidRDefault="00EE29D5" w:rsidP="00E978AB">
            <w:pPr>
              <w:pStyle w:val="BodyText"/>
              <w:rPr>
                <w:rFonts w:cstheme="minorHAnsi"/>
                <w:sz w:val="18"/>
                <w:szCs w:val="18"/>
              </w:rPr>
            </w:pPr>
            <w:r w:rsidRPr="00646050">
              <w:rPr>
                <w:rFonts w:cstheme="minorHAnsi"/>
                <w:sz w:val="18"/>
                <w:szCs w:val="18"/>
              </w:rPr>
              <w:t>means general rates, municipal charges and service charges (most commonly referred to as waste, garbage or recycling charges) as defined in the Act.</w:t>
            </w:r>
          </w:p>
        </w:tc>
      </w:tr>
      <w:tr w:rsidR="00EE29D5" w:rsidRPr="003126D9" w14:paraId="30C2B8B3" w14:textId="77777777" w:rsidTr="00E978AB">
        <w:trPr>
          <w:trHeight w:val="60"/>
        </w:trPr>
        <w:tc>
          <w:tcPr>
            <w:tcW w:w="2047" w:type="dxa"/>
            <w:tcMar>
              <w:top w:w="57" w:type="dxa"/>
              <w:left w:w="80" w:type="dxa"/>
              <w:bottom w:w="57" w:type="dxa"/>
              <w:right w:w="80" w:type="dxa"/>
            </w:tcMar>
          </w:tcPr>
          <w:p w14:paraId="661FAB78" w14:textId="77777777" w:rsidR="00EE29D5" w:rsidRPr="00646050" w:rsidRDefault="00EE29D5" w:rsidP="00E978AB">
            <w:pPr>
              <w:pStyle w:val="BodyText"/>
              <w:rPr>
                <w:rFonts w:cstheme="minorHAnsi"/>
                <w:b/>
                <w:sz w:val="18"/>
                <w:szCs w:val="18"/>
              </w:rPr>
            </w:pPr>
            <w:r w:rsidRPr="00646050">
              <w:rPr>
                <w:rFonts w:cstheme="minorHAnsi"/>
                <w:b/>
                <w:sz w:val="18"/>
                <w:szCs w:val="18"/>
              </w:rPr>
              <w:t>Regulations</w:t>
            </w:r>
          </w:p>
        </w:tc>
        <w:tc>
          <w:tcPr>
            <w:tcW w:w="7734" w:type="dxa"/>
            <w:tcMar>
              <w:top w:w="57" w:type="dxa"/>
              <w:left w:w="80" w:type="dxa"/>
              <w:bottom w:w="57" w:type="dxa"/>
              <w:right w:w="80" w:type="dxa"/>
            </w:tcMar>
          </w:tcPr>
          <w:p w14:paraId="68020690" w14:textId="77777777" w:rsidR="00EE29D5" w:rsidRPr="00646050" w:rsidRDefault="00EE29D5" w:rsidP="00E978AB">
            <w:pPr>
              <w:pStyle w:val="BodyText"/>
              <w:rPr>
                <w:rFonts w:cstheme="minorHAnsi"/>
                <w:sz w:val="18"/>
                <w:szCs w:val="18"/>
              </w:rPr>
            </w:pPr>
            <w:r w:rsidRPr="00646050">
              <w:rPr>
                <w:rFonts w:cstheme="minorHAnsi"/>
                <w:sz w:val="18"/>
                <w:szCs w:val="18"/>
              </w:rPr>
              <w:t>means the</w:t>
            </w:r>
            <w:r w:rsidRPr="00646050">
              <w:rPr>
                <w:rFonts w:cstheme="minorHAnsi"/>
                <w:i/>
                <w:iCs/>
                <w:sz w:val="18"/>
                <w:szCs w:val="18"/>
              </w:rPr>
              <w:t xml:space="preserve"> Local Government (Planning and Reporting) Regulations 2014</w:t>
            </w:r>
          </w:p>
        </w:tc>
      </w:tr>
      <w:tr w:rsidR="00EE29D5" w:rsidRPr="003126D9" w14:paraId="44B11D9E" w14:textId="77777777" w:rsidTr="00E978AB">
        <w:trPr>
          <w:trHeight w:val="60"/>
        </w:trPr>
        <w:tc>
          <w:tcPr>
            <w:tcW w:w="2047" w:type="dxa"/>
            <w:tcMar>
              <w:top w:w="57" w:type="dxa"/>
              <w:left w:w="80" w:type="dxa"/>
              <w:bottom w:w="57" w:type="dxa"/>
              <w:right w:w="80" w:type="dxa"/>
            </w:tcMar>
          </w:tcPr>
          <w:p w14:paraId="39348491" w14:textId="77777777" w:rsidR="00EE29D5" w:rsidRPr="00646050" w:rsidRDefault="00EE29D5" w:rsidP="00E978AB">
            <w:pPr>
              <w:pStyle w:val="BodyText"/>
              <w:rPr>
                <w:rFonts w:cstheme="minorHAnsi"/>
                <w:b/>
                <w:sz w:val="18"/>
                <w:szCs w:val="18"/>
              </w:rPr>
            </w:pPr>
            <w:r w:rsidRPr="00646050">
              <w:rPr>
                <w:rFonts w:cstheme="minorHAnsi"/>
                <w:b/>
                <w:sz w:val="18"/>
                <w:szCs w:val="18"/>
              </w:rPr>
              <w:t>Revised budget</w:t>
            </w:r>
          </w:p>
        </w:tc>
        <w:tc>
          <w:tcPr>
            <w:tcW w:w="7734" w:type="dxa"/>
            <w:tcMar>
              <w:top w:w="57" w:type="dxa"/>
              <w:left w:w="80" w:type="dxa"/>
              <w:bottom w:w="57" w:type="dxa"/>
              <w:right w:w="80" w:type="dxa"/>
            </w:tcMar>
          </w:tcPr>
          <w:p w14:paraId="2ECE8AD7" w14:textId="77777777" w:rsidR="00EE29D5" w:rsidRPr="00646050" w:rsidRDefault="00EE29D5" w:rsidP="00E978AB">
            <w:pPr>
              <w:pStyle w:val="BodyText"/>
              <w:rPr>
                <w:rFonts w:cstheme="minorHAnsi"/>
                <w:sz w:val="18"/>
                <w:szCs w:val="18"/>
              </w:rPr>
            </w:pPr>
            <w:r w:rsidRPr="00646050">
              <w:rPr>
                <w:rFonts w:cstheme="minorHAnsi"/>
                <w:sz w:val="18"/>
                <w:szCs w:val="18"/>
              </w:rPr>
              <w:t xml:space="preserve">means a budget changed after being adopted by a council and treated in accordance with the provisions in the Act in relation to revised budgets. </w:t>
            </w:r>
          </w:p>
        </w:tc>
      </w:tr>
      <w:tr w:rsidR="00EE29D5" w:rsidRPr="003126D9" w14:paraId="6FD8F2E6" w14:textId="77777777" w:rsidTr="00E978AB">
        <w:trPr>
          <w:trHeight w:val="60"/>
        </w:trPr>
        <w:tc>
          <w:tcPr>
            <w:tcW w:w="2047" w:type="dxa"/>
            <w:tcMar>
              <w:top w:w="57" w:type="dxa"/>
              <w:left w:w="80" w:type="dxa"/>
              <w:bottom w:w="57" w:type="dxa"/>
              <w:right w:w="80" w:type="dxa"/>
            </w:tcMar>
          </w:tcPr>
          <w:p w14:paraId="59CA0320" w14:textId="77777777" w:rsidR="00EE29D5" w:rsidRPr="00646050" w:rsidRDefault="00EE29D5" w:rsidP="00E978AB">
            <w:pPr>
              <w:pStyle w:val="BodyText"/>
              <w:rPr>
                <w:rFonts w:cstheme="minorHAnsi"/>
                <w:b/>
                <w:sz w:val="18"/>
                <w:szCs w:val="18"/>
              </w:rPr>
            </w:pPr>
            <w:r w:rsidRPr="00646050">
              <w:rPr>
                <w:rFonts w:cstheme="minorHAnsi"/>
                <w:b/>
                <w:sz w:val="18"/>
                <w:szCs w:val="18"/>
              </w:rPr>
              <w:t>Strategic resource plan</w:t>
            </w:r>
          </w:p>
        </w:tc>
        <w:tc>
          <w:tcPr>
            <w:tcW w:w="7734" w:type="dxa"/>
            <w:tcMar>
              <w:top w:w="57" w:type="dxa"/>
              <w:left w:w="80" w:type="dxa"/>
              <w:bottom w:w="57" w:type="dxa"/>
              <w:right w:w="80" w:type="dxa"/>
            </w:tcMar>
          </w:tcPr>
          <w:p w14:paraId="35E6BC77" w14:textId="77777777" w:rsidR="00EE29D5" w:rsidRPr="00646050" w:rsidRDefault="00EE29D5" w:rsidP="00E978AB">
            <w:pPr>
              <w:pStyle w:val="BodyText"/>
              <w:rPr>
                <w:rFonts w:cstheme="minorHAnsi"/>
                <w:color w:val="auto"/>
                <w:sz w:val="18"/>
                <w:szCs w:val="18"/>
              </w:rPr>
            </w:pPr>
            <w:r w:rsidRPr="00646050">
              <w:rPr>
                <w:rFonts w:cstheme="minorHAnsi"/>
                <w:color w:val="auto"/>
                <w:sz w:val="18"/>
                <w:szCs w:val="18"/>
              </w:rPr>
              <w:t xml:space="preserve">means a plan of the financial and non-financial resources for at least the next four years required to achieve the strategic objectives in the council plan.  </w:t>
            </w:r>
          </w:p>
        </w:tc>
      </w:tr>
      <w:tr w:rsidR="00EE29D5" w:rsidRPr="0022700E" w14:paraId="69EAECCB" w14:textId="77777777" w:rsidTr="00E978AB">
        <w:trPr>
          <w:trHeight w:val="60"/>
        </w:trPr>
        <w:tc>
          <w:tcPr>
            <w:tcW w:w="2047" w:type="dxa"/>
            <w:shd w:val="clear" w:color="auto" w:fill="FFFFFF" w:themeFill="background1"/>
            <w:tcMar>
              <w:top w:w="57" w:type="dxa"/>
              <w:left w:w="80" w:type="dxa"/>
              <w:bottom w:w="57" w:type="dxa"/>
              <w:right w:w="80" w:type="dxa"/>
            </w:tcMar>
          </w:tcPr>
          <w:p w14:paraId="70EB614E" w14:textId="0B3D37E3" w:rsidR="00EE29D5" w:rsidRPr="00646050" w:rsidRDefault="00EE29D5" w:rsidP="00E978AB">
            <w:pPr>
              <w:pStyle w:val="BodyText"/>
              <w:rPr>
                <w:rFonts w:cstheme="minorHAnsi"/>
                <w:b/>
                <w:sz w:val="18"/>
                <w:szCs w:val="18"/>
              </w:rPr>
            </w:pPr>
            <w:r w:rsidRPr="00646050">
              <w:rPr>
                <w:rFonts w:cstheme="minorHAnsi"/>
                <w:b/>
                <w:sz w:val="18"/>
                <w:szCs w:val="18"/>
              </w:rPr>
              <w:t>Underlying operating result</w:t>
            </w:r>
          </w:p>
        </w:tc>
        <w:tc>
          <w:tcPr>
            <w:tcW w:w="7734" w:type="dxa"/>
            <w:shd w:val="clear" w:color="auto" w:fill="FFFFFF" w:themeFill="background1"/>
            <w:tcMar>
              <w:top w:w="57" w:type="dxa"/>
              <w:left w:w="80" w:type="dxa"/>
              <w:bottom w:w="57" w:type="dxa"/>
              <w:right w:w="80" w:type="dxa"/>
            </w:tcMar>
          </w:tcPr>
          <w:p w14:paraId="1100E201" w14:textId="74AAC409" w:rsidR="00EE29D5" w:rsidRPr="00646050" w:rsidRDefault="006E7A8C" w:rsidP="00E978AB">
            <w:pPr>
              <w:pStyle w:val="BodyText"/>
              <w:rPr>
                <w:rFonts w:cstheme="minorHAnsi"/>
                <w:color w:val="auto"/>
                <w:sz w:val="18"/>
                <w:szCs w:val="18"/>
              </w:rPr>
            </w:pPr>
            <w:r w:rsidRPr="00646050">
              <w:rPr>
                <w:rFonts w:cstheme="minorHAnsi"/>
                <w:color w:val="auto"/>
                <w:sz w:val="18"/>
                <w:szCs w:val="18"/>
              </w:rPr>
              <w:t>M</w:t>
            </w:r>
            <w:r w:rsidR="00EE29D5" w:rsidRPr="00646050">
              <w:rPr>
                <w:rFonts w:cstheme="minorHAnsi"/>
                <w:color w:val="auto"/>
                <w:sz w:val="18"/>
                <w:szCs w:val="18"/>
              </w:rPr>
              <w:t>eans</w:t>
            </w:r>
            <w:r>
              <w:rPr>
                <w:rFonts w:cstheme="minorHAnsi"/>
                <w:color w:val="auto"/>
                <w:sz w:val="18"/>
                <w:szCs w:val="18"/>
              </w:rPr>
              <w:t xml:space="preserve"> the</w:t>
            </w:r>
            <w:r w:rsidR="00EE29D5" w:rsidRPr="00646050">
              <w:rPr>
                <w:rFonts w:cstheme="minorHAnsi"/>
                <w:color w:val="auto"/>
                <w:sz w:val="18"/>
                <w:szCs w:val="18"/>
              </w:rPr>
              <w:t xml:space="preserve"> net result that demonstrates a council's ability to generate </w:t>
            </w:r>
            <w:r w:rsidR="00020424">
              <w:rPr>
                <w:rFonts w:cstheme="minorHAnsi"/>
                <w:color w:val="auto"/>
                <w:sz w:val="18"/>
                <w:szCs w:val="18"/>
              </w:rPr>
              <w:t xml:space="preserve">a </w:t>
            </w:r>
            <w:r w:rsidR="00EE29D5" w:rsidRPr="00646050">
              <w:rPr>
                <w:rFonts w:cstheme="minorHAnsi"/>
                <w:color w:val="auto"/>
                <w:sz w:val="18"/>
                <w:szCs w:val="18"/>
              </w:rPr>
              <w:t>surplus from its ordinary activities by excluding any revenue received which funds capital expenditure (such as non-recurrent capital grants, monetary and non-monetary developer contributions)</w:t>
            </w:r>
            <w:r w:rsidR="00C11767">
              <w:rPr>
                <w:rFonts w:cstheme="minorHAnsi"/>
                <w:color w:val="auto"/>
                <w:sz w:val="18"/>
                <w:szCs w:val="18"/>
              </w:rPr>
              <w:t>.</w:t>
            </w:r>
          </w:p>
        </w:tc>
      </w:tr>
    </w:tbl>
    <w:p w14:paraId="748B1CEE" w14:textId="77777777" w:rsidR="00EE29D5" w:rsidRPr="00356F2C" w:rsidRDefault="00EE29D5" w:rsidP="00EE29D5">
      <w:pPr>
        <w:pStyle w:val="BodyText"/>
        <w:rPr>
          <w:b/>
        </w:rPr>
      </w:pPr>
    </w:p>
    <w:p w14:paraId="68E73B17" w14:textId="6E65453F" w:rsidR="00EE29D5" w:rsidRDefault="00EE29D5" w:rsidP="00EE29D5">
      <w:pPr>
        <w:pStyle w:val="Heading1"/>
      </w:pPr>
      <w:bookmarkStart w:id="54" w:name="_Toc75534501"/>
      <w:r>
        <w:lastRenderedPageBreak/>
        <w:t>Appendices</w:t>
      </w:r>
      <w:bookmarkEnd w:id="54"/>
    </w:p>
    <w:p w14:paraId="4E0FA429" w14:textId="28A98FA0" w:rsidR="00EE29D5" w:rsidRPr="00DA42D1" w:rsidRDefault="00EE29D5" w:rsidP="00EE29D5">
      <w:pPr>
        <w:pStyle w:val="Heading2"/>
      </w:pPr>
      <w:bookmarkStart w:id="55" w:name="_Toc75534502"/>
      <w:r>
        <w:t xml:space="preserve">Appendix A: Council groupings and </w:t>
      </w:r>
      <w:r w:rsidR="00EA1BDF">
        <w:t>adopted</w:t>
      </w:r>
      <w:r>
        <w:t xml:space="preserve"> rate increases</w:t>
      </w:r>
      <w:bookmarkEnd w:id="55"/>
    </w:p>
    <w:tbl>
      <w:tblPr>
        <w:tblStyle w:val="ListTable3-Accent3"/>
        <w:tblW w:w="9026" w:type="dxa"/>
        <w:tblLook w:val="04A0" w:firstRow="1" w:lastRow="0" w:firstColumn="1" w:lastColumn="0" w:noHBand="0" w:noVBand="1"/>
      </w:tblPr>
      <w:tblGrid>
        <w:gridCol w:w="3466"/>
        <w:gridCol w:w="2236"/>
        <w:gridCol w:w="3324"/>
      </w:tblGrid>
      <w:tr w:rsidR="00EE29D5" w:rsidRPr="00140B82" w14:paraId="6A5E09FD" w14:textId="77777777" w:rsidTr="00EE29D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66" w:type="dxa"/>
            <w:hideMark/>
          </w:tcPr>
          <w:p w14:paraId="03ADA70C" w14:textId="77777777" w:rsidR="00EE29D5" w:rsidRPr="004A63A3" w:rsidRDefault="00EE29D5" w:rsidP="004A63A3">
            <w:pPr>
              <w:spacing w:after="120"/>
              <w:rPr>
                <w:rFonts w:asciiTheme="minorHAnsi" w:hAnsiTheme="minorHAnsi" w:cstheme="minorHAnsi"/>
                <w:b w:val="0"/>
                <w:bCs w:val="0"/>
                <w:color w:val="FFFFFF" w:themeColor="background1"/>
                <w:sz w:val="16"/>
                <w:szCs w:val="16"/>
              </w:rPr>
            </w:pPr>
            <w:r w:rsidRPr="004A63A3">
              <w:rPr>
                <w:rFonts w:asciiTheme="minorHAnsi" w:hAnsiTheme="minorHAnsi" w:cstheme="minorHAnsi"/>
                <w:b w:val="0"/>
                <w:bCs w:val="0"/>
                <w:color w:val="FFFFFF" w:themeColor="background1"/>
                <w:sz w:val="16"/>
                <w:szCs w:val="16"/>
              </w:rPr>
              <w:t>COUNCIL</w:t>
            </w:r>
          </w:p>
        </w:tc>
        <w:tc>
          <w:tcPr>
            <w:tcW w:w="2236" w:type="dxa"/>
            <w:noWrap/>
            <w:hideMark/>
          </w:tcPr>
          <w:p w14:paraId="37EE2A16" w14:textId="77777777" w:rsidR="00EE29D5" w:rsidRPr="004A63A3" w:rsidRDefault="00EE29D5" w:rsidP="004A63A3">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16"/>
                <w:szCs w:val="16"/>
              </w:rPr>
            </w:pPr>
            <w:r w:rsidRPr="004A63A3">
              <w:rPr>
                <w:rFonts w:asciiTheme="minorHAnsi" w:hAnsiTheme="minorHAnsi" w:cstheme="minorHAnsi"/>
                <w:b w:val="0"/>
                <w:bCs w:val="0"/>
                <w:color w:val="FFFFFF" w:themeColor="background1"/>
                <w:sz w:val="16"/>
                <w:szCs w:val="16"/>
              </w:rPr>
              <w:t>VLGCG GROUPING</w:t>
            </w:r>
          </w:p>
        </w:tc>
        <w:tc>
          <w:tcPr>
            <w:tcW w:w="3324" w:type="dxa"/>
          </w:tcPr>
          <w:p w14:paraId="46D166B5" w14:textId="37855259" w:rsidR="00EE29D5" w:rsidRPr="004A63A3" w:rsidRDefault="00EA1BDF" w:rsidP="004A63A3">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16"/>
                <w:szCs w:val="16"/>
              </w:rPr>
            </w:pPr>
            <w:r>
              <w:rPr>
                <w:rFonts w:asciiTheme="minorHAnsi" w:hAnsiTheme="minorHAnsi" w:cstheme="minorHAnsi"/>
                <w:b w:val="0"/>
                <w:bCs w:val="0"/>
                <w:color w:val="FFFFFF" w:themeColor="background1"/>
                <w:sz w:val="16"/>
                <w:szCs w:val="16"/>
              </w:rPr>
              <w:t>ADOPTED</w:t>
            </w:r>
            <w:r w:rsidR="00EE29D5" w:rsidRPr="004A63A3">
              <w:rPr>
                <w:rFonts w:asciiTheme="minorHAnsi" w:hAnsiTheme="minorHAnsi" w:cstheme="minorHAnsi"/>
                <w:b w:val="0"/>
                <w:bCs w:val="0"/>
                <w:color w:val="FFFFFF" w:themeColor="background1"/>
                <w:sz w:val="16"/>
                <w:szCs w:val="16"/>
              </w:rPr>
              <w:t xml:space="preserve"> RATE INCREASE FY 202021</w:t>
            </w:r>
          </w:p>
        </w:tc>
      </w:tr>
      <w:tr w:rsidR="00EE29D5" w:rsidRPr="00140B82" w14:paraId="1F41959A"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4B21FC1"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Banyule City Council</w:t>
            </w:r>
          </w:p>
        </w:tc>
        <w:tc>
          <w:tcPr>
            <w:tcW w:w="2236" w:type="dxa"/>
            <w:noWrap/>
            <w:hideMark/>
          </w:tcPr>
          <w:p w14:paraId="3078F7B8"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2BC4280F"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410A848C"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214F9BB"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Bayside City Council</w:t>
            </w:r>
          </w:p>
        </w:tc>
        <w:tc>
          <w:tcPr>
            <w:tcW w:w="2236" w:type="dxa"/>
            <w:noWrap/>
            <w:hideMark/>
          </w:tcPr>
          <w:p w14:paraId="69BD4B08"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1DF4526B"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26859B81"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B8BD91B"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Boroondara City Council</w:t>
            </w:r>
          </w:p>
        </w:tc>
        <w:tc>
          <w:tcPr>
            <w:tcW w:w="2236" w:type="dxa"/>
            <w:noWrap/>
            <w:hideMark/>
          </w:tcPr>
          <w:p w14:paraId="4F14D060"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6C8ADE78"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6D91DF31"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6EAB6BB8"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Brimbank City Council</w:t>
            </w:r>
          </w:p>
        </w:tc>
        <w:tc>
          <w:tcPr>
            <w:tcW w:w="2236" w:type="dxa"/>
            <w:noWrap/>
            <w:hideMark/>
          </w:tcPr>
          <w:p w14:paraId="4150531A"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4190DD98" w14:textId="27297FE5" w:rsidR="00EE29D5" w:rsidRPr="00EE29D5" w:rsidRDefault="00453F83"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Pr>
                <w:rFonts w:asciiTheme="minorHAnsi" w:hAnsiTheme="minorHAnsi" w:cstheme="minorHAnsi"/>
                <w:color w:val="000000"/>
                <w:szCs w:val="18"/>
              </w:rPr>
              <w:t>0</w:t>
            </w:r>
            <w:r w:rsidR="00EE29D5" w:rsidRPr="00EE29D5">
              <w:rPr>
                <w:rFonts w:asciiTheme="minorHAnsi" w:hAnsiTheme="minorHAnsi" w:cstheme="minorHAnsi"/>
                <w:color w:val="000000"/>
                <w:szCs w:val="18"/>
              </w:rPr>
              <w:t>.00%</w:t>
            </w:r>
          </w:p>
        </w:tc>
      </w:tr>
      <w:tr w:rsidR="00EE29D5" w:rsidRPr="00140B82" w14:paraId="282CDB55"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102C45E0"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Darebin City Council</w:t>
            </w:r>
          </w:p>
        </w:tc>
        <w:tc>
          <w:tcPr>
            <w:tcW w:w="2236" w:type="dxa"/>
            <w:noWrap/>
            <w:hideMark/>
          </w:tcPr>
          <w:p w14:paraId="0D816B95"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3908F85D"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52F93754"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5BE713A9"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Frankston City Council</w:t>
            </w:r>
          </w:p>
        </w:tc>
        <w:tc>
          <w:tcPr>
            <w:tcW w:w="2236" w:type="dxa"/>
            <w:noWrap/>
            <w:hideMark/>
          </w:tcPr>
          <w:p w14:paraId="4AEA14AF"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112852B2"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62C84308"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DCC61FD"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Glen Eira City Council</w:t>
            </w:r>
          </w:p>
        </w:tc>
        <w:tc>
          <w:tcPr>
            <w:tcW w:w="2236" w:type="dxa"/>
            <w:noWrap/>
            <w:hideMark/>
          </w:tcPr>
          <w:p w14:paraId="64D803E5"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4E1A51FD"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1AAEA17C"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7C067DE"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Greater Dandenong City Council</w:t>
            </w:r>
          </w:p>
        </w:tc>
        <w:tc>
          <w:tcPr>
            <w:tcW w:w="2236" w:type="dxa"/>
            <w:noWrap/>
            <w:hideMark/>
          </w:tcPr>
          <w:p w14:paraId="6B5D80F1"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7D28A0D2"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65AAC40C"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875DC00"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Hobsons Bay City Council</w:t>
            </w:r>
          </w:p>
        </w:tc>
        <w:tc>
          <w:tcPr>
            <w:tcW w:w="2236" w:type="dxa"/>
            <w:noWrap/>
            <w:hideMark/>
          </w:tcPr>
          <w:p w14:paraId="1C85D08E"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549EA848"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02EC6055"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632FDDCB"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Kingston City Council</w:t>
            </w:r>
          </w:p>
        </w:tc>
        <w:tc>
          <w:tcPr>
            <w:tcW w:w="2236" w:type="dxa"/>
            <w:noWrap/>
            <w:hideMark/>
          </w:tcPr>
          <w:p w14:paraId="3E5CA1FE"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02BF60AC"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502F48BD"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138590D"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Knox City Council</w:t>
            </w:r>
          </w:p>
        </w:tc>
        <w:tc>
          <w:tcPr>
            <w:tcW w:w="2236" w:type="dxa"/>
            <w:noWrap/>
            <w:hideMark/>
          </w:tcPr>
          <w:p w14:paraId="29BD0CBB"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549E18EE"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4C932BD0"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106522D"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Manningham City Council</w:t>
            </w:r>
          </w:p>
        </w:tc>
        <w:tc>
          <w:tcPr>
            <w:tcW w:w="2236" w:type="dxa"/>
            <w:noWrap/>
            <w:hideMark/>
          </w:tcPr>
          <w:p w14:paraId="2A8B682F"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412892C3"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4CA2AB4A"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504B6C2"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Maribyrnong City Council</w:t>
            </w:r>
          </w:p>
        </w:tc>
        <w:tc>
          <w:tcPr>
            <w:tcW w:w="2236" w:type="dxa"/>
            <w:noWrap/>
            <w:hideMark/>
          </w:tcPr>
          <w:p w14:paraId="60E41567"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291603F6" w14:textId="7E1C4243" w:rsidR="00EE29D5" w:rsidRPr="00EE29D5" w:rsidRDefault="00453F83"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Pr>
                <w:rFonts w:asciiTheme="minorHAnsi" w:hAnsiTheme="minorHAnsi" w:cstheme="minorHAnsi"/>
                <w:color w:val="000000"/>
                <w:szCs w:val="18"/>
              </w:rPr>
              <w:t>0</w:t>
            </w:r>
            <w:r w:rsidR="00EE29D5" w:rsidRPr="00EE29D5">
              <w:rPr>
                <w:rFonts w:asciiTheme="minorHAnsi" w:hAnsiTheme="minorHAnsi" w:cstheme="minorHAnsi"/>
                <w:color w:val="000000"/>
                <w:szCs w:val="18"/>
              </w:rPr>
              <w:t>.00%</w:t>
            </w:r>
          </w:p>
        </w:tc>
      </w:tr>
      <w:tr w:rsidR="00EE29D5" w:rsidRPr="00140B82" w14:paraId="7A8DF103"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17921532"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Maroondah City Council</w:t>
            </w:r>
          </w:p>
        </w:tc>
        <w:tc>
          <w:tcPr>
            <w:tcW w:w="2236" w:type="dxa"/>
            <w:noWrap/>
            <w:hideMark/>
          </w:tcPr>
          <w:p w14:paraId="5A43D470"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7739AC25"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32509810"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263FDBF"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Melbourne City Council</w:t>
            </w:r>
          </w:p>
        </w:tc>
        <w:tc>
          <w:tcPr>
            <w:tcW w:w="2236" w:type="dxa"/>
            <w:noWrap/>
            <w:hideMark/>
          </w:tcPr>
          <w:p w14:paraId="410A5364"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442DF659"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0.00%</w:t>
            </w:r>
          </w:p>
        </w:tc>
      </w:tr>
      <w:tr w:rsidR="00EE29D5" w:rsidRPr="00140B82" w14:paraId="03BB2155"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58E66E96"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Monash City Council</w:t>
            </w:r>
          </w:p>
        </w:tc>
        <w:tc>
          <w:tcPr>
            <w:tcW w:w="2236" w:type="dxa"/>
            <w:noWrap/>
            <w:hideMark/>
          </w:tcPr>
          <w:p w14:paraId="1B2D42FE"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326FBD3A"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5BDBCB68"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3CFA6364"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Moonee Valley City Council</w:t>
            </w:r>
          </w:p>
        </w:tc>
        <w:tc>
          <w:tcPr>
            <w:tcW w:w="2236" w:type="dxa"/>
            <w:noWrap/>
            <w:hideMark/>
          </w:tcPr>
          <w:p w14:paraId="6CC3BEEE"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2C8094DE"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63956419"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1A174EEB"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Moreland City Council</w:t>
            </w:r>
          </w:p>
        </w:tc>
        <w:tc>
          <w:tcPr>
            <w:tcW w:w="2236" w:type="dxa"/>
            <w:noWrap/>
            <w:hideMark/>
          </w:tcPr>
          <w:p w14:paraId="0B3B43B3"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7BA0D196"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4E704353"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752DEF9E"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Port Phillip City Council</w:t>
            </w:r>
          </w:p>
        </w:tc>
        <w:tc>
          <w:tcPr>
            <w:tcW w:w="2236" w:type="dxa"/>
            <w:noWrap/>
            <w:hideMark/>
          </w:tcPr>
          <w:p w14:paraId="7E4E66BF"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20C8B263"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0A731F2F"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43D3AC4E"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Stonnington City Council</w:t>
            </w:r>
          </w:p>
        </w:tc>
        <w:tc>
          <w:tcPr>
            <w:tcW w:w="2236" w:type="dxa"/>
            <w:noWrap/>
            <w:hideMark/>
          </w:tcPr>
          <w:p w14:paraId="2A860E6B"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73E3EFCA"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2F8BD393"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7D7FF8DB"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Whitehorse City Council</w:t>
            </w:r>
          </w:p>
        </w:tc>
        <w:tc>
          <w:tcPr>
            <w:tcW w:w="2236" w:type="dxa"/>
            <w:noWrap/>
            <w:hideMark/>
          </w:tcPr>
          <w:p w14:paraId="317ADEE6"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51C5E26A" w14:textId="77777777" w:rsidR="00EE29D5" w:rsidRPr="00EE29D5" w:rsidRDefault="00EE29D5" w:rsidP="00E978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r w:rsidR="00EE29D5" w:rsidRPr="00140B82" w14:paraId="0F1CFBB5"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66" w:type="dxa"/>
            <w:noWrap/>
            <w:hideMark/>
          </w:tcPr>
          <w:p w14:paraId="22408ACB" w14:textId="77777777" w:rsidR="00EE29D5" w:rsidRPr="00EE29D5" w:rsidRDefault="00EE29D5" w:rsidP="00E978AB">
            <w:pPr>
              <w:rPr>
                <w:rFonts w:asciiTheme="minorHAnsi" w:hAnsiTheme="minorHAnsi" w:cstheme="minorHAnsi"/>
                <w:bCs w:val="0"/>
                <w:color w:val="auto"/>
                <w:szCs w:val="18"/>
              </w:rPr>
            </w:pPr>
            <w:r w:rsidRPr="00EE29D5">
              <w:rPr>
                <w:rFonts w:asciiTheme="minorHAnsi" w:hAnsiTheme="minorHAnsi" w:cstheme="minorHAnsi"/>
                <w:bCs w:val="0"/>
                <w:color w:val="auto"/>
                <w:szCs w:val="18"/>
              </w:rPr>
              <w:t>Yarra City Council</w:t>
            </w:r>
          </w:p>
        </w:tc>
        <w:tc>
          <w:tcPr>
            <w:tcW w:w="2236" w:type="dxa"/>
            <w:noWrap/>
            <w:hideMark/>
          </w:tcPr>
          <w:p w14:paraId="21193FCD"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Metropolitan</w:t>
            </w:r>
          </w:p>
        </w:tc>
        <w:tc>
          <w:tcPr>
            <w:tcW w:w="3324" w:type="dxa"/>
          </w:tcPr>
          <w:p w14:paraId="60B15BD6" w14:textId="77777777" w:rsidR="00EE29D5" w:rsidRPr="00EE29D5" w:rsidRDefault="00EE29D5" w:rsidP="00E978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18"/>
              </w:rPr>
            </w:pPr>
            <w:r w:rsidRPr="00EE29D5">
              <w:rPr>
                <w:rFonts w:asciiTheme="minorHAnsi" w:hAnsiTheme="minorHAnsi" w:cstheme="minorHAnsi"/>
                <w:color w:val="000000"/>
                <w:szCs w:val="18"/>
              </w:rPr>
              <w:t>2.00%</w:t>
            </w:r>
          </w:p>
        </w:tc>
      </w:tr>
    </w:tbl>
    <w:p w14:paraId="09D2D3B3" w14:textId="5D72C8D0" w:rsidR="00EE29D5" w:rsidRDefault="00EE29D5" w:rsidP="00EE29D5">
      <w:pPr>
        <w:rPr>
          <w:szCs w:val="18"/>
        </w:rPr>
      </w:pPr>
      <w:r w:rsidRPr="00305F89">
        <w:rPr>
          <w:szCs w:val="18"/>
        </w:rPr>
        <w:t xml:space="preserve"> </w:t>
      </w:r>
    </w:p>
    <w:tbl>
      <w:tblPr>
        <w:tblStyle w:val="ListTable3-Accent3"/>
        <w:tblW w:w="9026" w:type="dxa"/>
        <w:tblLook w:val="04A0" w:firstRow="1" w:lastRow="0" w:firstColumn="1" w:lastColumn="0" w:noHBand="0" w:noVBand="1"/>
      </w:tblPr>
      <w:tblGrid>
        <w:gridCol w:w="3490"/>
        <w:gridCol w:w="2212"/>
        <w:gridCol w:w="3324"/>
      </w:tblGrid>
      <w:tr w:rsidR="00EE29D5" w:rsidRPr="007820AB" w14:paraId="4D372BC8" w14:textId="77777777" w:rsidTr="00EE29D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90" w:type="dxa"/>
            <w:hideMark/>
          </w:tcPr>
          <w:p w14:paraId="0950B1BF" w14:textId="77777777" w:rsidR="00EE29D5" w:rsidRPr="004A63A3" w:rsidRDefault="00EE29D5" w:rsidP="004A63A3">
            <w:pPr>
              <w:spacing w:after="120"/>
              <w:rPr>
                <w:rFonts w:cstheme="minorHAnsi"/>
                <w:b w:val="0"/>
                <w:bCs w:val="0"/>
                <w:color w:val="FFFFFF" w:themeColor="background1"/>
                <w:sz w:val="16"/>
                <w:szCs w:val="18"/>
              </w:rPr>
            </w:pPr>
            <w:r w:rsidRPr="004A63A3">
              <w:rPr>
                <w:rFonts w:cstheme="minorHAnsi"/>
                <w:b w:val="0"/>
                <w:bCs w:val="0"/>
                <w:color w:val="FFFFFF" w:themeColor="background1"/>
                <w:sz w:val="16"/>
                <w:szCs w:val="18"/>
              </w:rPr>
              <w:t>COUNCIL</w:t>
            </w:r>
          </w:p>
        </w:tc>
        <w:tc>
          <w:tcPr>
            <w:tcW w:w="2212" w:type="dxa"/>
            <w:noWrap/>
            <w:hideMark/>
          </w:tcPr>
          <w:p w14:paraId="77BF9DD7" w14:textId="77777777" w:rsidR="00EE29D5" w:rsidRPr="004A63A3" w:rsidRDefault="00EE29D5"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sidRPr="004A63A3">
              <w:rPr>
                <w:rFonts w:cstheme="minorHAnsi"/>
                <w:b w:val="0"/>
                <w:bCs w:val="0"/>
                <w:color w:val="FFFFFF" w:themeColor="background1"/>
                <w:sz w:val="16"/>
                <w:szCs w:val="18"/>
              </w:rPr>
              <w:t>VLGCG GROUPING</w:t>
            </w:r>
          </w:p>
        </w:tc>
        <w:tc>
          <w:tcPr>
            <w:tcW w:w="3324" w:type="dxa"/>
          </w:tcPr>
          <w:p w14:paraId="0D172D72" w14:textId="09D45CD3" w:rsidR="00EE29D5" w:rsidRPr="004A63A3" w:rsidRDefault="00EA1BDF"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Pr>
                <w:rFonts w:cstheme="minorHAnsi"/>
                <w:b w:val="0"/>
                <w:bCs w:val="0"/>
                <w:color w:val="FFFFFF" w:themeColor="background1"/>
                <w:sz w:val="16"/>
                <w:szCs w:val="18"/>
              </w:rPr>
              <w:t>ADOPTED</w:t>
            </w:r>
            <w:r w:rsidR="00EE29D5" w:rsidRPr="004A63A3">
              <w:rPr>
                <w:rFonts w:cstheme="minorHAnsi"/>
                <w:b w:val="0"/>
                <w:bCs w:val="0"/>
                <w:color w:val="FFFFFF" w:themeColor="background1"/>
                <w:sz w:val="16"/>
                <w:szCs w:val="18"/>
              </w:rPr>
              <w:t xml:space="preserve"> RATE INCREASE FY 202021</w:t>
            </w:r>
          </w:p>
        </w:tc>
      </w:tr>
      <w:tr w:rsidR="00EE29D5" w:rsidRPr="006A7F00" w14:paraId="5268C28C"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5897686E" w14:textId="77777777" w:rsidR="00EE29D5" w:rsidRPr="006A7F00" w:rsidRDefault="00EE29D5" w:rsidP="00E978AB">
            <w:pPr>
              <w:rPr>
                <w:rFonts w:cstheme="minorHAnsi"/>
                <w:bCs w:val="0"/>
                <w:color w:val="000000"/>
              </w:rPr>
            </w:pPr>
            <w:r w:rsidRPr="006A7F00">
              <w:rPr>
                <w:rFonts w:cstheme="minorHAnsi"/>
                <w:bCs w:val="0"/>
                <w:color w:val="000000"/>
              </w:rPr>
              <w:t>Cardinia Shire Council</w:t>
            </w:r>
          </w:p>
        </w:tc>
        <w:tc>
          <w:tcPr>
            <w:tcW w:w="2212" w:type="dxa"/>
            <w:noWrap/>
            <w:hideMark/>
          </w:tcPr>
          <w:p w14:paraId="438E1675"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3D005FD2"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BA30DC">
              <w:rPr>
                <w:rFonts w:cstheme="minorHAnsi"/>
                <w:color w:val="000000"/>
              </w:rPr>
              <w:t>2.00%</w:t>
            </w:r>
          </w:p>
        </w:tc>
      </w:tr>
      <w:tr w:rsidR="00EE29D5" w:rsidRPr="006A7F00" w14:paraId="7679F220"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17FC44BC" w14:textId="77777777" w:rsidR="00EE29D5" w:rsidRPr="006A7F00" w:rsidRDefault="00EE29D5" w:rsidP="00E978AB">
            <w:pPr>
              <w:rPr>
                <w:rFonts w:cstheme="minorHAnsi"/>
                <w:bCs w:val="0"/>
                <w:color w:val="000000"/>
              </w:rPr>
            </w:pPr>
            <w:r w:rsidRPr="006A7F00">
              <w:rPr>
                <w:rFonts w:cstheme="minorHAnsi"/>
                <w:bCs w:val="0"/>
                <w:color w:val="000000"/>
              </w:rPr>
              <w:t>Casey City Council</w:t>
            </w:r>
          </w:p>
        </w:tc>
        <w:tc>
          <w:tcPr>
            <w:tcW w:w="2212" w:type="dxa"/>
            <w:noWrap/>
            <w:hideMark/>
          </w:tcPr>
          <w:p w14:paraId="43E5ABE6"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5D007AF5"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BA30DC">
              <w:rPr>
                <w:rFonts w:cstheme="minorHAnsi"/>
                <w:color w:val="000000"/>
              </w:rPr>
              <w:t>2.00%</w:t>
            </w:r>
          </w:p>
        </w:tc>
      </w:tr>
      <w:tr w:rsidR="00EE29D5" w:rsidRPr="006A7F00" w14:paraId="0FD3DC1A"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3F4AAFC2" w14:textId="77777777" w:rsidR="00EE29D5" w:rsidRPr="006A7F00" w:rsidRDefault="00EE29D5" w:rsidP="00E978AB">
            <w:pPr>
              <w:rPr>
                <w:rFonts w:cstheme="minorHAnsi"/>
                <w:bCs w:val="0"/>
                <w:color w:val="000000"/>
              </w:rPr>
            </w:pPr>
            <w:r w:rsidRPr="006A7F00">
              <w:rPr>
                <w:rFonts w:cstheme="minorHAnsi"/>
                <w:bCs w:val="0"/>
                <w:color w:val="000000"/>
              </w:rPr>
              <w:t>Hume City Council</w:t>
            </w:r>
          </w:p>
        </w:tc>
        <w:tc>
          <w:tcPr>
            <w:tcW w:w="2212" w:type="dxa"/>
            <w:noWrap/>
            <w:hideMark/>
          </w:tcPr>
          <w:p w14:paraId="2F458250"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18A512ED"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BA30DC">
              <w:rPr>
                <w:rFonts w:cstheme="minorHAnsi"/>
                <w:color w:val="000000"/>
              </w:rPr>
              <w:t>2.00%</w:t>
            </w:r>
          </w:p>
        </w:tc>
      </w:tr>
      <w:tr w:rsidR="00EE29D5" w:rsidRPr="006A7F00" w14:paraId="2D614D56"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4DAF884B" w14:textId="77777777" w:rsidR="00EE29D5" w:rsidRPr="006A7F00" w:rsidRDefault="00EE29D5" w:rsidP="00E978AB">
            <w:pPr>
              <w:rPr>
                <w:rFonts w:cstheme="minorHAnsi"/>
                <w:bCs w:val="0"/>
                <w:color w:val="000000"/>
              </w:rPr>
            </w:pPr>
            <w:r w:rsidRPr="006A7F00">
              <w:rPr>
                <w:rFonts w:cstheme="minorHAnsi"/>
                <w:bCs w:val="0"/>
                <w:color w:val="000000"/>
              </w:rPr>
              <w:t>Melton Shire Council</w:t>
            </w:r>
          </w:p>
        </w:tc>
        <w:tc>
          <w:tcPr>
            <w:tcW w:w="2212" w:type="dxa"/>
            <w:noWrap/>
            <w:hideMark/>
          </w:tcPr>
          <w:p w14:paraId="620C7D96"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143AC341"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Pr>
                <w:rFonts w:cstheme="minorHAnsi"/>
                <w:color w:val="000000"/>
              </w:rPr>
              <w:t>0</w:t>
            </w:r>
            <w:r w:rsidRPr="00BA30DC">
              <w:rPr>
                <w:rFonts w:cstheme="minorHAnsi"/>
                <w:color w:val="000000"/>
              </w:rPr>
              <w:t>.00%</w:t>
            </w:r>
          </w:p>
        </w:tc>
      </w:tr>
      <w:tr w:rsidR="00EE29D5" w:rsidRPr="006A7F00" w14:paraId="571C4E4E"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08E0A2FA" w14:textId="77777777" w:rsidR="00EE29D5" w:rsidRPr="006A7F00" w:rsidRDefault="00EE29D5" w:rsidP="00E978AB">
            <w:pPr>
              <w:rPr>
                <w:rFonts w:cstheme="minorHAnsi"/>
                <w:bCs w:val="0"/>
                <w:color w:val="000000"/>
              </w:rPr>
            </w:pPr>
            <w:r w:rsidRPr="006A7F00">
              <w:rPr>
                <w:rFonts w:cstheme="minorHAnsi"/>
                <w:bCs w:val="0"/>
                <w:color w:val="000000"/>
              </w:rPr>
              <w:t>Mornington Peninsula Shire Council</w:t>
            </w:r>
          </w:p>
        </w:tc>
        <w:tc>
          <w:tcPr>
            <w:tcW w:w="2212" w:type="dxa"/>
            <w:noWrap/>
            <w:hideMark/>
          </w:tcPr>
          <w:p w14:paraId="2CD91648"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1F388A3F"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BA30DC">
              <w:rPr>
                <w:rFonts w:cstheme="minorHAnsi"/>
                <w:color w:val="000000"/>
              </w:rPr>
              <w:t>2.00%</w:t>
            </w:r>
          </w:p>
        </w:tc>
      </w:tr>
      <w:tr w:rsidR="00EE29D5" w:rsidRPr="006A7F00" w14:paraId="0F75389C"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73F4E1BF" w14:textId="77777777" w:rsidR="00EE29D5" w:rsidRPr="006A7F00" w:rsidRDefault="00EE29D5" w:rsidP="00E978AB">
            <w:pPr>
              <w:rPr>
                <w:rFonts w:cstheme="minorHAnsi"/>
                <w:bCs w:val="0"/>
                <w:color w:val="000000"/>
              </w:rPr>
            </w:pPr>
            <w:r w:rsidRPr="006A7F00">
              <w:rPr>
                <w:rFonts w:cstheme="minorHAnsi"/>
                <w:bCs w:val="0"/>
                <w:color w:val="000000"/>
              </w:rPr>
              <w:t>Nillumbik Shire Council</w:t>
            </w:r>
          </w:p>
        </w:tc>
        <w:tc>
          <w:tcPr>
            <w:tcW w:w="2212" w:type="dxa"/>
            <w:noWrap/>
            <w:hideMark/>
          </w:tcPr>
          <w:p w14:paraId="14854D4E"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58F378FC" w14:textId="1D270EE2" w:rsidR="00EE29D5" w:rsidRPr="006A7F00" w:rsidRDefault="00453F83"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Pr>
                <w:rFonts w:cstheme="minorHAnsi"/>
                <w:color w:val="000000"/>
              </w:rPr>
              <w:t>0</w:t>
            </w:r>
            <w:r w:rsidR="00EE29D5" w:rsidRPr="00BA30DC">
              <w:rPr>
                <w:rFonts w:cstheme="minorHAnsi"/>
                <w:color w:val="000000"/>
              </w:rPr>
              <w:t>.00%</w:t>
            </w:r>
          </w:p>
        </w:tc>
      </w:tr>
      <w:tr w:rsidR="00EE29D5" w:rsidRPr="006A7F00" w14:paraId="2A63E664"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1F098314" w14:textId="77777777" w:rsidR="00EE29D5" w:rsidRPr="006A7F00" w:rsidRDefault="00EE29D5" w:rsidP="00E978AB">
            <w:pPr>
              <w:rPr>
                <w:rFonts w:cstheme="minorHAnsi"/>
                <w:bCs w:val="0"/>
                <w:color w:val="000000"/>
              </w:rPr>
            </w:pPr>
            <w:r w:rsidRPr="006A7F00">
              <w:rPr>
                <w:rFonts w:cstheme="minorHAnsi"/>
                <w:bCs w:val="0"/>
                <w:color w:val="000000"/>
              </w:rPr>
              <w:t>Whittlesea City Council</w:t>
            </w:r>
          </w:p>
        </w:tc>
        <w:tc>
          <w:tcPr>
            <w:tcW w:w="2212" w:type="dxa"/>
            <w:noWrap/>
            <w:hideMark/>
          </w:tcPr>
          <w:p w14:paraId="4AF657E7"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67971740"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BA30DC">
              <w:rPr>
                <w:rFonts w:cstheme="minorHAnsi"/>
                <w:color w:val="000000"/>
              </w:rPr>
              <w:t>2.00%</w:t>
            </w:r>
          </w:p>
        </w:tc>
      </w:tr>
      <w:tr w:rsidR="00EE29D5" w:rsidRPr="006A7F00" w14:paraId="2FD278FE"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558A52A2" w14:textId="77777777" w:rsidR="00EE29D5" w:rsidRPr="006A7F00" w:rsidRDefault="00EE29D5" w:rsidP="00E978AB">
            <w:pPr>
              <w:rPr>
                <w:rFonts w:cstheme="minorHAnsi"/>
                <w:bCs w:val="0"/>
                <w:color w:val="000000"/>
              </w:rPr>
            </w:pPr>
            <w:r w:rsidRPr="006A7F00">
              <w:rPr>
                <w:rFonts w:cstheme="minorHAnsi"/>
                <w:bCs w:val="0"/>
                <w:color w:val="000000"/>
              </w:rPr>
              <w:t>Wyndham City Council</w:t>
            </w:r>
          </w:p>
        </w:tc>
        <w:tc>
          <w:tcPr>
            <w:tcW w:w="2212" w:type="dxa"/>
            <w:noWrap/>
            <w:hideMark/>
          </w:tcPr>
          <w:p w14:paraId="3690F58E"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72292738"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bCs/>
                <w:color w:val="000000"/>
              </w:rPr>
            </w:pPr>
            <w:r w:rsidRPr="00BA30DC">
              <w:rPr>
                <w:rFonts w:cstheme="minorHAnsi"/>
                <w:color w:val="000000"/>
              </w:rPr>
              <w:t>2.00%</w:t>
            </w:r>
          </w:p>
        </w:tc>
      </w:tr>
      <w:tr w:rsidR="00EE29D5" w:rsidRPr="006A7F00" w14:paraId="75F83A55"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90" w:type="dxa"/>
            <w:noWrap/>
            <w:hideMark/>
          </w:tcPr>
          <w:p w14:paraId="3878869C" w14:textId="77777777" w:rsidR="00EE29D5" w:rsidRPr="006A7F00" w:rsidRDefault="00EE29D5" w:rsidP="00E978AB">
            <w:pPr>
              <w:rPr>
                <w:rFonts w:cstheme="minorHAnsi"/>
                <w:bCs w:val="0"/>
                <w:color w:val="000000"/>
              </w:rPr>
            </w:pPr>
            <w:r w:rsidRPr="006A7F00">
              <w:rPr>
                <w:rFonts w:cstheme="minorHAnsi"/>
                <w:bCs w:val="0"/>
                <w:color w:val="000000"/>
              </w:rPr>
              <w:t>Yarra Ranges Shire Council</w:t>
            </w:r>
          </w:p>
        </w:tc>
        <w:tc>
          <w:tcPr>
            <w:tcW w:w="2212" w:type="dxa"/>
            <w:noWrap/>
            <w:hideMark/>
          </w:tcPr>
          <w:p w14:paraId="02D0DC74"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6A7F00">
              <w:rPr>
                <w:rFonts w:cstheme="minorHAnsi"/>
                <w:bCs/>
                <w:color w:val="000000"/>
              </w:rPr>
              <w:t>Interface</w:t>
            </w:r>
          </w:p>
        </w:tc>
        <w:tc>
          <w:tcPr>
            <w:tcW w:w="3324" w:type="dxa"/>
          </w:tcPr>
          <w:p w14:paraId="21A5F01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BA30DC">
              <w:rPr>
                <w:rFonts w:cstheme="minorHAnsi"/>
                <w:color w:val="000000"/>
              </w:rPr>
              <w:t>2.00%</w:t>
            </w:r>
          </w:p>
        </w:tc>
      </w:tr>
    </w:tbl>
    <w:p w14:paraId="178EC023" w14:textId="11D382A2" w:rsidR="00EE29D5" w:rsidRDefault="00EE29D5" w:rsidP="00EE29D5">
      <w:pPr>
        <w:rPr>
          <w:szCs w:val="18"/>
        </w:rPr>
      </w:pPr>
    </w:p>
    <w:p w14:paraId="1A827010" w14:textId="77777777" w:rsidR="004A63A3" w:rsidRDefault="004A63A3" w:rsidP="00EE29D5">
      <w:pPr>
        <w:rPr>
          <w:szCs w:val="18"/>
        </w:rPr>
      </w:pPr>
    </w:p>
    <w:tbl>
      <w:tblPr>
        <w:tblStyle w:val="ListTable3-Accent3"/>
        <w:tblW w:w="9026" w:type="dxa"/>
        <w:tblLook w:val="04A0" w:firstRow="1" w:lastRow="0" w:firstColumn="1" w:lastColumn="0" w:noHBand="0" w:noVBand="1"/>
      </w:tblPr>
      <w:tblGrid>
        <w:gridCol w:w="3558"/>
        <w:gridCol w:w="2144"/>
        <w:gridCol w:w="3324"/>
      </w:tblGrid>
      <w:tr w:rsidR="00EE29D5" w:rsidRPr="006A7F00" w14:paraId="64DA8F29" w14:textId="77777777" w:rsidTr="00EE29D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58" w:type="dxa"/>
            <w:hideMark/>
          </w:tcPr>
          <w:p w14:paraId="75F98B83" w14:textId="77777777" w:rsidR="00EE29D5" w:rsidRPr="004A63A3" w:rsidRDefault="00EE29D5" w:rsidP="004A63A3">
            <w:pPr>
              <w:spacing w:after="120"/>
              <w:rPr>
                <w:rFonts w:cstheme="minorHAnsi"/>
                <w:b w:val="0"/>
                <w:bCs w:val="0"/>
                <w:color w:val="FFFFFF" w:themeColor="background1"/>
                <w:sz w:val="16"/>
                <w:szCs w:val="18"/>
              </w:rPr>
            </w:pPr>
            <w:r w:rsidRPr="004A63A3">
              <w:rPr>
                <w:rFonts w:cstheme="minorHAnsi"/>
                <w:b w:val="0"/>
                <w:bCs w:val="0"/>
                <w:color w:val="FFFFFF" w:themeColor="background1"/>
                <w:sz w:val="16"/>
                <w:szCs w:val="18"/>
              </w:rPr>
              <w:lastRenderedPageBreak/>
              <w:t>COUNCIL</w:t>
            </w:r>
          </w:p>
        </w:tc>
        <w:tc>
          <w:tcPr>
            <w:tcW w:w="2144" w:type="dxa"/>
            <w:noWrap/>
            <w:hideMark/>
          </w:tcPr>
          <w:p w14:paraId="016A06A5" w14:textId="77777777" w:rsidR="00EE29D5" w:rsidRPr="004A63A3" w:rsidRDefault="00EE29D5"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sidRPr="004A63A3">
              <w:rPr>
                <w:rFonts w:cstheme="minorHAnsi"/>
                <w:b w:val="0"/>
                <w:bCs w:val="0"/>
                <w:color w:val="FFFFFF" w:themeColor="background1"/>
                <w:sz w:val="16"/>
                <w:szCs w:val="18"/>
              </w:rPr>
              <w:t>VLGCG GROUPING</w:t>
            </w:r>
          </w:p>
        </w:tc>
        <w:tc>
          <w:tcPr>
            <w:tcW w:w="3324" w:type="dxa"/>
          </w:tcPr>
          <w:p w14:paraId="5B8DAAB3" w14:textId="31BDACA3" w:rsidR="00EE29D5" w:rsidRPr="004A63A3" w:rsidRDefault="00EA1BDF"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Pr>
                <w:rFonts w:cstheme="minorHAnsi"/>
                <w:b w:val="0"/>
                <w:bCs w:val="0"/>
                <w:color w:val="FFFFFF" w:themeColor="background1"/>
                <w:sz w:val="16"/>
                <w:szCs w:val="18"/>
              </w:rPr>
              <w:t>ADOPTED</w:t>
            </w:r>
            <w:r w:rsidR="00EE29D5" w:rsidRPr="004A63A3">
              <w:rPr>
                <w:rFonts w:cstheme="minorHAnsi"/>
                <w:b w:val="0"/>
                <w:bCs w:val="0"/>
                <w:color w:val="FFFFFF" w:themeColor="background1"/>
                <w:sz w:val="16"/>
                <w:szCs w:val="18"/>
              </w:rPr>
              <w:t xml:space="preserve"> RATE INCREASE FY 202021</w:t>
            </w:r>
          </w:p>
        </w:tc>
      </w:tr>
      <w:tr w:rsidR="00EE29D5" w:rsidRPr="006A7F00" w14:paraId="156AAB01"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2FB3000C" w14:textId="77777777" w:rsidR="00EE29D5" w:rsidRPr="006A7F00" w:rsidRDefault="00EE29D5" w:rsidP="00E978AB">
            <w:pPr>
              <w:rPr>
                <w:rFonts w:cstheme="minorHAnsi"/>
                <w:bCs w:val="0"/>
                <w:color w:val="auto"/>
              </w:rPr>
            </w:pPr>
            <w:r w:rsidRPr="006A7F00">
              <w:rPr>
                <w:rFonts w:cstheme="minorHAnsi"/>
                <w:bCs w:val="0"/>
                <w:color w:val="auto"/>
              </w:rPr>
              <w:t>Ballarat City Council</w:t>
            </w:r>
          </w:p>
        </w:tc>
        <w:tc>
          <w:tcPr>
            <w:tcW w:w="2144" w:type="dxa"/>
            <w:noWrap/>
            <w:hideMark/>
          </w:tcPr>
          <w:p w14:paraId="0115924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3399269A"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r w:rsidR="00EE29D5" w:rsidRPr="006A7F00" w14:paraId="312C915A"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382F082A" w14:textId="77777777" w:rsidR="00EE29D5" w:rsidRPr="006A7F00" w:rsidRDefault="00EE29D5" w:rsidP="00E978AB">
            <w:pPr>
              <w:rPr>
                <w:rFonts w:cstheme="minorHAnsi"/>
                <w:bCs w:val="0"/>
                <w:color w:val="auto"/>
              </w:rPr>
            </w:pPr>
            <w:r w:rsidRPr="006A7F00">
              <w:rPr>
                <w:rFonts w:cstheme="minorHAnsi"/>
                <w:bCs w:val="0"/>
                <w:color w:val="auto"/>
              </w:rPr>
              <w:t>Greater Bendigo City Council</w:t>
            </w:r>
          </w:p>
        </w:tc>
        <w:tc>
          <w:tcPr>
            <w:tcW w:w="2144" w:type="dxa"/>
            <w:noWrap/>
            <w:hideMark/>
          </w:tcPr>
          <w:p w14:paraId="7F58F754"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13153F5D"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368F6302"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15D0F6E0" w14:textId="77777777" w:rsidR="00EE29D5" w:rsidRPr="006A7F00" w:rsidRDefault="00EE29D5" w:rsidP="00E978AB">
            <w:pPr>
              <w:rPr>
                <w:rFonts w:cstheme="minorHAnsi"/>
                <w:bCs w:val="0"/>
                <w:color w:val="auto"/>
              </w:rPr>
            </w:pPr>
            <w:r w:rsidRPr="006A7F00">
              <w:rPr>
                <w:rFonts w:cstheme="minorHAnsi"/>
                <w:bCs w:val="0"/>
                <w:color w:val="auto"/>
              </w:rPr>
              <w:t>Greater Geelong City Council</w:t>
            </w:r>
          </w:p>
        </w:tc>
        <w:tc>
          <w:tcPr>
            <w:tcW w:w="2144" w:type="dxa"/>
            <w:noWrap/>
            <w:hideMark/>
          </w:tcPr>
          <w:p w14:paraId="0C9BA64D"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4A4790EB"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1</w:t>
            </w:r>
            <w:r w:rsidRPr="0042426A">
              <w:rPr>
                <w:rFonts w:cstheme="minorHAnsi"/>
                <w:color w:val="000000"/>
              </w:rPr>
              <w:t>.</w:t>
            </w:r>
            <w:r>
              <w:rPr>
                <w:rFonts w:cstheme="minorHAnsi"/>
                <w:color w:val="000000"/>
              </w:rPr>
              <w:t>9</w:t>
            </w:r>
            <w:r w:rsidRPr="0042426A">
              <w:rPr>
                <w:rFonts w:cstheme="minorHAnsi"/>
                <w:color w:val="000000"/>
              </w:rPr>
              <w:t>0%</w:t>
            </w:r>
          </w:p>
        </w:tc>
      </w:tr>
      <w:tr w:rsidR="00EE29D5" w:rsidRPr="006A7F00" w14:paraId="4C5396A4"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35D62330" w14:textId="77777777" w:rsidR="00EE29D5" w:rsidRPr="006A7F00" w:rsidRDefault="00EE29D5" w:rsidP="00E978AB">
            <w:pPr>
              <w:rPr>
                <w:rFonts w:cstheme="minorHAnsi"/>
                <w:bCs w:val="0"/>
                <w:color w:val="auto"/>
              </w:rPr>
            </w:pPr>
            <w:r w:rsidRPr="006A7F00">
              <w:rPr>
                <w:rFonts w:cstheme="minorHAnsi"/>
                <w:bCs w:val="0"/>
                <w:color w:val="auto"/>
              </w:rPr>
              <w:t>Greater Shepparton City Council</w:t>
            </w:r>
          </w:p>
        </w:tc>
        <w:tc>
          <w:tcPr>
            <w:tcW w:w="2144" w:type="dxa"/>
            <w:noWrap/>
            <w:hideMark/>
          </w:tcPr>
          <w:p w14:paraId="7310ABA5"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6195D685"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56B80288"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3DC6E1C0" w14:textId="77777777" w:rsidR="00EE29D5" w:rsidRPr="006A7F00" w:rsidRDefault="00EE29D5" w:rsidP="00E978AB">
            <w:pPr>
              <w:rPr>
                <w:rFonts w:cstheme="minorHAnsi"/>
                <w:bCs w:val="0"/>
                <w:color w:val="auto"/>
              </w:rPr>
            </w:pPr>
            <w:r w:rsidRPr="006A7F00">
              <w:rPr>
                <w:rFonts w:cstheme="minorHAnsi"/>
                <w:bCs w:val="0"/>
                <w:color w:val="auto"/>
              </w:rPr>
              <w:t>Horsham Rural City Council</w:t>
            </w:r>
          </w:p>
        </w:tc>
        <w:tc>
          <w:tcPr>
            <w:tcW w:w="2144" w:type="dxa"/>
            <w:noWrap/>
            <w:hideMark/>
          </w:tcPr>
          <w:p w14:paraId="11CF6A3B"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5D2B06FD"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53843EF9"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6C460773" w14:textId="77777777" w:rsidR="00EE29D5" w:rsidRPr="006A7F00" w:rsidRDefault="00EE29D5" w:rsidP="00E978AB">
            <w:pPr>
              <w:rPr>
                <w:rFonts w:cstheme="minorHAnsi"/>
                <w:bCs w:val="0"/>
                <w:color w:val="auto"/>
              </w:rPr>
            </w:pPr>
            <w:r w:rsidRPr="006A7F00">
              <w:rPr>
                <w:rFonts w:cstheme="minorHAnsi"/>
                <w:bCs w:val="0"/>
                <w:color w:val="auto"/>
              </w:rPr>
              <w:t>Latrobe City Council</w:t>
            </w:r>
          </w:p>
        </w:tc>
        <w:tc>
          <w:tcPr>
            <w:tcW w:w="2144" w:type="dxa"/>
            <w:noWrap/>
            <w:hideMark/>
          </w:tcPr>
          <w:p w14:paraId="5598C422"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60A921D8"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r w:rsidR="00EE29D5" w:rsidRPr="006A7F00" w14:paraId="112323CC"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1370B8B1" w14:textId="77777777" w:rsidR="00EE29D5" w:rsidRPr="006A7F00" w:rsidRDefault="00EE29D5" w:rsidP="00E978AB">
            <w:pPr>
              <w:rPr>
                <w:rFonts w:cstheme="minorHAnsi"/>
                <w:bCs w:val="0"/>
                <w:color w:val="auto"/>
              </w:rPr>
            </w:pPr>
            <w:r w:rsidRPr="006A7F00">
              <w:rPr>
                <w:rFonts w:cstheme="minorHAnsi"/>
                <w:bCs w:val="0"/>
                <w:color w:val="auto"/>
              </w:rPr>
              <w:t>Mildura Rural City Council</w:t>
            </w:r>
          </w:p>
        </w:tc>
        <w:tc>
          <w:tcPr>
            <w:tcW w:w="2144" w:type="dxa"/>
            <w:noWrap/>
            <w:hideMark/>
          </w:tcPr>
          <w:p w14:paraId="666A16CB"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0EF9684E"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6171BF07"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0C210A13" w14:textId="77777777" w:rsidR="00EE29D5" w:rsidRPr="006A7F00" w:rsidRDefault="00EE29D5" w:rsidP="00E978AB">
            <w:pPr>
              <w:rPr>
                <w:rFonts w:cstheme="minorHAnsi"/>
                <w:bCs w:val="0"/>
                <w:color w:val="auto"/>
              </w:rPr>
            </w:pPr>
            <w:r w:rsidRPr="006A7F00">
              <w:rPr>
                <w:rFonts w:cstheme="minorHAnsi"/>
                <w:bCs w:val="0"/>
                <w:color w:val="auto"/>
              </w:rPr>
              <w:t>Wangaratta Rural City Council</w:t>
            </w:r>
          </w:p>
        </w:tc>
        <w:tc>
          <w:tcPr>
            <w:tcW w:w="2144" w:type="dxa"/>
            <w:noWrap/>
            <w:hideMark/>
          </w:tcPr>
          <w:p w14:paraId="6A8C40E2"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21A210F8"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1E9CC5F2"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63BA4D93" w14:textId="77777777" w:rsidR="00EE29D5" w:rsidRPr="006A7F00" w:rsidRDefault="00EE29D5" w:rsidP="00E978AB">
            <w:pPr>
              <w:rPr>
                <w:rFonts w:cstheme="minorHAnsi"/>
                <w:bCs w:val="0"/>
                <w:color w:val="auto"/>
              </w:rPr>
            </w:pPr>
            <w:r w:rsidRPr="006A7F00">
              <w:rPr>
                <w:rFonts w:cstheme="minorHAnsi"/>
                <w:bCs w:val="0"/>
                <w:color w:val="auto"/>
              </w:rPr>
              <w:t>Warrnambool City Council</w:t>
            </w:r>
          </w:p>
        </w:tc>
        <w:tc>
          <w:tcPr>
            <w:tcW w:w="2144" w:type="dxa"/>
            <w:noWrap/>
            <w:hideMark/>
          </w:tcPr>
          <w:p w14:paraId="7D3EFF07"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74CAAEB2"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5D386BB6"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558" w:type="dxa"/>
            <w:noWrap/>
            <w:hideMark/>
          </w:tcPr>
          <w:p w14:paraId="7F62A250" w14:textId="77777777" w:rsidR="00EE29D5" w:rsidRPr="006A7F00" w:rsidRDefault="00EE29D5" w:rsidP="00E978AB">
            <w:pPr>
              <w:rPr>
                <w:rFonts w:cstheme="minorHAnsi"/>
                <w:bCs w:val="0"/>
                <w:color w:val="auto"/>
              </w:rPr>
            </w:pPr>
            <w:r w:rsidRPr="006A7F00">
              <w:rPr>
                <w:rFonts w:cstheme="minorHAnsi"/>
                <w:bCs w:val="0"/>
                <w:color w:val="auto"/>
              </w:rPr>
              <w:t>Wodonga City Council</w:t>
            </w:r>
          </w:p>
        </w:tc>
        <w:tc>
          <w:tcPr>
            <w:tcW w:w="2144" w:type="dxa"/>
            <w:noWrap/>
            <w:hideMark/>
          </w:tcPr>
          <w:p w14:paraId="05F9C942"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Regional City</w:t>
            </w:r>
          </w:p>
        </w:tc>
        <w:tc>
          <w:tcPr>
            <w:tcW w:w="3324" w:type="dxa"/>
          </w:tcPr>
          <w:p w14:paraId="5AAA958F"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bl>
    <w:p w14:paraId="7A473D8A" w14:textId="5AC082F2" w:rsidR="00EE29D5" w:rsidRDefault="00EE29D5" w:rsidP="00EE29D5">
      <w:pPr>
        <w:rPr>
          <w:szCs w:val="18"/>
        </w:rPr>
      </w:pPr>
    </w:p>
    <w:tbl>
      <w:tblPr>
        <w:tblStyle w:val="ListTable3-Accent3"/>
        <w:tblW w:w="9026" w:type="dxa"/>
        <w:tblLook w:val="04A0" w:firstRow="1" w:lastRow="0" w:firstColumn="1" w:lastColumn="0" w:noHBand="0" w:noVBand="1"/>
      </w:tblPr>
      <w:tblGrid>
        <w:gridCol w:w="3539"/>
        <w:gridCol w:w="2131"/>
        <w:gridCol w:w="3356"/>
      </w:tblGrid>
      <w:tr w:rsidR="00EE29D5" w:rsidRPr="006A7F00" w14:paraId="1A6E2D39" w14:textId="77777777" w:rsidTr="0082555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39" w:type="dxa"/>
            <w:hideMark/>
          </w:tcPr>
          <w:p w14:paraId="2CB14D8D" w14:textId="77777777" w:rsidR="00EE29D5" w:rsidRPr="004A63A3" w:rsidRDefault="00EE29D5" w:rsidP="004A63A3">
            <w:pPr>
              <w:spacing w:after="120"/>
              <w:rPr>
                <w:rFonts w:cstheme="minorHAnsi"/>
                <w:b w:val="0"/>
                <w:bCs w:val="0"/>
                <w:color w:val="FFFFFF" w:themeColor="background1"/>
                <w:sz w:val="16"/>
                <w:szCs w:val="18"/>
              </w:rPr>
            </w:pPr>
            <w:r w:rsidRPr="004A63A3">
              <w:rPr>
                <w:rFonts w:cstheme="minorHAnsi"/>
                <w:b w:val="0"/>
                <w:bCs w:val="0"/>
                <w:color w:val="FFFFFF" w:themeColor="background1"/>
                <w:sz w:val="16"/>
                <w:szCs w:val="18"/>
              </w:rPr>
              <w:t>COUNCIL</w:t>
            </w:r>
          </w:p>
        </w:tc>
        <w:tc>
          <w:tcPr>
            <w:tcW w:w="2131" w:type="dxa"/>
            <w:noWrap/>
            <w:hideMark/>
          </w:tcPr>
          <w:p w14:paraId="28F8DCE9" w14:textId="77777777" w:rsidR="00EE29D5" w:rsidRPr="004A63A3" w:rsidRDefault="00EE29D5"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sidRPr="004A63A3">
              <w:rPr>
                <w:rFonts w:cstheme="minorHAnsi"/>
                <w:b w:val="0"/>
                <w:bCs w:val="0"/>
                <w:color w:val="FFFFFF" w:themeColor="background1"/>
                <w:sz w:val="16"/>
                <w:szCs w:val="18"/>
              </w:rPr>
              <w:t>VLGCG GROUPING</w:t>
            </w:r>
          </w:p>
        </w:tc>
        <w:tc>
          <w:tcPr>
            <w:tcW w:w="3356" w:type="dxa"/>
          </w:tcPr>
          <w:p w14:paraId="6E3FA372" w14:textId="66EF8594" w:rsidR="00EE29D5" w:rsidRPr="004A63A3" w:rsidRDefault="00EA1BDF"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Pr>
                <w:rFonts w:cstheme="minorHAnsi"/>
                <w:b w:val="0"/>
                <w:bCs w:val="0"/>
                <w:color w:val="FFFFFF" w:themeColor="background1"/>
                <w:sz w:val="16"/>
                <w:szCs w:val="18"/>
              </w:rPr>
              <w:t>ADOPTED</w:t>
            </w:r>
            <w:r w:rsidR="00EE29D5" w:rsidRPr="004A63A3">
              <w:rPr>
                <w:rFonts w:cstheme="minorHAnsi"/>
                <w:b w:val="0"/>
                <w:bCs w:val="0"/>
                <w:color w:val="FFFFFF" w:themeColor="background1"/>
                <w:sz w:val="16"/>
                <w:szCs w:val="18"/>
              </w:rPr>
              <w:t xml:space="preserve"> RATE INCREASE FY 202021</w:t>
            </w:r>
          </w:p>
        </w:tc>
      </w:tr>
      <w:tr w:rsidR="00EE29D5" w:rsidRPr="006A7F00" w14:paraId="6EB3EE14"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FC9B143" w14:textId="77777777" w:rsidR="00EE29D5" w:rsidRPr="006A7F00" w:rsidRDefault="00EE29D5" w:rsidP="00E978AB">
            <w:pPr>
              <w:rPr>
                <w:rFonts w:cstheme="minorHAnsi"/>
                <w:bCs w:val="0"/>
                <w:color w:val="auto"/>
              </w:rPr>
            </w:pPr>
            <w:r w:rsidRPr="006A7F00">
              <w:rPr>
                <w:rFonts w:cstheme="minorHAnsi"/>
                <w:bCs w:val="0"/>
                <w:color w:val="auto"/>
              </w:rPr>
              <w:t>Bass Coast Shire Council</w:t>
            </w:r>
          </w:p>
        </w:tc>
        <w:tc>
          <w:tcPr>
            <w:tcW w:w="2131" w:type="dxa"/>
            <w:noWrap/>
            <w:hideMark/>
          </w:tcPr>
          <w:p w14:paraId="47A20ABE"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2E82E5BA"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71369064"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7C1697C" w14:textId="77777777" w:rsidR="00EE29D5" w:rsidRPr="006A7F00" w:rsidRDefault="00EE29D5" w:rsidP="00E978AB">
            <w:pPr>
              <w:rPr>
                <w:rFonts w:cstheme="minorHAnsi"/>
                <w:bCs w:val="0"/>
                <w:color w:val="auto"/>
              </w:rPr>
            </w:pPr>
            <w:r w:rsidRPr="006A7F00">
              <w:rPr>
                <w:rFonts w:cstheme="minorHAnsi"/>
                <w:bCs w:val="0"/>
                <w:color w:val="auto"/>
              </w:rPr>
              <w:t>Baw Baw Shire Council</w:t>
            </w:r>
          </w:p>
        </w:tc>
        <w:tc>
          <w:tcPr>
            <w:tcW w:w="2131" w:type="dxa"/>
            <w:noWrap/>
            <w:hideMark/>
          </w:tcPr>
          <w:p w14:paraId="21F86309"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50FC1175"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355784B5"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54E32D4" w14:textId="77777777" w:rsidR="00EE29D5" w:rsidRPr="006A7F00" w:rsidRDefault="00EE29D5" w:rsidP="00E978AB">
            <w:pPr>
              <w:rPr>
                <w:rFonts w:cstheme="minorHAnsi"/>
                <w:bCs w:val="0"/>
                <w:color w:val="auto"/>
              </w:rPr>
            </w:pPr>
            <w:r w:rsidRPr="006A7F00">
              <w:rPr>
                <w:rFonts w:cstheme="minorHAnsi"/>
                <w:bCs w:val="0"/>
                <w:color w:val="auto"/>
              </w:rPr>
              <w:t>Campaspe Shire Council</w:t>
            </w:r>
          </w:p>
        </w:tc>
        <w:tc>
          <w:tcPr>
            <w:tcW w:w="2131" w:type="dxa"/>
            <w:noWrap/>
            <w:hideMark/>
          </w:tcPr>
          <w:p w14:paraId="3400DB70"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1FEF2B29"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7CFC9BCE"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98AF229" w14:textId="77777777" w:rsidR="00EE29D5" w:rsidRPr="006A7F00" w:rsidRDefault="00EE29D5" w:rsidP="00E978AB">
            <w:pPr>
              <w:rPr>
                <w:rFonts w:cstheme="minorHAnsi"/>
                <w:bCs w:val="0"/>
                <w:color w:val="auto"/>
              </w:rPr>
            </w:pPr>
            <w:r w:rsidRPr="006A7F00">
              <w:rPr>
                <w:rFonts w:cstheme="minorHAnsi"/>
                <w:bCs w:val="0"/>
                <w:color w:val="auto"/>
              </w:rPr>
              <w:t>Colac Otway Shire Council</w:t>
            </w:r>
          </w:p>
        </w:tc>
        <w:tc>
          <w:tcPr>
            <w:tcW w:w="2131" w:type="dxa"/>
            <w:noWrap/>
            <w:hideMark/>
          </w:tcPr>
          <w:p w14:paraId="62790A00"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58818C9F"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2426A">
              <w:rPr>
                <w:rFonts w:cstheme="minorHAnsi"/>
                <w:color w:val="000000"/>
              </w:rPr>
              <w:t>.</w:t>
            </w:r>
            <w:r>
              <w:rPr>
                <w:rFonts w:cstheme="minorHAnsi"/>
                <w:color w:val="000000"/>
              </w:rPr>
              <w:t>5</w:t>
            </w:r>
            <w:r w:rsidRPr="0042426A">
              <w:rPr>
                <w:rFonts w:cstheme="minorHAnsi"/>
                <w:color w:val="000000"/>
              </w:rPr>
              <w:t>0%</w:t>
            </w:r>
          </w:p>
        </w:tc>
      </w:tr>
      <w:tr w:rsidR="00EE29D5" w:rsidRPr="006A7F00" w14:paraId="6F108AFB"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1F22B32" w14:textId="77777777" w:rsidR="00EE29D5" w:rsidRPr="006A7F00" w:rsidRDefault="00EE29D5" w:rsidP="00E978AB">
            <w:pPr>
              <w:rPr>
                <w:rFonts w:cstheme="minorHAnsi"/>
                <w:bCs w:val="0"/>
                <w:color w:val="auto"/>
              </w:rPr>
            </w:pPr>
            <w:r w:rsidRPr="006A7F00">
              <w:rPr>
                <w:rFonts w:cstheme="minorHAnsi"/>
                <w:bCs w:val="0"/>
                <w:color w:val="auto"/>
              </w:rPr>
              <w:t>Corangamite Shire Council</w:t>
            </w:r>
          </w:p>
        </w:tc>
        <w:tc>
          <w:tcPr>
            <w:tcW w:w="2131" w:type="dxa"/>
            <w:noWrap/>
            <w:hideMark/>
          </w:tcPr>
          <w:p w14:paraId="426FCC4B"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55FD3CC1"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r w:rsidR="00EE29D5" w:rsidRPr="006A7F00" w14:paraId="15ECCF7A"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8B0BB56" w14:textId="77777777" w:rsidR="00EE29D5" w:rsidRPr="006A7F00" w:rsidRDefault="00EE29D5" w:rsidP="00E978AB">
            <w:pPr>
              <w:rPr>
                <w:rFonts w:cstheme="minorHAnsi"/>
                <w:bCs w:val="0"/>
                <w:color w:val="auto"/>
              </w:rPr>
            </w:pPr>
            <w:r w:rsidRPr="006A7F00">
              <w:rPr>
                <w:rFonts w:cstheme="minorHAnsi"/>
                <w:bCs w:val="0"/>
                <w:color w:val="auto"/>
              </w:rPr>
              <w:t>East Gippsland Shire Council</w:t>
            </w:r>
          </w:p>
        </w:tc>
        <w:tc>
          <w:tcPr>
            <w:tcW w:w="2131" w:type="dxa"/>
            <w:noWrap/>
            <w:hideMark/>
          </w:tcPr>
          <w:p w14:paraId="5F0FD1B2"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7CEC7260" w14:textId="298C137B" w:rsidR="00EE29D5" w:rsidRPr="006A7F00" w:rsidRDefault="003D4337"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r w:rsidR="00EE29D5" w:rsidRPr="0042426A">
              <w:rPr>
                <w:rFonts w:cstheme="minorHAnsi"/>
                <w:color w:val="000000"/>
              </w:rPr>
              <w:t>.00%</w:t>
            </w:r>
          </w:p>
        </w:tc>
      </w:tr>
      <w:tr w:rsidR="00EE29D5" w:rsidRPr="006A7F00" w14:paraId="3112040A"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8E045E0" w14:textId="77777777" w:rsidR="00EE29D5" w:rsidRPr="006A7F00" w:rsidRDefault="00EE29D5" w:rsidP="00E978AB">
            <w:pPr>
              <w:rPr>
                <w:rFonts w:cstheme="minorHAnsi"/>
                <w:bCs w:val="0"/>
                <w:color w:val="auto"/>
              </w:rPr>
            </w:pPr>
            <w:r w:rsidRPr="006A7F00">
              <w:rPr>
                <w:rFonts w:cstheme="minorHAnsi"/>
                <w:bCs w:val="0"/>
                <w:color w:val="auto"/>
              </w:rPr>
              <w:t>Glenelg Shire Council</w:t>
            </w:r>
          </w:p>
        </w:tc>
        <w:tc>
          <w:tcPr>
            <w:tcW w:w="2131" w:type="dxa"/>
            <w:noWrap/>
            <w:hideMark/>
          </w:tcPr>
          <w:p w14:paraId="0EE571F4"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13514D5F"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r w:rsidR="00EE29D5" w:rsidRPr="006A7F00" w14:paraId="13A10476"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B31B4E6" w14:textId="77777777" w:rsidR="00EE29D5" w:rsidRPr="006A7F00" w:rsidRDefault="00EE29D5" w:rsidP="00E978AB">
            <w:pPr>
              <w:rPr>
                <w:rFonts w:cstheme="minorHAnsi"/>
                <w:bCs w:val="0"/>
                <w:color w:val="auto"/>
              </w:rPr>
            </w:pPr>
            <w:r w:rsidRPr="006A7F00">
              <w:rPr>
                <w:rFonts w:cstheme="minorHAnsi"/>
                <w:bCs w:val="0"/>
                <w:color w:val="auto"/>
              </w:rPr>
              <w:t>Golden Plains Shire Council</w:t>
            </w:r>
          </w:p>
        </w:tc>
        <w:tc>
          <w:tcPr>
            <w:tcW w:w="2131" w:type="dxa"/>
            <w:noWrap/>
            <w:hideMark/>
          </w:tcPr>
          <w:p w14:paraId="5CF5970C"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54B089BD"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64D8D08D"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334CC74" w14:textId="77777777" w:rsidR="00EE29D5" w:rsidRPr="006A7F00" w:rsidRDefault="00EE29D5" w:rsidP="00E978AB">
            <w:pPr>
              <w:rPr>
                <w:rFonts w:cstheme="minorHAnsi"/>
                <w:bCs w:val="0"/>
                <w:color w:val="auto"/>
              </w:rPr>
            </w:pPr>
            <w:r w:rsidRPr="006A7F00">
              <w:rPr>
                <w:rFonts w:cstheme="minorHAnsi"/>
                <w:bCs w:val="0"/>
                <w:color w:val="auto"/>
              </w:rPr>
              <w:t>Macedon Ranges Shire Council</w:t>
            </w:r>
          </w:p>
        </w:tc>
        <w:tc>
          <w:tcPr>
            <w:tcW w:w="2131" w:type="dxa"/>
            <w:noWrap/>
            <w:hideMark/>
          </w:tcPr>
          <w:p w14:paraId="3B9450B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43E9366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1B5B8098"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CC5A7D5" w14:textId="77777777" w:rsidR="00EE29D5" w:rsidRPr="006A7F00" w:rsidRDefault="00EE29D5" w:rsidP="00E978AB">
            <w:pPr>
              <w:rPr>
                <w:rFonts w:cstheme="minorHAnsi"/>
                <w:bCs w:val="0"/>
                <w:color w:val="auto"/>
              </w:rPr>
            </w:pPr>
            <w:r w:rsidRPr="006A7F00">
              <w:rPr>
                <w:rFonts w:cstheme="minorHAnsi"/>
                <w:bCs w:val="0"/>
                <w:color w:val="auto"/>
              </w:rPr>
              <w:t>Mitchell Shire Council</w:t>
            </w:r>
          </w:p>
        </w:tc>
        <w:tc>
          <w:tcPr>
            <w:tcW w:w="2131" w:type="dxa"/>
            <w:noWrap/>
            <w:hideMark/>
          </w:tcPr>
          <w:p w14:paraId="75C484D2"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0F28629B"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02FF4560"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061081C" w14:textId="77777777" w:rsidR="00EE29D5" w:rsidRPr="006A7F00" w:rsidRDefault="00EE29D5" w:rsidP="00E978AB">
            <w:pPr>
              <w:rPr>
                <w:rFonts w:cstheme="minorHAnsi"/>
                <w:bCs w:val="0"/>
                <w:color w:val="auto"/>
              </w:rPr>
            </w:pPr>
            <w:r w:rsidRPr="006A7F00">
              <w:rPr>
                <w:rFonts w:cstheme="minorHAnsi"/>
                <w:bCs w:val="0"/>
                <w:color w:val="auto"/>
              </w:rPr>
              <w:t>Moira Shire Council</w:t>
            </w:r>
          </w:p>
        </w:tc>
        <w:tc>
          <w:tcPr>
            <w:tcW w:w="2131" w:type="dxa"/>
            <w:noWrap/>
            <w:hideMark/>
          </w:tcPr>
          <w:p w14:paraId="4580D930"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7B18D70F"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4CF65DBE"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6152F25" w14:textId="77777777" w:rsidR="00EE29D5" w:rsidRPr="006A7F00" w:rsidRDefault="00EE29D5" w:rsidP="00E978AB">
            <w:pPr>
              <w:rPr>
                <w:rFonts w:cstheme="minorHAnsi"/>
                <w:bCs w:val="0"/>
                <w:color w:val="auto"/>
              </w:rPr>
            </w:pPr>
            <w:r w:rsidRPr="006A7F00">
              <w:rPr>
                <w:rFonts w:cstheme="minorHAnsi"/>
                <w:bCs w:val="0"/>
                <w:color w:val="auto"/>
              </w:rPr>
              <w:t>Moorabool Shire Council</w:t>
            </w:r>
          </w:p>
        </w:tc>
        <w:tc>
          <w:tcPr>
            <w:tcW w:w="2131" w:type="dxa"/>
            <w:noWrap/>
            <w:hideMark/>
          </w:tcPr>
          <w:p w14:paraId="45BE6BEB"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353F002C"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18D1AA12"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2771FFC" w14:textId="77777777" w:rsidR="00EE29D5" w:rsidRPr="006A7F00" w:rsidRDefault="00EE29D5" w:rsidP="00E978AB">
            <w:pPr>
              <w:rPr>
                <w:rFonts w:cstheme="minorHAnsi"/>
                <w:bCs w:val="0"/>
                <w:color w:val="auto"/>
              </w:rPr>
            </w:pPr>
            <w:r w:rsidRPr="006A7F00">
              <w:rPr>
                <w:rFonts w:cstheme="minorHAnsi"/>
                <w:bCs w:val="0"/>
                <w:color w:val="auto"/>
              </w:rPr>
              <w:t>Mount Alexander Shire Council</w:t>
            </w:r>
          </w:p>
        </w:tc>
        <w:tc>
          <w:tcPr>
            <w:tcW w:w="2131" w:type="dxa"/>
            <w:noWrap/>
            <w:hideMark/>
          </w:tcPr>
          <w:p w14:paraId="4F12D7D8"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20EF5662"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632CD04E"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E763E6B" w14:textId="77777777" w:rsidR="00EE29D5" w:rsidRPr="006A7F00" w:rsidRDefault="00EE29D5" w:rsidP="00E978AB">
            <w:pPr>
              <w:rPr>
                <w:rFonts w:cstheme="minorHAnsi"/>
                <w:bCs w:val="0"/>
                <w:color w:val="auto"/>
              </w:rPr>
            </w:pPr>
            <w:r w:rsidRPr="006A7F00">
              <w:rPr>
                <w:rFonts w:cstheme="minorHAnsi"/>
                <w:bCs w:val="0"/>
                <w:color w:val="auto"/>
              </w:rPr>
              <w:t>Moyne Shire Council</w:t>
            </w:r>
          </w:p>
        </w:tc>
        <w:tc>
          <w:tcPr>
            <w:tcW w:w="2131" w:type="dxa"/>
            <w:noWrap/>
            <w:hideMark/>
          </w:tcPr>
          <w:p w14:paraId="59456C75"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575E9952"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r w:rsidR="00EE29D5" w:rsidRPr="006A7F00" w14:paraId="4149A9BE"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940214B" w14:textId="77777777" w:rsidR="00EE29D5" w:rsidRPr="006A7F00" w:rsidRDefault="00EE29D5" w:rsidP="00E978AB">
            <w:pPr>
              <w:rPr>
                <w:rFonts w:cstheme="minorHAnsi"/>
                <w:bCs w:val="0"/>
                <w:color w:val="auto"/>
              </w:rPr>
            </w:pPr>
            <w:r w:rsidRPr="006A7F00">
              <w:rPr>
                <w:rFonts w:cstheme="minorHAnsi"/>
                <w:bCs w:val="0"/>
                <w:color w:val="auto"/>
              </w:rPr>
              <w:t>South Gippsland Shire Council</w:t>
            </w:r>
          </w:p>
        </w:tc>
        <w:tc>
          <w:tcPr>
            <w:tcW w:w="2131" w:type="dxa"/>
            <w:noWrap/>
            <w:hideMark/>
          </w:tcPr>
          <w:p w14:paraId="3C4A15BC"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01309ED3"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32ACAB11"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4201B47E" w14:textId="77777777" w:rsidR="00EE29D5" w:rsidRPr="006A7F00" w:rsidRDefault="00EE29D5" w:rsidP="00E978AB">
            <w:pPr>
              <w:rPr>
                <w:rFonts w:cstheme="minorHAnsi"/>
                <w:bCs w:val="0"/>
                <w:color w:val="auto"/>
              </w:rPr>
            </w:pPr>
            <w:r w:rsidRPr="006A7F00">
              <w:rPr>
                <w:rFonts w:cstheme="minorHAnsi"/>
                <w:bCs w:val="0"/>
                <w:color w:val="auto"/>
              </w:rPr>
              <w:t>Southern Grampians Shire Council</w:t>
            </w:r>
          </w:p>
        </w:tc>
        <w:tc>
          <w:tcPr>
            <w:tcW w:w="2131" w:type="dxa"/>
            <w:noWrap/>
            <w:hideMark/>
          </w:tcPr>
          <w:p w14:paraId="56761C3D"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0C264188"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2426A">
              <w:rPr>
                <w:rFonts w:cstheme="minorHAnsi"/>
                <w:color w:val="000000"/>
              </w:rPr>
              <w:t>.</w:t>
            </w:r>
            <w:r>
              <w:rPr>
                <w:rFonts w:cstheme="minorHAnsi"/>
                <w:color w:val="000000"/>
              </w:rPr>
              <w:t>75</w:t>
            </w:r>
            <w:r w:rsidRPr="0042426A">
              <w:rPr>
                <w:rFonts w:cstheme="minorHAnsi"/>
                <w:color w:val="000000"/>
              </w:rPr>
              <w:t>%</w:t>
            </w:r>
          </w:p>
        </w:tc>
      </w:tr>
      <w:tr w:rsidR="00EE29D5" w:rsidRPr="006A7F00" w14:paraId="7CF6E7A0"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52B688B" w14:textId="77777777" w:rsidR="00EE29D5" w:rsidRPr="006A7F00" w:rsidRDefault="00EE29D5" w:rsidP="00E978AB">
            <w:pPr>
              <w:rPr>
                <w:rFonts w:cstheme="minorHAnsi"/>
                <w:bCs w:val="0"/>
                <w:color w:val="auto"/>
              </w:rPr>
            </w:pPr>
            <w:r w:rsidRPr="006A7F00">
              <w:rPr>
                <w:rFonts w:cstheme="minorHAnsi"/>
                <w:bCs w:val="0"/>
                <w:color w:val="auto"/>
              </w:rPr>
              <w:t>Surf Coast Shire Council</w:t>
            </w:r>
          </w:p>
        </w:tc>
        <w:tc>
          <w:tcPr>
            <w:tcW w:w="2131" w:type="dxa"/>
            <w:noWrap/>
            <w:hideMark/>
          </w:tcPr>
          <w:p w14:paraId="0D566D4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47AAC290"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42426A">
              <w:rPr>
                <w:rFonts w:cstheme="minorHAnsi"/>
                <w:color w:val="000000"/>
              </w:rPr>
              <w:t>2.00%</w:t>
            </w:r>
          </w:p>
        </w:tc>
      </w:tr>
      <w:tr w:rsidR="00EE29D5" w:rsidRPr="006A7F00" w14:paraId="7D900DD8" w14:textId="77777777" w:rsidTr="00825559">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2720D2BF" w14:textId="77777777" w:rsidR="00EE29D5" w:rsidRPr="006A7F00" w:rsidRDefault="00EE29D5" w:rsidP="00E978AB">
            <w:pPr>
              <w:rPr>
                <w:rFonts w:cstheme="minorHAnsi"/>
                <w:bCs w:val="0"/>
                <w:color w:val="auto"/>
              </w:rPr>
            </w:pPr>
            <w:r w:rsidRPr="006A7F00">
              <w:rPr>
                <w:rFonts w:cstheme="minorHAnsi"/>
                <w:bCs w:val="0"/>
                <w:color w:val="auto"/>
              </w:rPr>
              <w:t>Swan Hill Rural City Council</w:t>
            </w:r>
          </w:p>
        </w:tc>
        <w:tc>
          <w:tcPr>
            <w:tcW w:w="2131" w:type="dxa"/>
            <w:noWrap/>
            <w:hideMark/>
          </w:tcPr>
          <w:p w14:paraId="3141B956"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416FEAD0"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42426A">
              <w:rPr>
                <w:rFonts w:cstheme="minorHAnsi"/>
                <w:color w:val="000000"/>
              </w:rPr>
              <w:t>.</w:t>
            </w:r>
            <w:r>
              <w:rPr>
                <w:rFonts w:cstheme="minorHAnsi"/>
                <w:color w:val="000000"/>
              </w:rPr>
              <w:t>86</w:t>
            </w:r>
            <w:r w:rsidRPr="0042426A">
              <w:rPr>
                <w:rFonts w:cstheme="minorHAnsi"/>
                <w:color w:val="000000"/>
              </w:rPr>
              <w:t>%</w:t>
            </w:r>
          </w:p>
        </w:tc>
      </w:tr>
      <w:tr w:rsidR="00EE29D5" w:rsidRPr="006A7F00" w14:paraId="184D2486" w14:textId="77777777" w:rsidTr="008255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A7000F8" w14:textId="77777777" w:rsidR="00EE29D5" w:rsidRPr="006A7F00" w:rsidRDefault="00EE29D5" w:rsidP="00E978AB">
            <w:pPr>
              <w:rPr>
                <w:rFonts w:cstheme="minorHAnsi"/>
                <w:bCs w:val="0"/>
                <w:color w:val="auto"/>
              </w:rPr>
            </w:pPr>
            <w:r w:rsidRPr="006A7F00">
              <w:rPr>
                <w:rFonts w:cstheme="minorHAnsi"/>
                <w:bCs w:val="0"/>
                <w:color w:val="auto"/>
              </w:rPr>
              <w:t>Wellington Shire Council</w:t>
            </w:r>
          </w:p>
        </w:tc>
        <w:tc>
          <w:tcPr>
            <w:tcW w:w="2131" w:type="dxa"/>
            <w:noWrap/>
            <w:hideMark/>
          </w:tcPr>
          <w:p w14:paraId="55E1FA57"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Large Shire</w:t>
            </w:r>
          </w:p>
        </w:tc>
        <w:tc>
          <w:tcPr>
            <w:tcW w:w="3356" w:type="dxa"/>
          </w:tcPr>
          <w:p w14:paraId="594DCA0C"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0</w:t>
            </w:r>
            <w:r w:rsidRPr="0042426A">
              <w:rPr>
                <w:rFonts w:cstheme="minorHAnsi"/>
                <w:color w:val="000000"/>
              </w:rPr>
              <w:t>.00%</w:t>
            </w:r>
          </w:p>
        </w:tc>
      </w:tr>
    </w:tbl>
    <w:p w14:paraId="266C6E02" w14:textId="177A03CE" w:rsidR="00EE29D5" w:rsidRDefault="00EE29D5" w:rsidP="00EE29D5">
      <w:pPr>
        <w:rPr>
          <w:szCs w:val="18"/>
        </w:rPr>
      </w:pPr>
    </w:p>
    <w:p w14:paraId="3EF0A531" w14:textId="43988018" w:rsidR="00EE29D5" w:rsidRDefault="00EE29D5" w:rsidP="00EE29D5">
      <w:pPr>
        <w:rPr>
          <w:szCs w:val="18"/>
        </w:rPr>
      </w:pPr>
    </w:p>
    <w:p w14:paraId="4C770344" w14:textId="7DB0CD08" w:rsidR="00EE29D5" w:rsidRDefault="00EE29D5" w:rsidP="00EE29D5">
      <w:pPr>
        <w:rPr>
          <w:szCs w:val="18"/>
        </w:rPr>
      </w:pPr>
    </w:p>
    <w:p w14:paraId="02B69E1A" w14:textId="66CB3041" w:rsidR="00EE29D5" w:rsidRDefault="00EE29D5" w:rsidP="00EE29D5">
      <w:pPr>
        <w:rPr>
          <w:szCs w:val="18"/>
        </w:rPr>
      </w:pPr>
    </w:p>
    <w:p w14:paraId="1C070C8D" w14:textId="230E4461" w:rsidR="00EE29D5" w:rsidRDefault="00EE29D5" w:rsidP="00EE29D5">
      <w:pPr>
        <w:rPr>
          <w:szCs w:val="18"/>
        </w:rPr>
      </w:pPr>
    </w:p>
    <w:p w14:paraId="4F0FEE3B" w14:textId="77777777" w:rsidR="004A63A3" w:rsidRDefault="004A63A3" w:rsidP="00EE29D5">
      <w:pPr>
        <w:rPr>
          <w:szCs w:val="18"/>
        </w:rPr>
      </w:pPr>
    </w:p>
    <w:p w14:paraId="756203E5" w14:textId="77777777" w:rsidR="00EE29D5" w:rsidRDefault="00EE29D5" w:rsidP="00EE29D5">
      <w:pPr>
        <w:rPr>
          <w:szCs w:val="18"/>
        </w:rPr>
      </w:pPr>
    </w:p>
    <w:tbl>
      <w:tblPr>
        <w:tblStyle w:val="ListTable3-Accent3"/>
        <w:tblW w:w="9026" w:type="dxa"/>
        <w:tblLook w:val="04A0" w:firstRow="1" w:lastRow="0" w:firstColumn="1" w:lastColumn="0" w:noHBand="0" w:noVBand="1"/>
      </w:tblPr>
      <w:tblGrid>
        <w:gridCol w:w="3616"/>
        <w:gridCol w:w="2086"/>
        <w:gridCol w:w="3324"/>
      </w:tblGrid>
      <w:tr w:rsidR="00EE29D5" w:rsidRPr="006A7F00" w14:paraId="2B9AA4F9" w14:textId="77777777" w:rsidTr="00EE29D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616" w:type="dxa"/>
            <w:hideMark/>
          </w:tcPr>
          <w:p w14:paraId="60BC324C" w14:textId="77777777" w:rsidR="00EE29D5" w:rsidRPr="004A63A3" w:rsidRDefault="00EE29D5" w:rsidP="004A63A3">
            <w:pPr>
              <w:spacing w:after="120"/>
              <w:rPr>
                <w:rFonts w:cstheme="minorHAnsi"/>
                <w:b w:val="0"/>
                <w:bCs w:val="0"/>
                <w:color w:val="FFFFFF" w:themeColor="background1"/>
                <w:sz w:val="16"/>
                <w:szCs w:val="18"/>
              </w:rPr>
            </w:pPr>
            <w:r w:rsidRPr="004A63A3">
              <w:rPr>
                <w:rFonts w:cstheme="minorHAnsi"/>
                <w:b w:val="0"/>
                <w:bCs w:val="0"/>
                <w:color w:val="FFFFFF" w:themeColor="background1"/>
                <w:sz w:val="16"/>
                <w:szCs w:val="18"/>
              </w:rPr>
              <w:lastRenderedPageBreak/>
              <w:t>COUNCIL</w:t>
            </w:r>
          </w:p>
        </w:tc>
        <w:tc>
          <w:tcPr>
            <w:tcW w:w="2086" w:type="dxa"/>
            <w:noWrap/>
            <w:hideMark/>
          </w:tcPr>
          <w:p w14:paraId="2EE276A9" w14:textId="77777777" w:rsidR="00EE29D5" w:rsidRPr="004A63A3" w:rsidRDefault="00EE29D5"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sidRPr="004A63A3">
              <w:rPr>
                <w:rFonts w:cstheme="minorHAnsi"/>
                <w:b w:val="0"/>
                <w:bCs w:val="0"/>
                <w:color w:val="FFFFFF" w:themeColor="background1"/>
                <w:sz w:val="16"/>
                <w:szCs w:val="18"/>
              </w:rPr>
              <w:t>VLGCG GROUPING</w:t>
            </w:r>
          </w:p>
        </w:tc>
        <w:tc>
          <w:tcPr>
            <w:tcW w:w="3324" w:type="dxa"/>
          </w:tcPr>
          <w:p w14:paraId="40EEFE32" w14:textId="106F32B6" w:rsidR="00EE29D5" w:rsidRPr="004A63A3" w:rsidRDefault="00EA1BDF" w:rsidP="004A63A3">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FFFFFF" w:themeColor="background1"/>
                <w:sz w:val="16"/>
                <w:szCs w:val="18"/>
              </w:rPr>
            </w:pPr>
            <w:r>
              <w:rPr>
                <w:rFonts w:cstheme="minorHAnsi"/>
                <w:b w:val="0"/>
                <w:bCs w:val="0"/>
                <w:color w:val="FFFFFF" w:themeColor="background1"/>
                <w:sz w:val="16"/>
                <w:szCs w:val="18"/>
              </w:rPr>
              <w:t>ADOPTED</w:t>
            </w:r>
            <w:r w:rsidR="00EE29D5" w:rsidRPr="004A63A3">
              <w:rPr>
                <w:rFonts w:cstheme="minorHAnsi"/>
                <w:b w:val="0"/>
                <w:bCs w:val="0"/>
                <w:color w:val="FFFFFF" w:themeColor="background1"/>
                <w:sz w:val="16"/>
                <w:szCs w:val="18"/>
              </w:rPr>
              <w:t xml:space="preserve"> RATE INCREASE FY 202021</w:t>
            </w:r>
          </w:p>
        </w:tc>
      </w:tr>
      <w:tr w:rsidR="00EE29D5" w:rsidRPr="006A7F00" w14:paraId="302FF1D5"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66B7B201" w14:textId="77777777" w:rsidR="00EE29D5" w:rsidRPr="006A7F00" w:rsidRDefault="00EE29D5" w:rsidP="00E978AB">
            <w:pPr>
              <w:rPr>
                <w:rFonts w:cstheme="minorHAnsi"/>
                <w:bCs w:val="0"/>
                <w:color w:val="auto"/>
              </w:rPr>
            </w:pPr>
            <w:r w:rsidRPr="006A7F00">
              <w:rPr>
                <w:rFonts w:cstheme="minorHAnsi"/>
                <w:bCs w:val="0"/>
                <w:color w:val="auto"/>
              </w:rPr>
              <w:t>Alpine Shire Council</w:t>
            </w:r>
          </w:p>
        </w:tc>
        <w:tc>
          <w:tcPr>
            <w:tcW w:w="2086" w:type="dxa"/>
            <w:noWrap/>
            <w:hideMark/>
          </w:tcPr>
          <w:p w14:paraId="3034D07E"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752F3C79"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36B17641"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3A5D463B" w14:textId="77777777" w:rsidR="00EE29D5" w:rsidRPr="006A7F00" w:rsidRDefault="00EE29D5" w:rsidP="00E978AB">
            <w:pPr>
              <w:rPr>
                <w:rFonts w:cstheme="minorHAnsi"/>
                <w:bCs w:val="0"/>
                <w:color w:val="auto"/>
              </w:rPr>
            </w:pPr>
            <w:r w:rsidRPr="006A7F00">
              <w:rPr>
                <w:rFonts w:cstheme="minorHAnsi"/>
                <w:bCs w:val="0"/>
                <w:color w:val="auto"/>
              </w:rPr>
              <w:t>Ararat Rural City Council</w:t>
            </w:r>
          </w:p>
        </w:tc>
        <w:tc>
          <w:tcPr>
            <w:tcW w:w="2086" w:type="dxa"/>
            <w:noWrap/>
            <w:hideMark/>
          </w:tcPr>
          <w:p w14:paraId="275C14B6"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12934457"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w:t>
            </w:r>
            <w:r w:rsidRPr="00EF6BE1">
              <w:rPr>
                <w:rFonts w:cstheme="minorHAnsi"/>
                <w:color w:val="000000"/>
              </w:rPr>
              <w:t>.00%</w:t>
            </w:r>
          </w:p>
        </w:tc>
      </w:tr>
      <w:tr w:rsidR="00EE29D5" w:rsidRPr="006A7F00" w14:paraId="1A2B204E"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51125B60" w14:textId="77777777" w:rsidR="00EE29D5" w:rsidRPr="006A7F00" w:rsidRDefault="00EE29D5" w:rsidP="00E978AB">
            <w:pPr>
              <w:rPr>
                <w:rFonts w:cstheme="minorHAnsi"/>
                <w:bCs w:val="0"/>
                <w:color w:val="auto"/>
              </w:rPr>
            </w:pPr>
            <w:r w:rsidRPr="006A7F00">
              <w:rPr>
                <w:rFonts w:cstheme="minorHAnsi"/>
                <w:bCs w:val="0"/>
                <w:color w:val="auto"/>
              </w:rPr>
              <w:t>Benalla Rural City Council</w:t>
            </w:r>
          </w:p>
        </w:tc>
        <w:tc>
          <w:tcPr>
            <w:tcW w:w="2086" w:type="dxa"/>
            <w:noWrap/>
            <w:hideMark/>
          </w:tcPr>
          <w:p w14:paraId="484861D1"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1BDD7701"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1</w:t>
            </w:r>
            <w:r w:rsidRPr="00EF6BE1">
              <w:rPr>
                <w:rFonts w:cstheme="minorHAnsi"/>
                <w:color w:val="000000"/>
              </w:rPr>
              <w:t>.</w:t>
            </w:r>
            <w:r>
              <w:rPr>
                <w:rFonts w:cstheme="minorHAnsi"/>
                <w:color w:val="000000"/>
              </w:rPr>
              <w:t>94</w:t>
            </w:r>
            <w:r w:rsidRPr="00EF6BE1">
              <w:rPr>
                <w:rFonts w:cstheme="minorHAnsi"/>
                <w:color w:val="000000"/>
              </w:rPr>
              <w:t>%</w:t>
            </w:r>
          </w:p>
        </w:tc>
      </w:tr>
      <w:tr w:rsidR="00EE29D5" w:rsidRPr="006A7F00" w14:paraId="77638AAE"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038319FF" w14:textId="77777777" w:rsidR="00EE29D5" w:rsidRPr="006A7F00" w:rsidRDefault="00EE29D5" w:rsidP="00E978AB">
            <w:pPr>
              <w:rPr>
                <w:rFonts w:cstheme="minorHAnsi"/>
                <w:bCs w:val="0"/>
                <w:color w:val="auto"/>
              </w:rPr>
            </w:pPr>
            <w:r w:rsidRPr="006A7F00">
              <w:rPr>
                <w:rFonts w:cstheme="minorHAnsi"/>
                <w:bCs w:val="0"/>
                <w:color w:val="auto"/>
              </w:rPr>
              <w:t>Buloke Shire Council</w:t>
            </w:r>
          </w:p>
        </w:tc>
        <w:tc>
          <w:tcPr>
            <w:tcW w:w="2086" w:type="dxa"/>
            <w:noWrap/>
            <w:hideMark/>
          </w:tcPr>
          <w:p w14:paraId="5788EDF4"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3B1D8AD3"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024308C0"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40CC20BC" w14:textId="77777777" w:rsidR="00EE29D5" w:rsidRPr="006A7F00" w:rsidRDefault="00EE29D5" w:rsidP="00E978AB">
            <w:pPr>
              <w:rPr>
                <w:rFonts w:cstheme="minorHAnsi"/>
                <w:bCs w:val="0"/>
                <w:color w:val="auto"/>
              </w:rPr>
            </w:pPr>
            <w:r w:rsidRPr="006A7F00">
              <w:rPr>
                <w:rFonts w:cstheme="minorHAnsi"/>
                <w:bCs w:val="0"/>
                <w:color w:val="auto"/>
              </w:rPr>
              <w:t>Central Goldfields Shire Council</w:t>
            </w:r>
          </w:p>
        </w:tc>
        <w:tc>
          <w:tcPr>
            <w:tcW w:w="2086" w:type="dxa"/>
            <w:noWrap/>
            <w:hideMark/>
          </w:tcPr>
          <w:p w14:paraId="721098F2"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01C87527"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3128510F"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60B36E57" w14:textId="77777777" w:rsidR="00EE29D5" w:rsidRPr="006A7F00" w:rsidRDefault="00EE29D5" w:rsidP="00E978AB">
            <w:pPr>
              <w:rPr>
                <w:rFonts w:cstheme="minorHAnsi"/>
                <w:bCs w:val="0"/>
                <w:color w:val="auto"/>
              </w:rPr>
            </w:pPr>
            <w:r w:rsidRPr="006A7F00">
              <w:rPr>
                <w:rFonts w:cstheme="minorHAnsi"/>
                <w:bCs w:val="0"/>
                <w:color w:val="auto"/>
              </w:rPr>
              <w:t>Gannawarra Shire Council</w:t>
            </w:r>
          </w:p>
        </w:tc>
        <w:tc>
          <w:tcPr>
            <w:tcW w:w="2086" w:type="dxa"/>
            <w:noWrap/>
            <w:hideMark/>
          </w:tcPr>
          <w:p w14:paraId="5E9CE01B"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434E6292" w14:textId="7E72C864" w:rsidR="00EE29D5" w:rsidRPr="006A7F00" w:rsidRDefault="00453F83"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1.50</w:t>
            </w:r>
            <w:r w:rsidR="00EE29D5" w:rsidRPr="00EF6BE1">
              <w:rPr>
                <w:rFonts w:cstheme="minorHAnsi"/>
                <w:color w:val="000000"/>
              </w:rPr>
              <w:t>%</w:t>
            </w:r>
          </w:p>
        </w:tc>
      </w:tr>
      <w:tr w:rsidR="00EE29D5" w:rsidRPr="006A7F00" w14:paraId="4F02F963"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72BA7401" w14:textId="77777777" w:rsidR="00EE29D5" w:rsidRPr="006A7F00" w:rsidRDefault="00EE29D5" w:rsidP="00E978AB">
            <w:pPr>
              <w:rPr>
                <w:rFonts w:cstheme="minorHAnsi"/>
                <w:bCs w:val="0"/>
                <w:color w:val="auto"/>
              </w:rPr>
            </w:pPr>
            <w:r w:rsidRPr="006A7F00">
              <w:rPr>
                <w:rFonts w:cstheme="minorHAnsi"/>
                <w:bCs w:val="0"/>
                <w:color w:val="auto"/>
              </w:rPr>
              <w:t>Hepburn Shire Council</w:t>
            </w:r>
          </w:p>
        </w:tc>
        <w:tc>
          <w:tcPr>
            <w:tcW w:w="2086" w:type="dxa"/>
            <w:noWrap/>
            <w:hideMark/>
          </w:tcPr>
          <w:p w14:paraId="7601361B"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2785B1CE"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5E2A936B"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402624BB" w14:textId="77777777" w:rsidR="00EE29D5" w:rsidRPr="006A7F00" w:rsidRDefault="00EE29D5" w:rsidP="00E978AB">
            <w:pPr>
              <w:rPr>
                <w:rFonts w:cstheme="minorHAnsi"/>
                <w:bCs w:val="0"/>
                <w:color w:val="auto"/>
              </w:rPr>
            </w:pPr>
            <w:r w:rsidRPr="006A7F00">
              <w:rPr>
                <w:rFonts w:cstheme="minorHAnsi"/>
                <w:bCs w:val="0"/>
                <w:color w:val="auto"/>
              </w:rPr>
              <w:t>Hindmarsh Shire Council</w:t>
            </w:r>
          </w:p>
        </w:tc>
        <w:tc>
          <w:tcPr>
            <w:tcW w:w="2086" w:type="dxa"/>
            <w:noWrap/>
            <w:hideMark/>
          </w:tcPr>
          <w:p w14:paraId="125BE4A4"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6A5F1EB9"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7C5D1761"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22666583" w14:textId="77777777" w:rsidR="00EE29D5" w:rsidRPr="006A7F00" w:rsidRDefault="00EE29D5" w:rsidP="00E978AB">
            <w:pPr>
              <w:rPr>
                <w:rFonts w:cstheme="minorHAnsi"/>
                <w:bCs w:val="0"/>
                <w:color w:val="auto"/>
              </w:rPr>
            </w:pPr>
            <w:r w:rsidRPr="006A7F00">
              <w:rPr>
                <w:rFonts w:cstheme="minorHAnsi"/>
                <w:bCs w:val="0"/>
                <w:color w:val="auto"/>
              </w:rPr>
              <w:t>Indigo Shire Council</w:t>
            </w:r>
          </w:p>
        </w:tc>
        <w:tc>
          <w:tcPr>
            <w:tcW w:w="2086" w:type="dxa"/>
            <w:noWrap/>
            <w:hideMark/>
          </w:tcPr>
          <w:p w14:paraId="4D510CCF"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3965403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6257D196"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1A56D42F" w14:textId="77777777" w:rsidR="00EE29D5" w:rsidRPr="006A7F00" w:rsidRDefault="00EE29D5" w:rsidP="00E978AB">
            <w:pPr>
              <w:rPr>
                <w:rFonts w:cstheme="minorHAnsi"/>
                <w:bCs w:val="0"/>
                <w:color w:val="auto"/>
              </w:rPr>
            </w:pPr>
            <w:r w:rsidRPr="006A7F00">
              <w:rPr>
                <w:rFonts w:cstheme="minorHAnsi"/>
                <w:bCs w:val="0"/>
                <w:color w:val="auto"/>
              </w:rPr>
              <w:t>Loddon Shire Council</w:t>
            </w:r>
          </w:p>
        </w:tc>
        <w:tc>
          <w:tcPr>
            <w:tcW w:w="2086" w:type="dxa"/>
            <w:noWrap/>
            <w:hideMark/>
          </w:tcPr>
          <w:p w14:paraId="1016D0F0"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565A5410"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7AEFB5AB"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5E105749" w14:textId="77777777" w:rsidR="00EE29D5" w:rsidRPr="006A7F00" w:rsidRDefault="00EE29D5" w:rsidP="00E978AB">
            <w:pPr>
              <w:rPr>
                <w:rFonts w:cstheme="minorHAnsi"/>
                <w:bCs w:val="0"/>
                <w:color w:val="auto"/>
              </w:rPr>
            </w:pPr>
            <w:r w:rsidRPr="006A7F00">
              <w:rPr>
                <w:rFonts w:cstheme="minorHAnsi"/>
                <w:bCs w:val="0"/>
                <w:color w:val="auto"/>
              </w:rPr>
              <w:t>Mansfield Shire Council</w:t>
            </w:r>
          </w:p>
        </w:tc>
        <w:tc>
          <w:tcPr>
            <w:tcW w:w="2086" w:type="dxa"/>
            <w:noWrap/>
            <w:hideMark/>
          </w:tcPr>
          <w:p w14:paraId="33F165A9"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4ED5CB93"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45DFAED9"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59195735" w14:textId="77777777" w:rsidR="00EE29D5" w:rsidRPr="006A7F00" w:rsidRDefault="00EE29D5" w:rsidP="00E978AB">
            <w:pPr>
              <w:rPr>
                <w:rFonts w:cstheme="minorHAnsi"/>
                <w:bCs w:val="0"/>
                <w:color w:val="auto"/>
              </w:rPr>
            </w:pPr>
            <w:r w:rsidRPr="006A7F00">
              <w:rPr>
                <w:rFonts w:cstheme="minorHAnsi"/>
                <w:bCs w:val="0"/>
                <w:color w:val="auto"/>
              </w:rPr>
              <w:t>Murrindindi Shire Council</w:t>
            </w:r>
          </w:p>
        </w:tc>
        <w:tc>
          <w:tcPr>
            <w:tcW w:w="2086" w:type="dxa"/>
            <w:noWrap/>
            <w:hideMark/>
          </w:tcPr>
          <w:p w14:paraId="3C337049"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1C6766CE"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w:t>
            </w:r>
            <w:r w:rsidRPr="00EF6BE1">
              <w:rPr>
                <w:rFonts w:cstheme="minorHAnsi"/>
                <w:color w:val="000000"/>
              </w:rPr>
              <w:t>.00%</w:t>
            </w:r>
          </w:p>
        </w:tc>
      </w:tr>
      <w:tr w:rsidR="00EE29D5" w:rsidRPr="006A7F00" w14:paraId="5D499598"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314395A5" w14:textId="77777777" w:rsidR="00EE29D5" w:rsidRPr="006A7F00" w:rsidRDefault="00EE29D5" w:rsidP="00E978AB">
            <w:pPr>
              <w:rPr>
                <w:rFonts w:cstheme="minorHAnsi"/>
                <w:bCs w:val="0"/>
                <w:color w:val="auto"/>
              </w:rPr>
            </w:pPr>
            <w:r w:rsidRPr="006A7F00">
              <w:rPr>
                <w:rFonts w:cstheme="minorHAnsi"/>
                <w:bCs w:val="0"/>
                <w:color w:val="auto"/>
              </w:rPr>
              <w:t>Northern Grampians Shire Council</w:t>
            </w:r>
          </w:p>
        </w:tc>
        <w:tc>
          <w:tcPr>
            <w:tcW w:w="2086" w:type="dxa"/>
            <w:noWrap/>
            <w:hideMark/>
          </w:tcPr>
          <w:p w14:paraId="08D0BA7B"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4A8EA480" w14:textId="08E73FB9" w:rsidR="00EE29D5" w:rsidRPr="006A7F00" w:rsidRDefault="003D4337"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2</w:t>
            </w:r>
            <w:r w:rsidR="00EE29D5" w:rsidRPr="00EF6BE1">
              <w:rPr>
                <w:rFonts w:cstheme="minorHAnsi"/>
                <w:color w:val="000000"/>
              </w:rPr>
              <w:t>.00%</w:t>
            </w:r>
          </w:p>
        </w:tc>
      </w:tr>
      <w:tr w:rsidR="00EE29D5" w:rsidRPr="006A7F00" w14:paraId="712B1B63"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6AFCD2EA" w14:textId="77777777" w:rsidR="00EE29D5" w:rsidRPr="006A7F00" w:rsidRDefault="00EE29D5" w:rsidP="00E978AB">
            <w:pPr>
              <w:rPr>
                <w:rFonts w:cstheme="minorHAnsi"/>
                <w:bCs w:val="0"/>
                <w:color w:val="auto"/>
              </w:rPr>
            </w:pPr>
            <w:r w:rsidRPr="006A7F00">
              <w:rPr>
                <w:rFonts w:cstheme="minorHAnsi"/>
                <w:bCs w:val="0"/>
                <w:color w:val="auto"/>
              </w:rPr>
              <w:t>Pyrenees Shire Council</w:t>
            </w:r>
          </w:p>
        </w:tc>
        <w:tc>
          <w:tcPr>
            <w:tcW w:w="2086" w:type="dxa"/>
            <w:noWrap/>
            <w:hideMark/>
          </w:tcPr>
          <w:p w14:paraId="00344E07"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71A20F1F"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37BE8910"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1DC6883F" w14:textId="77777777" w:rsidR="00EE29D5" w:rsidRPr="006A7F00" w:rsidRDefault="00EE29D5" w:rsidP="00E978AB">
            <w:pPr>
              <w:rPr>
                <w:rFonts w:cstheme="minorHAnsi"/>
                <w:bCs w:val="0"/>
                <w:color w:val="auto"/>
              </w:rPr>
            </w:pPr>
            <w:r w:rsidRPr="006A7F00">
              <w:rPr>
                <w:rFonts w:cstheme="minorHAnsi"/>
                <w:bCs w:val="0"/>
                <w:color w:val="auto"/>
              </w:rPr>
              <w:t>Borough of Queenscliffe</w:t>
            </w:r>
          </w:p>
        </w:tc>
        <w:tc>
          <w:tcPr>
            <w:tcW w:w="2086" w:type="dxa"/>
            <w:noWrap/>
            <w:hideMark/>
          </w:tcPr>
          <w:p w14:paraId="6465A649"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2AA930B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5E2602C5"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239D0793" w14:textId="77777777" w:rsidR="00EE29D5" w:rsidRPr="006A7F00" w:rsidRDefault="00EE29D5" w:rsidP="00E978AB">
            <w:pPr>
              <w:rPr>
                <w:rFonts w:cstheme="minorHAnsi"/>
                <w:bCs w:val="0"/>
                <w:color w:val="auto"/>
              </w:rPr>
            </w:pPr>
            <w:r w:rsidRPr="006A7F00">
              <w:rPr>
                <w:rFonts w:cstheme="minorHAnsi"/>
                <w:bCs w:val="0"/>
                <w:color w:val="auto"/>
              </w:rPr>
              <w:t>Strathbogie Shire Council</w:t>
            </w:r>
          </w:p>
        </w:tc>
        <w:tc>
          <w:tcPr>
            <w:tcW w:w="2086" w:type="dxa"/>
            <w:noWrap/>
            <w:hideMark/>
          </w:tcPr>
          <w:p w14:paraId="5A38674B"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40DFA0BB" w14:textId="710C2625" w:rsidR="00EE29D5" w:rsidRPr="006A7F00" w:rsidRDefault="00453F83"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0.00</w:t>
            </w:r>
            <w:r w:rsidR="00EE29D5" w:rsidRPr="00EF6BE1">
              <w:rPr>
                <w:rFonts w:cstheme="minorHAnsi"/>
                <w:color w:val="000000"/>
              </w:rPr>
              <w:t>%</w:t>
            </w:r>
          </w:p>
        </w:tc>
      </w:tr>
      <w:tr w:rsidR="00EE29D5" w:rsidRPr="006A7F00" w14:paraId="3C274FFA"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73451B6D" w14:textId="77777777" w:rsidR="00EE29D5" w:rsidRPr="006A7F00" w:rsidRDefault="00EE29D5" w:rsidP="00E978AB">
            <w:pPr>
              <w:rPr>
                <w:rFonts w:cstheme="minorHAnsi"/>
                <w:bCs w:val="0"/>
                <w:color w:val="auto"/>
              </w:rPr>
            </w:pPr>
            <w:r w:rsidRPr="006A7F00">
              <w:rPr>
                <w:rFonts w:cstheme="minorHAnsi"/>
                <w:bCs w:val="0"/>
                <w:color w:val="auto"/>
              </w:rPr>
              <w:t>Towong Shire Council</w:t>
            </w:r>
          </w:p>
        </w:tc>
        <w:tc>
          <w:tcPr>
            <w:tcW w:w="2086" w:type="dxa"/>
            <w:noWrap/>
            <w:hideMark/>
          </w:tcPr>
          <w:p w14:paraId="3D3A18F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78DC72A6"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0</w:t>
            </w:r>
            <w:r w:rsidRPr="00EF6BE1">
              <w:rPr>
                <w:rFonts w:cstheme="minorHAnsi"/>
                <w:color w:val="000000"/>
              </w:rPr>
              <w:t>.00%</w:t>
            </w:r>
          </w:p>
        </w:tc>
      </w:tr>
      <w:tr w:rsidR="00EE29D5" w:rsidRPr="006A7F00" w14:paraId="307FDAC5" w14:textId="77777777" w:rsidTr="00EE29D5">
        <w:trPr>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4B340575" w14:textId="77777777" w:rsidR="00EE29D5" w:rsidRPr="006A7F00" w:rsidRDefault="00EE29D5" w:rsidP="00E978AB">
            <w:pPr>
              <w:rPr>
                <w:rFonts w:cstheme="minorHAnsi"/>
                <w:bCs w:val="0"/>
                <w:color w:val="auto"/>
              </w:rPr>
            </w:pPr>
            <w:r w:rsidRPr="006A7F00">
              <w:rPr>
                <w:rFonts w:cstheme="minorHAnsi"/>
                <w:bCs w:val="0"/>
                <w:color w:val="auto"/>
              </w:rPr>
              <w:t>West Wimmera Shire Council</w:t>
            </w:r>
          </w:p>
        </w:tc>
        <w:tc>
          <w:tcPr>
            <w:tcW w:w="2086" w:type="dxa"/>
            <w:noWrap/>
            <w:hideMark/>
          </w:tcPr>
          <w:p w14:paraId="25C238F7"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27101EF1" w14:textId="77777777" w:rsidR="00EE29D5" w:rsidRPr="006A7F00" w:rsidRDefault="00EE29D5" w:rsidP="00E978AB">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F6BE1">
              <w:rPr>
                <w:rFonts w:cstheme="minorHAnsi"/>
                <w:color w:val="000000"/>
              </w:rPr>
              <w:t>2.00%</w:t>
            </w:r>
          </w:p>
        </w:tc>
      </w:tr>
      <w:tr w:rsidR="00EE29D5" w:rsidRPr="006A7F00" w14:paraId="014DD76E" w14:textId="77777777" w:rsidTr="00EE29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16" w:type="dxa"/>
            <w:noWrap/>
            <w:hideMark/>
          </w:tcPr>
          <w:p w14:paraId="33F87B87" w14:textId="77777777" w:rsidR="00EE29D5" w:rsidRPr="006A7F00" w:rsidRDefault="00EE29D5" w:rsidP="00E978AB">
            <w:pPr>
              <w:rPr>
                <w:rFonts w:cstheme="minorHAnsi"/>
                <w:bCs w:val="0"/>
                <w:color w:val="auto"/>
              </w:rPr>
            </w:pPr>
            <w:r w:rsidRPr="006A7F00">
              <w:rPr>
                <w:rFonts w:cstheme="minorHAnsi"/>
                <w:bCs w:val="0"/>
                <w:color w:val="auto"/>
              </w:rPr>
              <w:t>Yarriambiack Shire Council</w:t>
            </w:r>
          </w:p>
        </w:tc>
        <w:tc>
          <w:tcPr>
            <w:tcW w:w="2086" w:type="dxa"/>
            <w:noWrap/>
            <w:hideMark/>
          </w:tcPr>
          <w:p w14:paraId="5EA7BA37"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6A7F00">
              <w:rPr>
                <w:rFonts w:cstheme="minorHAnsi"/>
                <w:color w:val="000000"/>
              </w:rPr>
              <w:t>Small Shire</w:t>
            </w:r>
          </w:p>
        </w:tc>
        <w:tc>
          <w:tcPr>
            <w:tcW w:w="3324" w:type="dxa"/>
          </w:tcPr>
          <w:p w14:paraId="639FB774" w14:textId="77777777" w:rsidR="00EE29D5" w:rsidRPr="006A7F00" w:rsidRDefault="00EE29D5" w:rsidP="00E978AB">
            <w:pPr>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1</w:t>
            </w:r>
            <w:r w:rsidRPr="00EF6BE1">
              <w:rPr>
                <w:rFonts w:cstheme="minorHAnsi"/>
                <w:color w:val="000000"/>
              </w:rPr>
              <w:t>.</w:t>
            </w:r>
            <w:r>
              <w:rPr>
                <w:rFonts w:cstheme="minorHAnsi"/>
                <w:color w:val="000000"/>
              </w:rPr>
              <w:t>95</w:t>
            </w:r>
            <w:r w:rsidRPr="00EF6BE1">
              <w:rPr>
                <w:rFonts w:cstheme="minorHAnsi"/>
                <w:color w:val="000000"/>
              </w:rPr>
              <w:t>%</w:t>
            </w:r>
          </w:p>
        </w:tc>
      </w:tr>
    </w:tbl>
    <w:p w14:paraId="4A5C2933" w14:textId="77777777" w:rsidR="00EE29D5" w:rsidRPr="00305F89" w:rsidRDefault="00EE29D5" w:rsidP="00EE29D5">
      <w:pPr>
        <w:rPr>
          <w:szCs w:val="18"/>
        </w:rPr>
      </w:pPr>
    </w:p>
    <w:p w14:paraId="65A0D990" w14:textId="77777777" w:rsidR="0065551D" w:rsidRDefault="0065551D">
      <w:pPr>
        <w:spacing w:before="0" w:line="276" w:lineRule="auto"/>
      </w:pPr>
      <w:r>
        <w:br w:type="page"/>
      </w:r>
    </w:p>
    <w:p w14:paraId="4DD6E8DB" w14:textId="35306BE2" w:rsidR="0065551D" w:rsidRPr="00DA42D1" w:rsidRDefault="0065551D" w:rsidP="0065551D">
      <w:pPr>
        <w:pStyle w:val="Heading2"/>
      </w:pPr>
      <w:bookmarkStart w:id="56" w:name="_Toc75534503"/>
      <w:r>
        <w:lastRenderedPageBreak/>
        <w:t xml:space="preserve">Appendix </w:t>
      </w:r>
      <w:r w:rsidR="00E430BA">
        <w:t>B</w:t>
      </w:r>
      <w:r>
        <w:t xml:space="preserve">: </w:t>
      </w:r>
      <w:r w:rsidR="00E430BA" w:rsidRPr="00E430BA">
        <w:t xml:space="preserve">Snapshot of 2020-21 </w:t>
      </w:r>
      <w:r w:rsidR="00EA1BDF">
        <w:t>adopted</w:t>
      </w:r>
      <w:r w:rsidR="00E430BA" w:rsidRPr="00E430BA">
        <w:t xml:space="preserve"> budgets for all 79 councils in Victoria</w:t>
      </w:r>
      <w:bookmarkEnd w:id="56"/>
    </w:p>
    <w:p w14:paraId="21B8A8F0" w14:textId="1E4C4A10" w:rsidR="001E55D1" w:rsidRPr="00836333" w:rsidRDefault="001E55D1" w:rsidP="001E55D1">
      <w:pPr>
        <w:pStyle w:val="BodyText"/>
        <w:spacing w:line="240" w:lineRule="auto"/>
        <w:rPr>
          <w:sz w:val="16"/>
          <w:szCs w:val="16"/>
        </w:rPr>
      </w:pPr>
    </w:p>
    <w:tbl>
      <w:tblPr>
        <w:tblW w:w="9498" w:type="dxa"/>
        <w:tblLook w:val="04A0" w:firstRow="1" w:lastRow="0" w:firstColumn="1" w:lastColumn="0" w:noHBand="0" w:noVBand="1"/>
      </w:tblPr>
      <w:tblGrid>
        <w:gridCol w:w="3420"/>
        <w:gridCol w:w="124"/>
        <w:gridCol w:w="1701"/>
        <w:gridCol w:w="1701"/>
        <w:gridCol w:w="1701"/>
        <w:gridCol w:w="851"/>
      </w:tblGrid>
      <w:tr w:rsidR="00D22564" w:rsidRPr="00D22564" w14:paraId="6519138A" w14:textId="77777777" w:rsidTr="00797FE6">
        <w:trPr>
          <w:trHeight w:val="831"/>
        </w:trPr>
        <w:tc>
          <w:tcPr>
            <w:tcW w:w="3420" w:type="dxa"/>
            <w:tcBorders>
              <w:top w:val="nil"/>
              <w:left w:val="nil"/>
              <w:bottom w:val="single" w:sz="4" w:space="0" w:color="auto"/>
              <w:right w:val="nil"/>
            </w:tcBorders>
            <w:vAlign w:val="center"/>
            <w:hideMark/>
          </w:tcPr>
          <w:p w14:paraId="07FAA491" w14:textId="77777777" w:rsidR="00D22564" w:rsidRPr="00D22564" w:rsidRDefault="00D22564" w:rsidP="00D22564">
            <w:pPr>
              <w:spacing w:before="0" w:after="0"/>
              <w:rPr>
                <w:rFonts w:ascii="Times New Roman" w:hAnsi="Times New Roman"/>
                <w:color w:val="auto"/>
                <w:sz w:val="20"/>
                <w:szCs w:val="24"/>
                <w:lang w:eastAsia="en-AU"/>
              </w:rPr>
            </w:pPr>
          </w:p>
        </w:tc>
        <w:tc>
          <w:tcPr>
            <w:tcW w:w="1825" w:type="dxa"/>
            <w:gridSpan w:val="2"/>
            <w:tcBorders>
              <w:top w:val="nil"/>
              <w:left w:val="nil"/>
              <w:bottom w:val="single" w:sz="4" w:space="0" w:color="auto"/>
              <w:right w:val="nil"/>
            </w:tcBorders>
            <w:shd w:val="clear" w:color="auto" w:fill="auto"/>
            <w:noWrap/>
            <w:hideMark/>
          </w:tcPr>
          <w:p w14:paraId="0D0836ED" w14:textId="77777777" w:rsidR="00D22564" w:rsidRPr="00D22564" w:rsidRDefault="00D22564" w:rsidP="00797FE6">
            <w:pPr>
              <w:spacing w:after="0"/>
              <w:jc w:val="center"/>
              <w:rPr>
                <w:rFonts w:cs="Arial"/>
                <w:b/>
                <w:bCs/>
                <w:color w:val="auto"/>
                <w:szCs w:val="18"/>
                <w:lang w:eastAsia="en-AU"/>
              </w:rPr>
            </w:pPr>
            <w:r w:rsidRPr="00D22564">
              <w:rPr>
                <w:rFonts w:cs="Arial"/>
                <w:b/>
                <w:bCs/>
                <w:color w:val="auto"/>
                <w:szCs w:val="18"/>
                <w:lang w:eastAsia="en-AU"/>
              </w:rPr>
              <w:t>ADOPTED BUDGETS FY2019-20</w:t>
            </w:r>
          </w:p>
          <w:p w14:paraId="3588102A" w14:textId="430CBB24" w:rsidR="00D22564" w:rsidRPr="00D22564" w:rsidRDefault="00D22564" w:rsidP="00797FE6">
            <w:pPr>
              <w:spacing w:after="0"/>
              <w:jc w:val="center"/>
              <w:rPr>
                <w:rFonts w:cs="Arial"/>
                <w:b/>
                <w:bCs/>
                <w:color w:val="auto"/>
                <w:szCs w:val="18"/>
                <w:lang w:eastAsia="en-AU"/>
              </w:rPr>
            </w:pPr>
          </w:p>
        </w:tc>
        <w:tc>
          <w:tcPr>
            <w:tcW w:w="1701" w:type="dxa"/>
            <w:tcBorders>
              <w:top w:val="nil"/>
              <w:left w:val="nil"/>
              <w:bottom w:val="single" w:sz="4" w:space="0" w:color="auto"/>
              <w:right w:val="nil"/>
            </w:tcBorders>
            <w:shd w:val="clear" w:color="000000" w:fill="DFF1D9"/>
            <w:noWrap/>
            <w:hideMark/>
          </w:tcPr>
          <w:p w14:paraId="39FBC463" w14:textId="77777777" w:rsidR="00D22564" w:rsidRPr="00D22564" w:rsidRDefault="00D22564" w:rsidP="00797FE6">
            <w:pPr>
              <w:spacing w:after="0"/>
              <w:jc w:val="center"/>
              <w:rPr>
                <w:rFonts w:cs="Arial"/>
                <w:b/>
                <w:bCs/>
                <w:color w:val="000000"/>
                <w:szCs w:val="18"/>
                <w:lang w:eastAsia="en-AU"/>
              </w:rPr>
            </w:pPr>
            <w:r w:rsidRPr="00D22564">
              <w:rPr>
                <w:rFonts w:cs="Arial"/>
                <w:b/>
                <w:bCs/>
                <w:color w:val="000000"/>
                <w:szCs w:val="18"/>
                <w:lang w:eastAsia="en-AU"/>
              </w:rPr>
              <w:t>ADOPTED BUDGETS FY2020-21</w:t>
            </w:r>
          </w:p>
          <w:p w14:paraId="3FE0EBA8" w14:textId="5A741FFB" w:rsidR="00D22564" w:rsidRPr="00D22564" w:rsidRDefault="00D22564" w:rsidP="00797FE6">
            <w:pPr>
              <w:spacing w:after="0"/>
              <w:jc w:val="center"/>
              <w:rPr>
                <w:rFonts w:cs="Arial"/>
                <w:b/>
                <w:bCs/>
                <w:color w:val="000000"/>
                <w:szCs w:val="18"/>
                <w:lang w:eastAsia="en-AU"/>
              </w:rPr>
            </w:pPr>
          </w:p>
        </w:tc>
        <w:tc>
          <w:tcPr>
            <w:tcW w:w="1701" w:type="dxa"/>
            <w:tcBorders>
              <w:top w:val="nil"/>
              <w:left w:val="nil"/>
              <w:bottom w:val="single" w:sz="4" w:space="0" w:color="auto"/>
              <w:right w:val="nil"/>
            </w:tcBorders>
            <w:shd w:val="clear" w:color="auto" w:fill="auto"/>
            <w:noWrap/>
            <w:hideMark/>
          </w:tcPr>
          <w:p w14:paraId="12230E1B" w14:textId="77777777" w:rsidR="00D22564" w:rsidRPr="00D22564" w:rsidRDefault="00D22564" w:rsidP="00797FE6">
            <w:pPr>
              <w:spacing w:after="0"/>
              <w:jc w:val="center"/>
              <w:rPr>
                <w:rFonts w:cs="Arial"/>
                <w:b/>
                <w:bCs/>
                <w:color w:val="auto"/>
                <w:szCs w:val="18"/>
                <w:lang w:eastAsia="en-AU"/>
              </w:rPr>
            </w:pPr>
            <w:r w:rsidRPr="00D22564">
              <w:rPr>
                <w:rFonts w:cs="Arial"/>
                <w:b/>
                <w:bCs/>
                <w:color w:val="auto"/>
                <w:szCs w:val="18"/>
                <w:lang w:eastAsia="en-AU"/>
              </w:rPr>
              <w:t>DIFFERENCE</w:t>
            </w:r>
          </w:p>
          <w:p w14:paraId="32BD620D" w14:textId="33FBBA19" w:rsidR="00D22564" w:rsidRPr="00D22564" w:rsidRDefault="00D22564" w:rsidP="00797FE6">
            <w:pPr>
              <w:spacing w:after="0"/>
              <w:jc w:val="center"/>
              <w:rPr>
                <w:rFonts w:cs="Arial"/>
                <w:b/>
                <w:bCs/>
                <w:color w:val="auto"/>
                <w:szCs w:val="18"/>
                <w:lang w:eastAsia="en-AU"/>
              </w:rPr>
            </w:pPr>
          </w:p>
        </w:tc>
        <w:tc>
          <w:tcPr>
            <w:tcW w:w="851" w:type="dxa"/>
            <w:tcBorders>
              <w:top w:val="nil"/>
              <w:left w:val="nil"/>
              <w:bottom w:val="single" w:sz="4" w:space="0" w:color="auto"/>
              <w:right w:val="nil"/>
            </w:tcBorders>
            <w:shd w:val="clear" w:color="auto" w:fill="auto"/>
            <w:noWrap/>
            <w:hideMark/>
          </w:tcPr>
          <w:p w14:paraId="256C88C4" w14:textId="77777777" w:rsidR="00D22564" w:rsidRPr="00D22564" w:rsidRDefault="00D22564" w:rsidP="00797FE6">
            <w:pPr>
              <w:spacing w:after="0"/>
              <w:jc w:val="center"/>
              <w:rPr>
                <w:rFonts w:cs="Arial"/>
                <w:b/>
                <w:bCs/>
                <w:color w:val="auto"/>
                <w:szCs w:val="18"/>
                <w:lang w:eastAsia="en-AU"/>
              </w:rPr>
            </w:pPr>
            <w:r w:rsidRPr="00D22564">
              <w:rPr>
                <w:rFonts w:cs="Arial"/>
                <w:b/>
                <w:bCs/>
                <w:color w:val="auto"/>
                <w:szCs w:val="18"/>
                <w:lang w:eastAsia="en-AU"/>
              </w:rPr>
              <w:t>%</w:t>
            </w:r>
          </w:p>
          <w:p w14:paraId="26675448" w14:textId="5B1F29B9" w:rsidR="00D22564" w:rsidRPr="00D22564" w:rsidRDefault="00D22564" w:rsidP="00797FE6">
            <w:pPr>
              <w:spacing w:after="0"/>
              <w:jc w:val="center"/>
              <w:rPr>
                <w:rFonts w:cs="Arial"/>
                <w:b/>
                <w:bCs/>
                <w:color w:val="auto"/>
                <w:szCs w:val="18"/>
                <w:lang w:eastAsia="en-AU"/>
              </w:rPr>
            </w:pPr>
          </w:p>
        </w:tc>
      </w:tr>
      <w:tr w:rsidR="00D22564" w:rsidRPr="00D22564" w14:paraId="0ACBC831" w14:textId="77777777" w:rsidTr="00797FE6">
        <w:trPr>
          <w:trHeight w:val="250"/>
        </w:trPr>
        <w:tc>
          <w:tcPr>
            <w:tcW w:w="3544" w:type="dxa"/>
            <w:gridSpan w:val="2"/>
            <w:tcBorders>
              <w:top w:val="single" w:sz="4" w:space="0" w:color="auto"/>
              <w:left w:val="nil"/>
              <w:bottom w:val="nil"/>
              <w:right w:val="single" w:sz="8" w:space="0" w:color="7F7F7F"/>
            </w:tcBorders>
            <w:shd w:val="clear" w:color="000000" w:fill="F2F2F2"/>
            <w:noWrap/>
            <w:vAlign w:val="center"/>
            <w:hideMark/>
          </w:tcPr>
          <w:p w14:paraId="7191BABF" w14:textId="77777777" w:rsidR="00D22564" w:rsidRPr="00D22564" w:rsidRDefault="00D22564" w:rsidP="00797FE6">
            <w:pPr>
              <w:spacing w:after="0" w:line="360" w:lineRule="auto"/>
              <w:rPr>
                <w:rFonts w:cs="Arial"/>
                <w:color w:val="000000"/>
                <w:szCs w:val="18"/>
                <w:lang w:eastAsia="en-AU"/>
              </w:rPr>
            </w:pPr>
            <w:r w:rsidRPr="00D22564">
              <w:rPr>
                <w:rFonts w:cs="Arial"/>
                <w:color w:val="000000"/>
                <w:szCs w:val="18"/>
                <w:lang w:eastAsia="en-AU"/>
              </w:rPr>
              <w:t>Rates and charges</w:t>
            </w:r>
          </w:p>
        </w:tc>
        <w:tc>
          <w:tcPr>
            <w:tcW w:w="1701" w:type="dxa"/>
            <w:tcBorders>
              <w:top w:val="single" w:sz="4" w:space="0" w:color="auto"/>
              <w:left w:val="nil"/>
              <w:bottom w:val="nil"/>
              <w:right w:val="nil"/>
            </w:tcBorders>
            <w:shd w:val="clear" w:color="000000" w:fill="F2F2F2"/>
            <w:noWrap/>
            <w:vAlign w:val="center"/>
            <w:hideMark/>
          </w:tcPr>
          <w:p w14:paraId="7EB6333C"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$6,257,473,000</w:t>
            </w:r>
          </w:p>
        </w:tc>
        <w:tc>
          <w:tcPr>
            <w:tcW w:w="1701" w:type="dxa"/>
            <w:tcBorders>
              <w:top w:val="single" w:sz="4" w:space="0" w:color="auto"/>
              <w:left w:val="nil"/>
              <w:bottom w:val="nil"/>
              <w:right w:val="nil"/>
            </w:tcBorders>
            <w:shd w:val="clear" w:color="000000" w:fill="E2EFDA"/>
            <w:noWrap/>
            <w:vAlign w:val="center"/>
            <w:hideMark/>
          </w:tcPr>
          <w:p w14:paraId="2ED87CC2"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$6,449,915,000</w:t>
            </w:r>
          </w:p>
        </w:tc>
        <w:tc>
          <w:tcPr>
            <w:tcW w:w="1701" w:type="dxa"/>
            <w:tcBorders>
              <w:top w:val="single" w:sz="4" w:space="0" w:color="auto"/>
              <w:left w:val="nil"/>
              <w:bottom w:val="nil"/>
              <w:right w:val="nil"/>
            </w:tcBorders>
            <w:shd w:val="clear" w:color="000000" w:fill="F2F2F2"/>
            <w:noWrap/>
            <w:vAlign w:val="center"/>
            <w:hideMark/>
          </w:tcPr>
          <w:p w14:paraId="4236F0F9"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$192,442,000</w:t>
            </w:r>
          </w:p>
        </w:tc>
        <w:tc>
          <w:tcPr>
            <w:tcW w:w="851" w:type="dxa"/>
            <w:tcBorders>
              <w:top w:val="single" w:sz="4" w:space="0" w:color="auto"/>
              <w:left w:val="nil"/>
              <w:bottom w:val="nil"/>
              <w:right w:val="nil"/>
            </w:tcBorders>
            <w:shd w:val="clear" w:color="000000" w:fill="F2F2F2"/>
            <w:noWrap/>
            <w:vAlign w:val="center"/>
            <w:hideMark/>
          </w:tcPr>
          <w:p w14:paraId="50C759C5"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3%</w:t>
            </w:r>
          </w:p>
        </w:tc>
      </w:tr>
      <w:tr w:rsidR="00D22564" w:rsidRPr="00D22564" w14:paraId="43BA4F2E"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46CBA950" w14:textId="77777777" w:rsidR="00D22564" w:rsidRPr="00D22564" w:rsidRDefault="00D22564" w:rsidP="00797FE6">
            <w:pPr>
              <w:spacing w:after="0" w:line="360" w:lineRule="auto"/>
              <w:rPr>
                <w:rFonts w:cs="Arial"/>
                <w:color w:val="auto"/>
                <w:szCs w:val="18"/>
                <w:lang w:eastAsia="en-AU"/>
              </w:rPr>
            </w:pPr>
            <w:r w:rsidRPr="00D22564">
              <w:rPr>
                <w:rFonts w:cs="Arial"/>
                <w:color w:val="auto"/>
                <w:szCs w:val="18"/>
                <w:lang w:eastAsia="en-AU"/>
              </w:rPr>
              <w:t>Statutory fees and fines</w:t>
            </w:r>
          </w:p>
        </w:tc>
        <w:tc>
          <w:tcPr>
            <w:tcW w:w="1701" w:type="dxa"/>
            <w:tcBorders>
              <w:top w:val="nil"/>
              <w:left w:val="nil"/>
              <w:bottom w:val="nil"/>
              <w:right w:val="nil"/>
            </w:tcBorders>
            <w:shd w:val="clear" w:color="auto" w:fill="auto"/>
            <w:noWrap/>
            <w:vAlign w:val="center"/>
            <w:hideMark/>
          </w:tcPr>
          <w:p w14:paraId="0E2B2DAB"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$451,073,000</w:t>
            </w:r>
          </w:p>
        </w:tc>
        <w:tc>
          <w:tcPr>
            <w:tcW w:w="1701" w:type="dxa"/>
            <w:tcBorders>
              <w:top w:val="nil"/>
              <w:left w:val="nil"/>
              <w:bottom w:val="nil"/>
              <w:right w:val="nil"/>
            </w:tcBorders>
            <w:shd w:val="clear" w:color="000000" w:fill="E2EFDA"/>
            <w:noWrap/>
            <w:vAlign w:val="center"/>
            <w:hideMark/>
          </w:tcPr>
          <w:p w14:paraId="2983B72A"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$386,772,000</w:t>
            </w:r>
          </w:p>
        </w:tc>
        <w:tc>
          <w:tcPr>
            <w:tcW w:w="1701" w:type="dxa"/>
            <w:tcBorders>
              <w:top w:val="nil"/>
              <w:left w:val="nil"/>
              <w:bottom w:val="nil"/>
              <w:right w:val="nil"/>
            </w:tcBorders>
            <w:shd w:val="clear" w:color="auto" w:fill="auto"/>
            <w:noWrap/>
            <w:vAlign w:val="center"/>
            <w:hideMark/>
          </w:tcPr>
          <w:p w14:paraId="3D168905" w14:textId="77777777" w:rsidR="00D22564" w:rsidRPr="00D22564" w:rsidRDefault="00D22564" w:rsidP="00797FE6">
            <w:pPr>
              <w:spacing w:after="0" w:line="360" w:lineRule="auto"/>
              <w:jc w:val="right"/>
              <w:rPr>
                <w:rFonts w:cs="Arial"/>
                <w:color w:val="FF0000"/>
                <w:szCs w:val="18"/>
                <w:lang w:eastAsia="en-AU"/>
              </w:rPr>
            </w:pPr>
            <w:r w:rsidRPr="00D22564">
              <w:rPr>
                <w:rFonts w:cs="Arial"/>
                <w:color w:val="FF0000"/>
                <w:szCs w:val="18"/>
                <w:lang w:eastAsia="en-AU"/>
              </w:rPr>
              <w:t>-$64,301,000</w:t>
            </w:r>
          </w:p>
        </w:tc>
        <w:tc>
          <w:tcPr>
            <w:tcW w:w="851" w:type="dxa"/>
            <w:tcBorders>
              <w:top w:val="nil"/>
              <w:left w:val="nil"/>
              <w:bottom w:val="nil"/>
              <w:right w:val="nil"/>
            </w:tcBorders>
            <w:shd w:val="clear" w:color="auto" w:fill="auto"/>
            <w:noWrap/>
            <w:vAlign w:val="center"/>
            <w:hideMark/>
          </w:tcPr>
          <w:p w14:paraId="24935897"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-14%</w:t>
            </w:r>
          </w:p>
        </w:tc>
      </w:tr>
      <w:tr w:rsidR="00D22564" w:rsidRPr="00D22564" w14:paraId="5047126A"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5D7C65A3" w14:textId="77777777" w:rsidR="00D22564" w:rsidRPr="00D22564" w:rsidRDefault="00D22564" w:rsidP="00797FE6">
            <w:pPr>
              <w:spacing w:after="0" w:line="360" w:lineRule="auto"/>
              <w:rPr>
                <w:rFonts w:cs="Arial"/>
                <w:color w:val="000000"/>
                <w:szCs w:val="18"/>
                <w:lang w:eastAsia="en-AU"/>
              </w:rPr>
            </w:pPr>
            <w:r w:rsidRPr="00D22564">
              <w:rPr>
                <w:rFonts w:cs="Arial"/>
                <w:color w:val="000000"/>
                <w:szCs w:val="18"/>
                <w:lang w:eastAsia="en-AU"/>
              </w:rPr>
              <w:t>User fees</w:t>
            </w:r>
          </w:p>
        </w:tc>
        <w:tc>
          <w:tcPr>
            <w:tcW w:w="1701" w:type="dxa"/>
            <w:tcBorders>
              <w:top w:val="nil"/>
              <w:left w:val="nil"/>
              <w:bottom w:val="nil"/>
              <w:right w:val="nil"/>
            </w:tcBorders>
            <w:shd w:val="clear" w:color="000000" w:fill="F2F2F2"/>
            <w:noWrap/>
            <w:vAlign w:val="center"/>
            <w:hideMark/>
          </w:tcPr>
          <w:p w14:paraId="0853F476"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$1,003,959,000</w:t>
            </w:r>
          </w:p>
        </w:tc>
        <w:tc>
          <w:tcPr>
            <w:tcW w:w="1701" w:type="dxa"/>
            <w:tcBorders>
              <w:top w:val="nil"/>
              <w:left w:val="nil"/>
              <w:bottom w:val="nil"/>
              <w:right w:val="nil"/>
            </w:tcBorders>
            <w:shd w:val="clear" w:color="000000" w:fill="E2EFDA"/>
            <w:noWrap/>
            <w:vAlign w:val="center"/>
            <w:hideMark/>
          </w:tcPr>
          <w:p w14:paraId="17D608F8"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$829,356,000</w:t>
            </w:r>
          </w:p>
        </w:tc>
        <w:tc>
          <w:tcPr>
            <w:tcW w:w="1701" w:type="dxa"/>
            <w:tcBorders>
              <w:top w:val="nil"/>
              <w:left w:val="nil"/>
              <w:bottom w:val="nil"/>
              <w:right w:val="nil"/>
            </w:tcBorders>
            <w:shd w:val="clear" w:color="000000" w:fill="F2F2F2"/>
            <w:noWrap/>
            <w:vAlign w:val="center"/>
            <w:hideMark/>
          </w:tcPr>
          <w:p w14:paraId="0922CB1E" w14:textId="77777777" w:rsidR="00D22564" w:rsidRPr="00D22564" w:rsidRDefault="00D22564" w:rsidP="00797FE6">
            <w:pPr>
              <w:spacing w:after="0" w:line="360" w:lineRule="auto"/>
              <w:jc w:val="right"/>
              <w:rPr>
                <w:rFonts w:cs="Arial"/>
                <w:color w:val="FF0000"/>
                <w:szCs w:val="18"/>
                <w:lang w:eastAsia="en-AU"/>
              </w:rPr>
            </w:pPr>
            <w:r w:rsidRPr="00D22564">
              <w:rPr>
                <w:rFonts w:cs="Arial"/>
                <w:color w:val="FF0000"/>
                <w:szCs w:val="18"/>
                <w:lang w:eastAsia="en-AU"/>
              </w:rPr>
              <w:t>-$174,603,000</w:t>
            </w:r>
          </w:p>
        </w:tc>
        <w:tc>
          <w:tcPr>
            <w:tcW w:w="851" w:type="dxa"/>
            <w:tcBorders>
              <w:top w:val="nil"/>
              <w:left w:val="nil"/>
              <w:bottom w:val="nil"/>
              <w:right w:val="nil"/>
            </w:tcBorders>
            <w:shd w:val="clear" w:color="000000" w:fill="F2F2F2"/>
            <w:noWrap/>
            <w:vAlign w:val="center"/>
            <w:hideMark/>
          </w:tcPr>
          <w:p w14:paraId="16D6FA25"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-17%</w:t>
            </w:r>
          </w:p>
        </w:tc>
      </w:tr>
      <w:tr w:rsidR="00D22564" w:rsidRPr="00D22564" w14:paraId="6C38A248"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519A5675" w14:textId="77777777" w:rsidR="00D22564" w:rsidRPr="00D22564" w:rsidRDefault="00D22564" w:rsidP="00797FE6">
            <w:pPr>
              <w:spacing w:after="0" w:line="360" w:lineRule="auto"/>
              <w:rPr>
                <w:rFonts w:cs="Arial"/>
                <w:color w:val="auto"/>
                <w:szCs w:val="18"/>
                <w:lang w:eastAsia="en-AU"/>
              </w:rPr>
            </w:pPr>
            <w:r w:rsidRPr="00D22564">
              <w:rPr>
                <w:rFonts w:cs="Arial"/>
                <w:color w:val="auto"/>
                <w:szCs w:val="18"/>
                <w:lang w:eastAsia="en-AU"/>
              </w:rPr>
              <w:t>Developer contributions</w:t>
            </w:r>
          </w:p>
        </w:tc>
        <w:tc>
          <w:tcPr>
            <w:tcW w:w="1701" w:type="dxa"/>
            <w:tcBorders>
              <w:top w:val="nil"/>
              <w:left w:val="nil"/>
              <w:bottom w:val="nil"/>
              <w:right w:val="nil"/>
            </w:tcBorders>
            <w:shd w:val="clear" w:color="auto" w:fill="auto"/>
            <w:noWrap/>
            <w:vAlign w:val="center"/>
            <w:hideMark/>
          </w:tcPr>
          <w:p w14:paraId="28F39A33"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$1,096,043,000</w:t>
            </w:r>
          </w:p>
        </w:tc>
        <w:tc>
          <w:tcPr>
            <w:tcW w:w="1701" w:type="dxa"/>
            <w:tcBorders>
              <w:top w:val="nil"/>
              <w:left w:val="nil"/>
              <w:bottom w:val="nil"/>
              <w:right w:val="nil"/>
            </w:tcBorders>
            <w:shd w:val="clear" w:color="000000" w:fill="E2EFDA"/>
            <w:noWrap/>
            <w:vAlign w:val="center"/>
            <w:hideMark/>
          </w:tcPr>
          <w:p w14:paraId="246F6C3F"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$1,273,127,000</w:t>
            </w:r>
          </w:p>
        </w:tc>
        <w:tc>
          <w:tcPr>
            <w:tcW w:w="1701" w:type="dxa"/>
            <w:tcBorders>
              <w:top w:val="nil"/>
              <w:left w:val="nil"/>
              <w:bottom w:val="nil"/>
              <w:right w:val="nil"/>
            </w:tcBorders>
            <w:shd w:val="clear" w:color="auto" w:fill="auto"/>
            <w:noWrap/>
            <w:vAlign w:val="center"/>
            <w:hideMark/>
          </w:tcPr>
          <w:p w14:paraId="61987EEE"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$177,084,000</w:t>
            </w:r>
          </w:p>
        </w:tc>
        <w:tc>
          <w:tcPr>
            <w:tcW w:w="851" w:type="dxa"/>
            <w:tcBorders>
              <w:top w:val="nil"/>
              <w:left w:val="nil"/>
              <w:bottom w:val="nil"/>
              <w:right w:val="nil"/>
            </w:tcBorders>
            <w:shd w:val="clear" w:color="auto" w:fill="auto"/>
            <w:noWrap/>
            <w:vAlign w:val="center"/>
            <w:hideMark/>
          </w:tcPr>
          <w:p w14:paraId="324A6CB1"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16%</w:t>
            </w:r>
          </w:p>
        </w:tc>
      </w:tr>
      <w:tr w:rsidR="00D22564" w:rsidRPr="00D22564" w14:paraId="7791146C"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53B69825" w14:textId="77777777" w:rsidR="00D22564" w:rsidRPr="00D22564" w:rsidRDefault="00D22564" w:rsidP="00797FE6">
            <w:pPr>
              <w:spacing w:after="0" w:line="360" w:lineRule="auto"/>
              <w:rPr>
                <w:rFonts w:cs="Arial"/>
                <w:color w:val="000000"/>
                <w:szCs w:val="18"/>
                <w:lang w:eastAsia="en-AU"/>
              </w:rPr>
            </w:pPr>
            <w:r w:rsidRPr="00D22564">
              <w:rPr>
                <w:rFonts w:cs="Arial"/>
                <w:color w:val="000000"/>
                <w:szCs w:val="18"/>
                <w:lang w:eastAsia="en-AU"/>
              </w:rPr>
              <w:t>Grants</w:t>
            </w:r>
          </w:p>
        </w:tc>
        <w:tc>
          <w:tcPr>
            <w:tcW w:w="1701" w:type="dxa"/>
            <w:tcBorders>
              <w:top w:val="nil"/>
              <w:left w:val="nil"/>
              <w:bottom w:val="nil"/>
              <w:right w:val="nil"/>
            </w:tcBorders>
            <w:shd w:val="clear" w:color="000000" w:fill="F2F2F2"/>
            <w:noWrap/>
            <w:vAlign w:val="center"/>
            <w:hideMark/>
          </w:tcPr>
          <w:p w14:paraId="1EF7A42D"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$1,667,801,000</w:t>
            </w:r>
          </w:p>
        </w:tc>
        <w:tc>
          <w:tcPr>
            <w:tcW w:w="1701" w:type="dxa"/>
            <w:tcBorders>
              <w:top w:val="nil"/>
              <w:left w:val="nil"/>
              <w:bottom w:val="nil"/>
              <w:right w:val="nil"/>
            </w:tcBorders>
            <w:shd w:val="clear" w:color="000000" w:fill="E2EFDA"/>
            <w:noWrap/>
            <w:vAlign w:val="center"/>
            <w:hideMark/>
          </w:tcPr>
          <w:p w14:paraId="1D6218EF"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$1,816,438,000</w:t>
            </w:r>
          </w:p>
        </w:tc>
        <w:tc>
          <w:tcPr>
            <w:tcW w:w="1701" w:type="dxa"/>
            <w:tcBorders>
              <w:top w:val="nil"/>
              <w:left w:val="nil"/>
              <w:bottom w:val="nil"/>
              <w:right w:val="nil"/>
            </w:tcBorders>
            <w:shd w:val="clear" w:color="000000" w:fill="F2F2F2"/>
            <w:noWrap/>
            <w:vAlign w:val="center"/>
            <w:hideMark/>
          </w:tcPr>
          <w:p w14:paraId="57634058"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$148,637,000</w:t>
            </w:r>
          </w:p>
        </w:tc>
        <w:tc>
          <w:tcPr>
            <w:tcW w:w="851" w:type="dxa"/>
            <w:tcBorders>
              <w:top w:val="nil"/>
              <w:left w:val="nil"/>
              <w:bottom w:val="nil"/>
              <w:right w:val="nil"/>
            </w:tcBorders>
            <w:shd w:val="clear" w:color="000000" w:fill="F2F2F2"/>
            <w:noWrap/>
            <w:vAlign w:val="center"/>
            <w:hideMark/>
          </w:tcPr>
          <w:p w14:paraId="15A860AA"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9%</w:t>
            </w:r>
          </w:p>
        </w:tc>
      </w:tr>
      <w:tr w:rsidR="00D22564" w:rsidRPr="00D22564" w14:paraId="18F6B08B"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13C97C0E" w14:textId="77777777" w:rsidR="00D22564" w:rsidRPr="00D22564" w:rsidRDefault="00D22564" w:rsidP="00797FE6">
            <w:pPr>
              <w:spacing w:after="0" w:line="360" w:lineRule="auto"/>
              <w:rPr>
                <w:rFonts w:cs="Arial"/>
                <w:color w:val="auto"/>
                <w:szCs w:val="18"/>
                <w:lang w:eastAsia="en-AU"/>
              </w:rPr>
            </w:pPr>
            <w:r w:rsidRPr="00D22564">
              <w:rPr>
                <w:rFonts w:cs="Arial"/>
                <w:color w:val="auto"/>
                <w:szCs w:val="18"/>
                <w:lang w:eastAsia="en-AU"/>
              </w:rPr>
              <w:t>Other income</w:t>
            </w:r>
          </w:p>
        </w:tc>
        <w:tc>
          <w:tcPr>
            <w:tcW w:w="1701" w:type="dxa"/>
            <w:tcBorders>
              <w:top w:val="nil"/>
              <w:left w:val="nil"/>
              <w:bottom w:val="nil"/>
              <w:right w:val="nil"/>
            </w:tcBorders>
            <w:shd w:val="clear" w:color="auto" w:fill="auto"/>
            <w:noWrap/>
            <w:vAlign w:val="center"/>
            <w:hideMark/>
          </w:tcPr>
          <w:p w14:paraId="33A8F2A3"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$241,534,000</w:t>
            </w:r>
          </w:p>
        </w:tc>
        <w:tc>
          <w:tcPr>
            <w:tcW w:w="1701" w:type="dxa"/>
            <w:tcBorders>
              <w:top w:val="nil"/>
              <w:left w:val="nil"/>
              <w:bottom w:val="nil"/>
              <w:right w:val="nil"/>
            </w:tcBorders>
            <w:shd w:val="clear" w:color="000000" w:fill="E2EFDA"/>
            <w:noWrap/>
            <w:vAlign w:val="center"/>
            <w:hideMark/>
          </w:tcPr>
          <w:p w14:paraId="737130FA"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$200,187,000</w:t>
            </w:r>
          </w:p>
        </w:tc>
        <w:tc>
          <w:tcPr>
            <w:tcW w:w="1701" w:type="dxa"/>
            <w:tcBorders>
              <w:top w:val="nil"/>
              <w:left w:val="nil"/>
              <w:bottom w:val="nil"/>
              <w:right w:val="nil"/>
            </w:tcBorders>
            <w:shd w:val="clear" w:color="auto" w:fill="auto"/>
            <w:noWrap/>
            <w:vAlign w:val="center"/>
            <w:hideMark/>
          </w:tcPr>
          <w:p w14:paraId="5870D7E3" w14:textId="77777777" w:rsidR="00D22564" w:rsidRPr="00D22564" w:rsidRDefault="00D22564" w:rsidP="00797FE6">
            <w:pPr>
              <w:spacing w:after="0" w:line="360" w:lineRule="auto"/>
              <w:jc w:val="right"/>
              <w:rPr>
                <w:rFonts w:cs="Arial"/>
                <w:color w:val="FF0000"/>
                <w:szCs w:val="18"/>
                <w:lang w:eastAsia="en-AU"/>
              </w:rPr>
            </w:pPr>
            <w:r w:rsidRPr="00D22564">
              <w:rPr>
                <w:rFonts w:cs="Arial"/>
                <w:color w:val="FF0000"/>
                <w:szCs w:val="18"/>
                <w:lang w:eastAsia="en-AU"/>
              </w:rPr>
              <w:t>-$41,347,000</w:t>
            </w:r>
          </w:p>
        </w:tc>
        <w:tc>
          <w:tcPr>
            <w:tcW w:w="851" w:type="dxa"/>
            <w:tcBorders>
              <w:top w:val="nil"/>
              <w:left w:val="nil"/>
              <w:bottom w:val="nil"/>
              <w:right w:val="nil"/>
            </w:tcBorders>
            <w:shd w:val="clear" w:color="auto" w:fill="auto"/>
            <w:noWrap/>
            <w:vAlign w:val="center"/>
            <w:hideMark/>
          </w:tcPr>
          <w:p w14:paraId="7C16FD0C"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-17%</w:t>
            </w:r>
          </w:p>
        </w:tc>
      </w:tr>
      <w:tr w:rsidR="00D22564" w:rsidRPr="00D22564" w14:paraId="5B17E2DA"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4ADF8FA6" w14:textId="77777777" w:rsidR="00D22564" w:rsidRPr="00D22564" w:rsidRDefault="00D22564" w:rsidP="00797FE6">
            <w:pPr>
              <w:spacing w:after="0" w:line="360" w:lineRule="auto"/>
              <w:rPr>
                <w:rFonts w:cs="Arial"/>
                <w:b/>
                <w:bCs/>
                <w:color w:val="000000"/>
                <w:szCs w:val="18"/>
                <w:lang w:eastAsia="en-AU"/>
              </w:rPr>
            </w:pPr>
            <w:r w:rsidRPr="00D22564">
              <w:rPr>
                <w:rFonts w:cs="Arial"/>
                <w:b/>
                <w:bCs/>
                <w:color w:val="000000"/>
                <w:szCs w:val="18"/>
                <w:lang w:eastAsia="en-AU"/>
              </w:rPr>
              <w:t>Total income</w:t>
            </w:r>
          </w:p>
        </w:tc>
        <w:tc>
          <w:tcPr>
            <w:tcW w:w="1701" w:type="dxa"/>
            <w:tcBorders>
              <w:top w:val="nil"/>
              <w:left w:val="nil"/>
              <w:bottom w:val="nil"/>
              <w:right w:val="nil"/>
            </w:tcBorders>
            <w:shd w:val="clear" w:color="000000" w:fill="F2F2F2"/>
            <w:noWrap/>
            <w:vAlign w:val="center"/>
            <w:hideMark/>
          </w:tcPr>
          <w:p w14:paraId="7D96B442"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$10,717,883,000</w:t>
            </w:r>
          </w:p>
        </w:tc>
        <w:tc>
          <w:tcPr>
            <w:tcW w:w="1701" w:type="dxa"/>
            <w:tcBorders>
              <w:top w:val="nil"/>
              <w:left w:val="nil"/>
              <w:bottom w:val="nil"/>
              <w:right w:val="nil"/>
            </w:tcBorders>
            <w:shd w:val="clear" w:color="000000" w:fill="E2EFDA"/>
            <w:noWrap/>
            <w:vAlign w:val="center"/>
            <w:hideMark/>
          </w:tcPr>
          <w:p w14:paraId="198E49D4"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$10,955,795,000</w:t>
            </w:r>
          </w:p>
        </w:tc>
        <w:tc>
          <w:tcPr>
            <w:tcW w:w="1701" w:type="dxa"/>
            <w:tcBorders>
              <w:top w:val="nil"/>
              <w:left w:val="nil"/>
              <w:bottom w:val="nil"/>
              <w:right w:val="nil"/>
            </w:tcBorders>
            <w:shd w:val="clear" w:color="000000" w:fill="F2F2F2"/>
            <w:noWrap/>
            <w:vAlign w:val="center"/>
            <w:hideMark/>
          </w:tcPr>
          <w:p w14:paraId="02B31B9E"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$237,912,000</w:t>
            </w:r>
          </w:p>
        </w:tc>
        <w:tc>
          <w:tcPr>
            <w:tcW w:w="851" w:type="dxa"/>
            <w:tcBorders>
              <w:top w:val="nil"/>
              <w:left w:val="nil"/>
              <w:bottom w:val="nil"/>
              <w:right w:val="nil"/>
            </w:tcBorders>
            <w:shd w:val="clear" w:color="000000" w:fill="F2F2F2"/>
            <w:noWrap/>
            <w:vAlign w:val="center"/>
            <w:hideMark/>
          </w:tcPr>
          <w:p w14:paraId="2C372875"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2%</w:t>
            </w:r>
          </w:p>
        </w:tc>
      </w:tr>
      <w:tr w:rsidR="00D22564" w:rsidRPr="00D22564" w14:paraId="2141B3FF"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3E66A794" w14:textId="77777777" w:rsidR="00D22564" w:rsidRPr="00D22564" w:rsidRDefault="00D22564" w:rsidP="00797FE6">
            <w:pPr>
              <w:spacing w:after="0" w:line="360" w:lineRule="auto"/>
              <w:rPr>
                <w:rFonts w:cs="Arial"/>
                <w:color w:val="auto"/>
                <w:szCs w:val="18"/>
                <w:lang w:eastAsia="en-AU"/>
              </w:rPr>
            </w:pPr>
            <w:r w:rsidRPr="00D22564">
              <w:rPr>
                <w:rFonts w:cs="Arial"/>
                <w:color w:val="auto"/>
                <w:szCs w:val="18"/>
                <w:lang w:eastAsia="en-AU"/>
              </w:rPr>
              <w:t>Employee costs</w:t>
            </w:r>
          </w:p>
        </w:tc>
        <w:tc>
          <w:tcPr>
            <w:tcW w:w="1701" w:type="dxa"/>
            <w:tcBorders>
              <w:top w:val="nil"/>
              <w:left w:val="nil"/>
              <w:bottom w:val="nil"/>
              <w:right w:val="nil"/>
            </w:tcBorders>
            <w:shd w:val="clear" w:color="auto" w:fill="auto"/>
            <w:noWrap/>
            <w:vAlign w:val="center"/>
            <w:hideMark/>
          </w:tcPr>
          <w:p w14:paraId="03379F34"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$3,778,836,000</w:t>
            </w:r>
          </w:p>
        </w:tc>
        <w:tc>
          <w:tcPr>
            <w:tcW w:w="1701" w:type="dxa"/>
            <w:tcBorders>
              <w:top w:val="nil"/>
              <w:left w:val="nil"/>
              <w:bottom w:val="nil"/>
              <w:right w:val="nil"/>
            </w:tcBorders>
            <w:shd w:val="clear" w:color="000000" w:fill="E2EFDA"/>
            <w:noWrap/>
            <w:vAlign w:val="center"/>
            <w:hideMark/>
          </w:tcPr>
          <w:p w14:paraId="07E3377B"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$3,930,277,000</w:t>
            </w:r>
          </w:p>
        </w:tc>
        <w:tc>
          <w:tcPr>
            <w:tcW w:w="1701" w:type="dxa"/>
            <w:tcBorders>
              <w:top w:val="nil"/>
              <w:left w:val="nil"/>
              <w:bottom w:val="nil"/>
              <w:right w:val="nil"/>
            </w:tcBorders>
            <w:shd w:val="clear" w:color="auto" w:fill="auto"/>
            <w:noWrap/>
            <w:vAlign w:val="center"/>
            <w:hideMark/>
          </w:tcPr>
          <w:p w14:paraId="32D415E5"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$151,441,000</w:t>
            </w:r>
          </w:p>
        </w:tc>
        <w:tc>
          <w:tcPr>
            <w:tcW w:w="851" w:type="dxa"/>
            <w:tcBorders>
              <w:top w:val="nil"/>
              <w:left w:val="nil"/>
              <w:bottom w:val="nil"/>
              <w:right w:val="nil"/>
            </w:tcBorders>
            <w:shd w:val="clear" w:color="auto" w:fill="auto"/>
            <w:noWrap/>
            <w:vAlign w:val="center"/>
            <w:hideMark/>
          </w:tcPr>
          <w:p w14:paraId="0D58C31C"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4%</w:t>
            </w:r>
          </w:p>
        </w:tc>
      </w:tr>
      <w:tr w:rsidR="00D22564" w:rsidRPr="00D22564" w14:paraId="588CCAB8"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70A2FCE9" w14:textId="77777777" w:rsidR="00D22564" w:rsidRPr="00D22564" w:rsidRDefault="00D22564" w:rsidP="00797FE6">
            <w:pPr>
              <w:spacing w:after="0" w:line="360" w:lineRule="auto"/>
              <w:rPr>
                <w:rFonts w:cs="Arial"/>
                <w:color w:val="000000"/>
                <w:szCs w:val="18"/>
                <w:lang w:eastAsia="en-AU"/>
              </w:rPr>
            </w:pPr>
            <w:r w:rsidRPr="00D22564">
              <w:rPr>
                <w:rFonts w:cs="Arial"/>
                <w:color w:val="000000"/>
                <w:szCs w:val="18"/>
                <w:lang w:eastAsia="en-AU"/>
              </w:rPr>
              <w:t>Materials and services</w:t>
            </w:r>
          </w:p>
        </w:tc>
        <w:tc>
          <w:tcPr>
            <w:tcW w:w="1701" w:type="dxa"/>
            <w:tcBorders>
              <w:top w:val="nil"/>
              <w:left w:val="nil"/>
              <w:bottom w:val="nil"/>
              <w:right w:val="nil"/>
            </w:tcBorders>
            <w:shd w:val="clear" w:color="000000" w:fill="F2F2F2"/>
            <w:noWrap/>
            <w:vAlign w:val="center"/>
            <w:hideMark/>
          </w:tcPr>
          <w:p w14:paraId="37CD72D7"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$3,288,732,000</w:t>
            </w:r>
          </w:p>
        </w:tc>
        <w:tc>
          <w:tcPr>
            <w:tcW w:w="1701" w:type="dxa"/>
            <w:tcBorders>
              <w:top w:val="nil"/>
              <w:left w:val="nil"/>
              <w:bottom w:val="nil"/>
              <w:right w:val="nil"/>
            </w:tcBorders>
            <w:shd w:val="clear" w:color="000000" w:fill="E2EFDA"/>
            <w:noWrap/>
            <w:vAlign w:val="center"/>
            <w:hideMark/>
          </w:tcPr>
          <w:p w14:paraId="5FBB6B75"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$3,529,017,000</w:t>
            </w:r>
          </w:p>
        </w:tc>
        <w:tc>
          <w:tcPr>
            <w:tcW w:w="1701" w:type="dxa"/>
            <w:tcBorders>
              <w:top w:val="nil"/>
              <w:left w:val="nil"/>
              <w:bottom w:val="nil"/>
              <w:right w:val="nil"/>
            </w:tcBorders>
            <w:shd w:val="clear" w:color="000000" w:fill="F2F2F2"/>
            <w:noWrap/>
            <w:vAlign w:val="center"/>
            <w:hideMark/>
          </w:tcPr>
          <w:p w14:paraId="3416610A"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$240,285,000</w:t>
            </w:r>
          </w:p>
        </w:tc>
        <w:tc>
          <w:tcPr>
            <w:tcW w:w="851" w:type="dxa"/>
            <w:tcBorders>
              <w:top w:val="nil"/>
              <w:left w:val="nil"/>
              <w:bottom w:val="nil"/>
              <w:right w:val="nil"/>
            </w:tcBorders>
            <w:shd w:val="clear" w:color="000000" w:fill="F2F2F2"/>
            <w:noWrap/>
            <w:vAlign w:val="center"/>
            <w:hideMark/>
          </w:tcPr>
          <w:p w14:paraId="599587EF"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7%</w:t>
            </w:r>
          </w:p>
        </w:tc>
      </w:tr>
      <w:tr w:rsidR="00D22564" w:rsidRPr="00D22564" w14:paraId="1843D141"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2C49C817" w14:textId="77777777" w:rsidR="00D22564" w:rsidRPr="00D22564" w:rsidRDefault="00D22564" w:rsidP="00797FE6">
            <w:pPr>
              <w:spacing w:after="0" w:line="360" w:lineRule="auto"/>
              <w:rPr>
                <w:rFonts w:cs="Arial"/>
                <w:color w:val="auto"/>
                <w:szCs w:val="18"/>
                <w:lang w:eastAsia="en-AU"/>
              </w:rPr>
            </w:pPr>
            <w:r w:rsidRPr="00D22564">
              <w:rPr>
                <w:rFonts w:cs="Arial"/>
                <w:color w:val="auto"/>
                <w:szCs w:val="18"/>
                <w:lang w:eastAsia="en-AU"/>
              </w:rPr>
              <w:t>Depreciation and amortisation</w:t>
            </w:r>
          </w:p>
        </w:tc>
        <w:tc>
          <w:tcPr>
            <w:tcW w:w="1701" w:type="dxa"/>
            <w:tcBorders>
              <w:top w:val="nil"/>
              <w:left w:val="nil"/>
              <w:bottom w:val="nil"/>
              <w:right w:val="nil"/>
            </w:tcBorders>
            <w:shd w:val="clear" w:color="auto" w:fill="auto"/>
            <w:noWrap/>
            <w:vAlign w:val="center"/>
            <w:hideMark/>
          </w:tcPr>
          <w:p w14:paraId="258DECA1"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$1,599,154,000</w:t>
            </w:r>
          </w:p>
        </w:tc>
        <w:tc>
          <w:tcPr>
            <w:tcW w:w="1701" w:type="dxa"/>
            <w:tcBorders>
              <w:top w:val="nil"/>
              <w:left w:val="nil"/>
              <w:bottom w:val="nil"/>
              <w:right w:val="nil"/>
            </w:tcBorders>
            <w:shd w:val="clear" w:color="000000" w:fill="E2EFDA"/>
            <w:noWrap/>
            <w:vAlign w:val="center"/>
            <w:hideMark/>
          </w:tcPr>
          <w:p w14:paraId="50BBA0E6"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$1,728,090,000</w:t>
            </w:r>
          </w:p>
        </w:tc>
        <w:tc>
          <w:tcPr>
            <w:tcW w:w="1701" w:type="dxa"/>
            <w:tcBorders>
              <w:top w:val="nil"/>
              <w:left w:val="nil"/>
              <w:bottom w:val="nil"/>
              <w:right w:val="nil"/>
            </w:tcBorders>
            <w:shd w:val="clear" w:color="auto" w:fill="auto"/>
            <w:noWrap/>
            <w:vAlign w:val="center"/>
            <w:hideMark/>
          </w:tcPr>
          <w:p w14:paraId="49186B2D"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$128,936,000</w:t>
            </w:r>
          </w:p>
        </w:tc>
        <w:tc>
          <w:tcPr>
            <w:tcW w:w="851" w:type="dxa"/>
            <w:tcBorders>
              <w:top w:val="nil"/>
              <w:left w:val="nil"/>
              <w:bottom w:val="nil"/>
              <w:right w:val="nil"/>
            </w:tcBorders>
            <w:shd w:val="clear" w:color="auto" w:fill="auto"/>
            <w:noWrap/>
            <w:vAlign w:val="center"/>
            <w:hideMark/>
          </w:tcPr>
          <w:p w14:paraId="48D46C19" w14:textId="77777777" w:rsidR="00D22564" w:rsidRPr="00D22564" w:rsidRDefault="00D22564" w:rsidP="00797FE6">
            <w:pPr>
              <w:spacing w:after="0" w:line="360" w:lineRule="auto"/>
              <w:jc w:val="right"/>
              <w:rPr>
                <w:rFonts w:cs="Arial"/>
                <w:color w:val="auto"/>
                <w:szCs w:val="18"/>
                <w:lang w:eastAsia="en-AU"/>
              </w:rPr>
            </w:pPr>
            <w:r w:rsidRPr="00D22564">
              <w:rPr>
                <w:rFonts w:cs="Arial"/>
                <w:color w:val="auto"/>
                <w:szCs w:val="18"/>
                <w:lang w:eastAsia="en-AU"/>
              </w:rPr>
              <w:t>8%</w:t>
            </w:r>
          </w:p>
        </w:tc>
      </w:tr>
      <w:tr w:rsidR="00D22564" w:rsidRPr="00D22564" w14:paraId="4715CBB9"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7CBF59BD" w14:textId="77777777" w:rsidR="00D22564" w:rsidRPr="00D22564" w:rsidRDefault="00D22564" w:rsidP="00797FE6">
            <w:pPr>
              <w:spacing w:after="0" w:line="360" w:lineRule="auto"/>
              <w:rPr>
                <w:rFonts w:cs="Arial"/>
                <w:color w:val="000000"/>
                <w:szCs w:val="18"/>
                <w:lang w:eastAsia="en-AU"/>
              </w:rPr>
            </w:pPr>
            <w:r w:rsidRPr="00D22564">
              <w:rPr>
                <w:rFonts w:cs="Arial"/>
                <w:color w:val="000000"/>
                <w:szCs w:val="18"/>
                <w:lang w:eastAsia="en-AU"/>
              </w:rPr>
              <w:t>Other expenses</w:t>
            </w:r>
          </w:p>
        </w:tc>
        <w:tc>
          <w:tcPr>
            <w:tcW w:w="1701" w:type="dxa"/>
            <w:tcBorders>
              <w:top w:val="nil"/>
              <w:left w:val="nil"/>
              <w:bottom w:val="nil"/>
              <w:right w:val="nil"/>
            </w:tcBorders>
            <w:shd w:val="clear" w:color="000000" w:fill="F2F2F2"/>
            <w:noWrap/>
            <w:vAlign w:val="center"/>
            <w:hideMark/>
          </w:tcPr>
          <w:p w14:paraId="53E2B187"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$340,026,000</w:t>
            </w:r>
          </w:p>
        </w:tc>
        <w:tc>
          <w:tcPr>
            <w:tcW w:w="1701" w:type="dxa"/>
            <w:tcBorders>
              <w:top w:val="nil"/>
              <w:left w:val="nil"/>
              <w:bottom w:val="nil"/>
              <w:right w:val="nil"/>
            </w:tcBorders>
            <w:shd w:val="clear" w:color="000000" w:fill="E2EFDA"/>
            <w:noWrap/>
            <w:vAlign w:val="center"/>
            <w:hideMark/>
          </w:tcPr>
          <w:p w14:paraId="3AC16A46"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$388,987,000</w:t>
            </w:r>
          </w:p>
        </w:tc>
        <w:tc>
          <w:tcPr>
            <w:tcW w:w="1701" w:type="dxa"/>
            <w:tcBorders>
              <w:top w:val="nil"/>
              <w:left w:val="nil"/>
              <w:bottom w:val="nil"/>
              <w:right w:val="nil"/>
            </w:tcBorders>
            <w:shd w:val="clear" w:color="000000" w:fill="F2F2F2"/>
            <w:noWrap/>
            <w:vAlign w:val="center"/>
            <w:hideMark/>
          </w:tcPr>
          <w:p w14:paraId="2916DE4A"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$48,961,000</w:t>
            </w:r>
          </w:p>
        </w:tc>
        <w:tc>
          <w:tcPr>
            <w:tcW w:w="851" w:type="dxa"/>
            <w:tcBorders>
              <w:top w:val="nil"/>
              <w:left w:val="nil"/>
              <w:bottom w:val="nil"/>
              <w:right w:val="nil"/>
            </w:tcBorders>
            <w:shd w:val="clear" w:color="000000" w:fill="F2F2F2"/>
            <w:noWrap/>
            <w:vAlign w:val="center"/>
            <w:hideMark/>
          </w:tcPr>
          <w:p w14:paraId="6D5A9512" w14:textId="77777777" w:rsidR="00D22564" w:rsidRPr="00D22564" w:rsidRDefault="00D22564" w:rsidP="00797FE6">
            <w:pPr>
              <w:spacing w:after="0" w:line="360" w:lineRule="auto"/>
              <w:jc w:val="right"/>
              <w:rPr>
                <w:rFonts w:cs="Arial"/>
                <w:color w:val="000000"/>
                <w:szCs w:val="18"/>
                <w:lang w:eastAsia="en-AU"/>
              </w:rPr>
            </w:pPr>
            <w:r w:rsidRPr="00D22564">
              <w:rPr>
                <w:rFonts w:cs="Arial"/>
                <w:color w:val="000000"/>
                <w:szCs w:val="18"/>
                <w:lang w:eastAsia="en-AU"/>
              </w:rPr>
              <w:t>14%</w:t>
            </w:r>
          </w:p>
        </w:tc>
      </w:tr>
      <w:tr w:rsidR="00D22564" w:rsidRPr="00D22564" w14:paraId="5108C546"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2A355F89" w14:textId="77777777" w:rsidR="00D22564" w:rsidRPr="00D22564" w:rsidRDefault="00D22564" w:rsidP="00797FE6">
            <w:pPr>
              <w:spacing w:after="0" w:line="360" w:lineRule="auto"/>
              <w:rPr>
                <w:rFonts w:cs="Arial"/>
                <w:b/>
                <w:bCs/>
                <w:color w:val="auto"/>
                <w:szCs w:val="18"/>
                <w:lang w:eastAsia="en-AU"/>
              </w:rPr>
            </w:pPr>
            <w:r w:rsidRPr="00D22564">
              <w:rPr>
                <w:rFonts w:cs="Arial"/>
                <w:b/>
                <w:bCs/>
                <w:color w:val="auto"/>
                <w:szCs w:val="18"/>
                <w:lang w:eastAsia="en-AU"/>
              </w:rPr>
              <w:t>Total expenses</w:t>
            </w:r>
          </w:p>
        </w:tc>
        <w:tc>
          <w:tcPr>
            <w:tcW w:w="1701" w:type="dxa"/>
            <w:tcBorders>
              <w:top w:val="nil"/>
              <w:left w:val="nil"/>
              <w:bottom w:val="nil"/>
              <w:right w:val="nil"/>
            </w:tcBorders>
            <w:shd w:val="clear" w:color="auto" w:fill="auto"/>
            <w:noWrap/>
            <w:vAlign w:val="center"/>
            <w:hideMark/>
          </w:tcPr>
          <w:p w14:paraId="5C9ED0C0"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$9,006,748,000</w:t>
            </w:r>
          </w:p>
        </w:tc>
        <w:tc>
          <w:tcPr>
            <w:tcW w:w="1701" w:type="dxa"/>
            <w:tcBorders>
              <w:top w:val="nil"/>
              <w:left w:val="nil"/>
              <w:bottom w:val="nil"/>
              <w:right w:val="nil"/>
            </w:tcBorders>
            <w:shd w:val="clear" w:color="000000" w:fill="E2EFDA"/>
            <w:noWrap/>
            <w:vAlign w:val="center"/>
            <w:hideMark/>
          </w:tcPr>
          <w:p w14:paraId="53BB489D"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$9,576,371,000</w:t>
            </w:r>
          </w:p>
        </w:tc>
        <w:tc>
          <w:tcPr>
            <w:tcW w:w="1701" w:type="dxa"/>
            <w:tcBorders>
              <w:top w:val="nil"/>
              <w:left w:val="nil"/>
              <w:bottom w:val="nil"/>
              <w:right w:val="nil"/>
            </w:tcBorders>
            <w:shd w:val="clear" w:color="auto" w:fill="auto"/>
            <w:noWrap/>
            <w:vAlign w:val="center"/>
            <w:hideMark/>
          </w:tcPr>
          <w:p w14:paraId="52DD9A55"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$569,623,000</w:t>
            </w:r>
          </w:p>
        </w:tc>
        <w:tc>
          <w:tcPr>
            <w:tcW w:w="851" w:type="dxa"/>
            <w:tcBorders>
              <w:top w:val="nil"/>
              <w:left w:val="nil"/>
              <w:bottom w:val="nil"/>
              <w:right w:val="nil"/>
            </w:tcBorders>
            <w:shd w:val="clear" w:color="auto" w:fill="auto"/>
            <w:noWrap/>
            <w:vAlign w:val="center"/>
            <w:hideMark/>
          </w:tcPr>
          <w:p w14:paraId="1A768CEB"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6%</w:t>
            </w:r>
          </w:p>
        </w:tc>
      </w:tr>
      <w:tr w:rsidR="00D22564" w:rsidRPr="00D22564" w14:paraId="478E6A15"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5884E738" w14:textId="77777777" w:rsidR="00D22564" w:rsidRPr="00D22564" w:rsidRDefault="00D22564" w:rsidP="00797FE6">
            <w:pPr>
              <w:spacing w:after="0" w:line="360" w:lineRule="auto"/>
              <w:rPr>
                <w:rFonts w:cs="Arial"/>
                <w:b/>
                <w:bCs/>
                <w:color w:val="000000"/>
                <w:szCs w:val="18"/>
                <w:lang w:eastAsia="en-AU"/>
              </w:rPr>
            </w:pPr>
            <w:r w:rsidRPr="00D22564">
              <w:rPr>
                <w:rFonts w:cs="Arial"/>
                <w:b/>
                <w:bCs/>
                <w:color w:val="000000"/>
                <w:szCs w:val="18"/>
                <w:lang w:eastAsia="en-AU"/>
              </w:rPr>
              <w:t>Accounting surplus/(deficit)</w:t>
            </w:r>
          </w:p>
        </w:tc>
        <w:tc>
          <w:tcPr>
            <w:tcW w:w="1701" w:type="dxa"/>
            <w:tcBorders>
              <w:top w:val="nil"/>
              <w:left w:val="nil"/>
              <w:bottom w:val="nil"/>
              <w:right w:val="nil"/>
            </w:tcBorders>
            <w:shd w:val="clear" w:color="000000" w:fill="F2F2F2"/>
            <w:noWrap/>
            <w:vAlign w:val="center"/>
            <w:hideMark/>
          </w:tcPr>
          <w:p w14:paraId="7DA7328C"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$1,711,135,000</w:t>
            </w:r>
          </w:p>
        </w:tc>
        <w:tc>
          <w:tcPr>
            <w:tcW w:w="1701" w:type="dxa"/>
            <w:tcBorders>
              <w:top w:val="nil"/>
              <w:left w:val="nil"/>
              <w:bottom w:val="nil"/>
              <w:right w:val="nil"/>
            </w:tcBorders>
            <w:shd w:val="clear" w:color="000000" w:fill="E2EFDA"/>
            <w:noWrap/>
            <w:vAlign w:val="center"/>
            <w:hideMark/>
          </w:tcPr>
          <w:p w14:paraId="124B1195"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$1,379,424,000</w:t>
            </w:r>
          </w:p>
        </w:tc>
        <w:tc>
          <w:tcPr>
            <w:tcW w:w="1701" w:type="dxa"/>
            <w:tcBorders>
              <w:top w:val="nil"/>
              <w:left w:val="nil"/>
              <w:bottom w:val="nil"/>
              <w:right w:val="nil"/>
            </w:tcBorders>
            <w:shd w:val="clear" w:color="000000" w:fill="F2F2F2"/>
            <w:noWrap/>
            <w:vAlign w:val="center"/>
            <w:hideMark/>
          </w:tcPr>
          <w:p w14:paraId="64EE4A2F" w14:textId="77777777" w:rsidR="00D22564" w:rsidRPr="00D22564" w:rsidRDefault="00D22564" w:rsidP="00797FE6">
            <w:pPr>
              <w:spacing w:after="0" w:line="360" w:lineRule="auto"/>
              <w:jc w:val="right"/>
              <w:rPr>
                <w:rFonts w:cs="Arial"/>
                <w:b/>
                <w:bCs/>
                <w:color w:val="FF0000"/>
                <w:szCs w:val="18"/>
                <w:lang w:eastAsia="en-AU"/>
              </w:rPr>
            </w:pPr>
            <w:r w:rsidRPr="00D22564">
              <w:rPr>
                <w:rFonts w:cs="Arial"/>
                <w:b/>
                <w:bCs/>
                <w:color w:val="FF0000"/>
                <w:szCs w:val="18"/>
                <w:lang w:eastAsia="en-AU"/>
              </w:rPr>
              <w:t>-$331,711,000</w:t>
            </w:r>
          </w:p>
        </w:tc>
        <w:tc>
          <w:tcPr>
            <w:tcW w:w="851" w:type="dxa"/>
            <w:tcBorders>
              <w:top w:val="nil"/>
              <w:left w:val="nil"/>
              <w:bottom w:val="nil"/>
              <w:right w:val="nil"/>
            </w:tcBorders>
            <w:shd w:val="clear" w:color="000000" w:fill="F2F2F2"/>
            <w:noWrap/>
            <w:vAlign w:val="center"/>
            <w:hideMark/>
          </w:tcPr>
          <w:p w14:paraId="24A0CABD"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-19%</w:t>
            </w:r>
          </w:p>
        </w:tc>
      </w:tr>
      <w:tr w:rsidR="00D22564" w:rsidRPr="00D22564" w14:paraId="5BA227AE"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3D889506" w14:textId="77777777" w:rsidR="00D22564" w:rsidRPr="00D22564" w:rsidRDefault="00D22564" w:rsidP="00797FE6">
            <w:pPr>
              <w:spacing w:after="0" w:line="360" w:lineRule="auto"/>
              <w:rPr>
                <w:rFonts w:cs="Arial"/>
                <w:b/>
                <w:bCs/>
                <w:color w:val="auto"/>
                <w:szCs w:val="18"/>
                <w:lang w:eastAsia="en-AU"/>
              </w:rPr>
            </w:pPr>
            <w:r w:rsidRPr="00D22564">
              <w:rPr>
                <w:rFonts w:cs="Arial"/>
                <w:b/>
                <w:bCs/>
                <w:color w:val="auto"/>
                <w:szCs w:val="18"/>
                <w:lang w:eastAsia="en-AU"/>
              </w:rPr>
              <w:t>Adjusted underlying surplus / (deficit)</w:t>
            </w:r>
          </w:p>
        </w:tc>
        <w:tc>
          <w:tcPr>
            <w:tcW w:w="1701" w:type="dxa"/>
            <w:tcBorders>
              <w:top w:val="nil"/>
              <w:left w:val="nil"/>
              <w:bottom w:val="nil"/>
              <w:right w:val="nil"/>
            </w:tcBorders>
            <w:shd w:val="clear" w:color="auto" w:fill="auto"/>
            <w:noWrap/>
            <w:vAlign w:val="center"/>
            <w:hideMark/>
          </w:tcPr>
          <w:p w14:paraId="3BC9E883"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$204,480,000</w:t>
            </w:r>
          </w:p>
        </w:tc>
        <w:tc>
          <w:tcPr>
            <w:tcW w:w="1701" w:type="dxa"/>
            <w:tcBorders>
              <w:top w:val="nil"/>
              <w:left w:val="nil"/>
              <w:bottom w:val="nil"/>
              <w:right w:val="nil"/>
            </w:tcBorders>
            <w:shd w:val="clear" w:color="000000" w:fill="E2EFDA"/>
            <w:noWrap/>
            <w:vAlign w:val="center"/>
            <w:hideMark/>
          </w:tcPr>
          <w:p w14:paraId="4BE9C18E"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FF0000"/>
                <w:szCs w:val="18"/>
                <w:lang w:eastAsia="en-AU"/>
              </w:rPr>
              <w:t>-$365,222,000</w:t>
            </w:r>
          </w:p>
        </w:tc>
        <w:tc>
          <w:tcPr>
            <w:tcW w:w="1701" w:type="dxa"/>
            <w:tcBorders>
              <w:top w:val="nil"/>
              <w:left w:val="nil"/>
              <w:bottom w:val="nil"/>
              <w:right w:val="nil"/>
            </w:tcBorders>
            <w:shd w:val="clear" w:color="auto" w:fill="auto"/>
            <w:noWrap/>
            <w:vAlign w:val="center"/>
            <w:hideMark/>
          </w:tcPr>
          <w:p w14:paraId="61B347DD" w14:textId="77777777" w:rsidR="00D22564" w:rsidRPr="00D22564" w:rsidRDefault="00D22564" w:rsidP="00797FE6">
            <w:pPr>
              <w:spacing w:after="0" w:line="360" w:lineRule="auto"/>
              <w:jc w:val="right"/>
              <w:rPr>
                <w:rFonts w:cs="Arial"/>
                <w:b/>
                <w:bCs/>
                <w:color w:val="FF0000"/>
                <w:szCs w:val="18"/>
                <w:lang w:eastAsia="en-AU"/>
              </w:rPr>
            </w:pPr>
            <w:r w:rsidRPr="00D22564">
              <w:rPr>
                <w:rFonts w:cs="Arial"/>
                <w:b/>
                <w:bCs/>
                <w:color w:val="FF0000"/>
                <w:szCs w:val="18"/>
                <w:lang w:eastAsia="en-AU"/>
              </w:rPr>
              <w:t>-$569,702,000</w:t>
            </w:r>
          </w:p>
        </w:tc>
        <w:tc>
          <w:tcPr>
            <w:tcW w:w="851" w:type="dxa"/>
            <w:tcBorders>
              <w:top w:val="nil"/>
              <w:left w:val="nil"/>
              <w:bottom w:val="nil"/>
              <w:right w:val="nil"/>
            </w:tcBorders>
            <w:shd w:val="clear" w:color="auto" w:fill="auto"/>
            <w:noWrap/>
            <w:vAlign w:val="center"/>
            <w:hideMark/>
          </w:tcPr>
          <w:p w14:paraId="35D8DCFA"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-279%</w:t>
            </w:r>
          </w:p>
        </w:tc>
      </w:tr>
      <w:tr w:rsidR="00D22564" w:rsidRPr="00D22564" w14:paraId="0614A5E5"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76D91546" w14:textId="77777777" w:rsidR="00D22564" w:rsidRPr="00D22564" w:rsidRDefault="00D22564" w:rsidP="00797FE6">
            <w:pPr>
              <w:spacing w:after="0" w:line="360" w:lineRule="auto"/>
              <w:rPr>
                <w:rFonts w:cs="Arial"/>
                <w:b/>
                <w:bCs/>
                <w:color w:val="000000"/>
                <w:szCs w:val="18"/>
                <w:lang w:eastAsia="en-AU"/>
              </w:rPr>
            </w:pPr>
            <w:r w:rsidRPr="00D22564">
              <w:rPr>
                <w:rFonts w:cs="Arial"/>
                <w:b/>
                <w:bCs/>
                <w:color w:val="000000"/>
                <w:szCs w:val="18"/>
                <w:lang w:eastAsia="en-AU"/>
              </w:rPr>
              <w:t>Total cash and financial assets</w:t>
            </w:r>
          </w:p>
        </w:tc>
        <w:tc>
          <w:tcPr>
            <w:tcW w:w="1701" w:type="dxa"/>
            <w:tcBorders>
              <w:top w:val="nil"/>
              <w:left w:val="nil"/>
              <w:bottom w:val="nil"/>
              <w:right w:val="nil"/>
            </w:tcBorders>
            <w:shd w:val="clear" w:color="000000" w:fill="F2F2F2"/>
            <w:noWrap/>
            <w:vAlign w:val="center"/>
            <w:hideMark/>
          </w:tcPr>
          <w:p w14:paraId="0112212F"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$4,368,164,000</w:t>
            </w:r>
          </w:p>
        </w:tc>
        <w:tc>
          <w:tcPr>
            <w:tcW w:w="1701" w:type="dxa"/>
            <w:tcBorders>
              <w:top w:val="nil"/>
              <w:left w:val="nil"/>
              <w:bottom w:val="nil"/>
              <w:right w:val="nil"/>
            </w:tcBorders>
            <w:shd w:val="clear" w:color="000000" w:fill="E2EFDA"/>
            <w:noWrap/>
            <w:vAlign w:val="center"/>
            <w:hideMark/>
          </w:tcPr>
          <w:p w14:paraId="2F8FBA34"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$4,299,791,000</w:t>
            </w:r>
          </w:p>
        </w:tc>
        <w:tc>
          <w:tcPr>
            <w:tcW w:w="1701" w:type="dxa"/>
            <w:tcBorders>
              <w:top w:val="nil"/>
              <w:left w:val="nil"/>
              <w:bottom w:val="nil"/>
              <w:right w:val="nil"/>
            </w:tcBorders>
            <w:shd w:val="clear" w:color="000000" w:fill="F2F2F2"/>
            <w:noWrap/>
            <w:vAlign w:val="center"/>
            <w:hideMark/>
          </w:tcPr>
          <w:p w14:paraId="37E72439" w14:textId="77777777" w:rsidR="00D22564" w:rsidRPr="00D22564" w:rsidRDefault="00D22564" w:rsidP="00797FE6">
            <w:pPr>
              <w:spacing w:after="0" w:line="360" w:lineRule="auto"/>
              <w:jc w:val="right"/>
              <w:rPr>
                <w:rFonts w:cs="Arial"/>
                <w:b/>
                <w:bCs/>
                <w:color w:val="FF0000"/>
                <w:szCs w:val="18"/>
                <w:lang w:eastAsia="en-AU"/>
              </w:rPr>
            </w:pPr>
            <w:r w:rsidRPr="00D22564">
              <w:rPr>
                <w:rFonts w:cs="Arial"/>
                <w:b/>
                <w:bCs/>
                <w:color w:val="FF0000"/>
                <w:szCs w:val="18"/>
                <w:lang w:eastAsia="en-AU"/>
              </w:rPr>
              <w:t>-$68,373,000</w:t>
            </w:r>
          </w:p>
        </w:tc>
        <w:tc>
          <w:tcPr>
            <w:tcW w:w="851" w:type="dxa"/>
            <w:tcBorders>
              <w:top w:val="nil"/>
              <w:left w:val="nil"/>
              <w:bottom w:val="nil"/>
              <w:right w:val="nil"/>
            </w:tcBorders>
            <w:shd w:val="clear" w:color="000000" w:fill="F2F2F2"/>
            <w:noWrap/>
            <w:vAlign w:val="center"/>
            <w:hideMark/>
          </w:tcPr>
          <w:p w14:paraId="3965810D"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-2%</w:t>
            </w:r>
          </w:p>
        </w:tc>
      </w:tr>
      <w:tr w:rsidR="00D22564" w:rsidRPr="00D22564" w14:paraId="56798F7B"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612CF152" w14:textId="77777777" w:rsidR="00D22564" w:rsidRPr="00D22564" w:rsidRDefault="00D22564" w:rsidP="00797FE6">
            <w:pPr>
              <w:spacing w:after="0" w:line="360" w:lineRule="auto"/>
              <w:rPr>
                <w:rFonts w:cs="Arial"/>
                <w:b/>
                <w:bCs/>
                <w:color w:val="auto"/>
                <w:szCs w:val="18"/>
                <w:lang w:eastAsia="en-AU"/>
              </w:rPr>
            </w:pPr>
            <w:r w:rsidRPr="00D22564">
              <w:rPr>
                <w:rFonts w:cs="Arial"/>
                <w:b/>
                <w:bCs/>
                <w:color w:val="auto"/>
                <w:szCs w:val="18"/>
                <w:lang w:eastAsia="en-AU"/>
              </w:rPr>
              <w:t>Total non-current assets</w:t>
            </w:r>
          </w:p>
        </w:tc>
        <w:tc>
          <w:tcPr>
            <w:tcW w:w="1701" w:type="dxa"/>
            <w:tcBorders>
              <w:top w:val="nil"/>
              <w:left w:val="nil"/>
              <w:bottom w:val="nil"/>
              <w:right w:val="nil"/>
            </w:tcBorders>
            <w:shd w:val="clear" w:color="auto" w:fill="auto"/>
            <w:noWrap/>
            <w:vAlign w:val="center"/>
            <w:hideMark/>
          </w:tcPr>
          <w:p w14:paraId="1432BA4C"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$108,704,579,000</w:t>
            </w:r>
          </w:p>
        </w:tc>
        <w:tc>
          <w:tcPr>
            <w:tcW w:w="1701" w:type="dxa"/>
            <w:tcBorders>
              <w:top w:val="nil"/>
              <w:left w:val="nil"/>
              <w:bottom w:val="nil"/>
              <w:right w:val="nil"/>
            </w:tcBorders>
            <w:shd w:val="clear" w:color="000000" w:fill="E2EFDA"/>
            <w:noWrap/>
            <w:vAlign w:val="center"/>
            <w:hideMark/>
          </w:tcPr>
          <w:p w14:paraId="7921B179"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$110,387,548,000</w:t>
            </w:r>
          </w:p>
        </w:tc>
        <w:tc>
          <w:tcPr>
            <w:tcW w:w="1701" w:type="dxa"/>
            <w:tcBorders>
              <w:top w:val="nil"/>
              <w:left w:val="nil"/>
              <w:bottom w:val="nil"/>
              <w:right w:val="nil"/>
            </w:tcBorders>
            <w:shd w:val="clear" w:color="auto" w:fill="auto"/>
            <w:noWrap/>
            <w:vAlign w:val="center"/>
            <w:hideMark/>
          </w:tcPr>
          <w:p w14:paraId="1CA2742F"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$1,682,969,000</w:t>
            </w:r>
          </w:p>
        </w:tc>
        <w:tc>
          <w:tcPr>
            <w:tcW w:w="851" w:type="dxa"/>
            <w:tcBorders>
              <w:top w:val="nil"/>
              <w:left w:val="nil"/>
              <w:bottom w:val="nil"/>
              <w:right w:val="nil"/>
            </w:tcBorders>
            <w:shd w:val="clear" w:color="auto" w:fill="auto"/>
            <w:noWrap/>
            <w:vAlign w:val="center"/>
            <w:hideMark/>
          </w:tcPr>
          <w:p w14:paraId="1F4FE10E"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2%</w:t>
            </w:r>
          </w:p>
        </w:tc>
      </w:tr>
      <w:tr w:rsidR="00D22564" w:rsidRPr="00D22564" w14:paraId="7EF42D66"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108240C5" w14:textId="77777777" w:rsidR="00D22564" w:rsidRPr="00D22564" w:rsidRDefault="00D22564" w:rsidP="00797FE6">
            <w:pPr>
              <w:spacing w:after="0" w:line="360" w:lineRule="auto"/>
              <w:rPr>
                <w:rFonts w:cs="Arial"/>
                <w:b/>
                <w:bCs/>
                <w:color w:val="000000"/>
                <w:szCs w:val="18"/>
                <w:lang w:eastAsia="en-AU"/>
              </w:rPr>
            </w:pPr>
            <w:r w:rsidRPr="00D22564">
              <w:rPr>
                <w:rFonts w:cs="Arial"/>
                <w:b/>
                <w:bCs/>
                <w:color w:val="000000"/>
                <w:szCs w:val="18"/>
                <w:lang w:eastAsia="en-AU"/>
              </w:rPr>
              <w:t>Total debt</w:t>
            </w:r>
          </w:p>
        </w:tc>
        <w:tc>
          <w:tcPr>
            <w:tcW w:w="1701" w:type="dxa"/>
            <w:tcBorders>
              <w:top w:val="nil"/>
              <w:left w:val="nil"/>
              <w:bottom w:val="nil"/>
              <w:right w:val="nil"/>
            </w:tcBorders>
            <w:shd w:val="clear" w:color="000000" w:fill="F2F2F2"/>
            <w:noWrap/>
            <w:vAlign w:val="center"/>
            <w:hideMark/>
          </w:tcPr>
          <w:p w14:paraId="6FFB8C4C"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$1,233,196,000</w:t>
            </w:r>
          </w:p>
        </w:tc>
        <w:tc>
          <w:tcPr>
            <w:tcW w:w="1701" w:type="dxa"/>
            <w:tcBorders>
              <w:top w:val="nil"/>
              <w:left w:val="nil"/>
              <w:bottom w:val="nil"/>
              <w:right w:val="nil"/>
            </w:tcBorders>
            <w:shd w:val="clear" w:color="000000" w:fill="E2EFDA"/>
            <w:noWrap/>
            <w:vAlign w:val="center"/>
            <w:hideMark/>
          </w:tcPr>
          <w:p w14:paraId="20422B6F"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$1,402,036,000</w:t>
            </w:r>
          </w:p>
        </w:tc>
        <w:tc>
          <w:tcPr>
            <w:tcW w:w="1701" w:type="dxa"/>
            <w:tcBorders>
              <w:top w:val="nil"/>
              <w:left w:val="nil"/>
              <w:bottom w:val="nil"/>
              <w:right w:val="nil"/>
            </w:tcBorders>
            <w:shd w:val="clear" w:color="000000" w:fill="F2F2F2"/>
            <w:noWrap/>
            <w:vAlign w:val="center"/>
            <w:hideMark/>
          </w:tcPr>
          <w:p w14:paraId="2589037D"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$168,840,000</w:t>
            </w:r>
          </w:p>
        </w:tc>
        <w:tc>
          <w:tcPr>
            <w:tcW w:w="851" w:type="dxa"/>
            <w:tcBorders>
              <w:top w:val="nil"/>
              <w:left w:val="nil"/>
              <w:bottom w:val="nil"/>
              <w:right w:val="nil"/>
            </w:tcBorders>
            <w:shd w:val="clear" w:color="000000" w:fill="F2F2F2"/>
            <w:noWrap/>
            <w:vAlign w:val="center"/>
            <w:hideMark/>
          </w:tcPr>
          <w:p w14:paraId="145794CD"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14%</w:t>
            </w:r>
          </w:p>
        </w:tc>
      </w:tr>
      <w:tr w:rsidR="00D22564" w:rsidRPr="00D22564" w14:paraId="306AF1EE" w14:textId="77777777" w:rsidTr="00453F83">
        <w:trPr>
          <w:trHeight w:val="250"/>
        </w:trPr>
        <w:tc>
          <w:tcPr>
            <w:tcW w:w="3544" w:type="dxa"/>
            <w:gridSpan w:val="2"/>
            <w:tcBorders>
              <w:top w:val="nil"/>
              <w:left w:val="nil"/>
              <w:bottom w:val="nil"/>
              <w:right w:val="single" w:sz="8" w:space="0" w:color="7F7F7F"/>
            </w:tcBorders>
            <w:shd w:val="clear" w:color="auto" w:fill="auto"/>
            <w:noWrap/>
            <w:vAlign w:val="center"/>
            <w:hideMark/>
          </w:tcPr>
          <w:p w14:paraId="787E9358" w14:textId="77777777" w:rsidR="00D22564" w:rsidRPr="00D22564" w:rsidRDefault="00D22564" w:rsidP="00797FE6">
            <w:pPr>
              <w:spacing w:after="0" w:line="360" w:lineRule="auto"/>
              <w:rPr>
                <w:rFonts w:cs="Arial"/>
                <w:b/>
                <w:bCs/>
                <w:color w:val="auto"/>
                <w:szCs w:val="18"/>
                <w:lang w:eastAsia="en-AU"/>
              </w:rPr>
            </w:pPr>
            <w:r w:rsidRPr="00D22564">
              <w:rPr>
                <w:rFonts w:cs="Arial"/>
                <w:b/>
                <w:bCs/>
                <w:color w:val="auto"/>
                <w:szCs w:val="18"/>
                <w:lang w:eastAsia="en-AU"/>
              </w:rPr>
              <w:t>Total capital works expenditure</w:t>
            </w:r>
          </w:p>
        </w:tc>
        <w:tc>
          <w:tcPr>
            <w:tcW w:w="1701" w:type="dxa"/>
            <w:tcBorders>
              <w:top w:val="nil"/>
              <w:left w:val="nil"/>
              <w:bottom w:val="nil"/>
              <w:right w:val="nil"/>
            </w:tcBorders>
            <w:shd w:val="clear" w:color="auto" w:fill="auto"/>
            <w:noWrap/>
            <w:vAlign w:val="center"/>
            <w:hideMark/>
          </w:tcPr>
          <w:p w14:paraId="2AE78963"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$3,475,280,000</w:t>
            </w:r>
          </w:p>
        </w:tc>
        <w:tc>
          <w:tcPr>
            <w:tcW w:w="1701" w:type="dxa"/>
            <w:tcBorders>
              <w:top w:val="nil"/>
              <w:left w:val="nil"/>
              <w:bottom w:val="nil"/>
              <w:right w:val="nil"/>
            </w:tcBorders>
            <w:shd w:val="clear" w:color="000000" w:fill="E2EFDA"/>
            <w:noWrap/>
            <w:vAlign w:val="center"/>
            <w:hideMark/>
          </w:tcPr>
          <w:p w14:paraId="0F8E5C88"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$3,502,787,000</w:t>
            </w:r>
          </w:p>
        </w:tc>
        <w:tc>
          <w:tcPr>
            <w:tcW w:w="1701" w:type="dxa"/>
            <w:tcBorders>
              <w:top w:val="nil"/>
              <w:left w:val="nil"/>
              <w:bottom w:val="nil"/>
              <w:right w:val="nil"/>
            </w:tcBorders>
            <w:shd w:val="clear" w:color="auto" w:fill="auto"/>
            <w:noWrap/>
            <w:vAlign w:val="center"/>
            <w:hideMark/>
          </w:tcPr>
          <w:p w14:paraId="63807E68"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$27,507,000</w:t>
            </w:r>
          </w:p>
        </w:tc>
        <w:tc>
          <w:tcPr>
            <w:tcW w:w="851" w:type="dxa"/>
            <w:tcBorders>
              <w:top w:val="nil"/>
              <w:left w:val="nil"/>
              <w:bottom w:val="nil"/>
              <w:right w:val="nil"/>
            </w:tcBorders>
            <w:shd w:val="clear" w:color="auto" w:fill="auto"/>
            <w:noWrap/>
            <w:vAlign w:val="center"/>
            <w:hideMark/>
          </w:tcPr>
          <w:p w14:paraId="537E540A" w14:textId="77777777" w:rsidR="00D22564" w:rsidRPr="00D22564" w:rsidRDefault="00D22564" w:rsidP="00797FE6">
            <w:pPr>
              <w:spacing w:after="0" w:line="360" w:lineRule="auto"/>
              <w:jc w:val="right"/>
              <w:rPr>
                <w:rFonts w:cs="Arial"/>
                <w:b/>
                <w:bCs/>
                <w:color w:val="auto"/>
                <w:szCs w:val="18"/>
                <w:lang w:eastAsia="en-AU"/>
              </w:rPr>
            </w:pPr>
            <w:r w:rsidRPr="00D22564">
              <w:rPr>
                <w:rFonts w:cs="Arial"/>
                <w:b/>
                <w:bCs/>
                <w:color w:val="auto"/>
                <w:szCs w:val="18"/>
                <w:lang w:eastAsia="en-AU"/>
              </w:rPr>
              <w:t>1%</w:t>
            </w:r>
          </w:p>
        </w:tc>
      </w:tr>
      <w:tr w:rsidR="00D22564" w:rsidRPr="00D22564" w14:paraId="65795B81" w14:textId="77777777" w:rsidTr="00797FE6">
        <w:trPr>
          <w:trHeight w:val="250"/>
        </w:trPr>
        <w:tc>
          <w:tcPr>
            <w:tcW w:w="3544" w:type="dxa"/>
            <w:gridSpan w:val="2"/>
            <w:tcBorders>
              <w:top w:val="nil"/>
              <w:left w:val="nil"/>
              <w:bottom w:val="nil"/>
              <w:right w:val="single" w:sz="8" w:space="0" w:color="7F7F7F"/>
            </w:tcBorders>
            <w:shd w:val="clear" w:color="000000" w:fill="F2F2F2"/>
            <w:noWrap/>
            <w:vAlign w:val="center"/>
            <w:hideMark/>
          </w:tcPr>
          <w:p w14:paraId="11CFF953" w14:textId="77777777" w:rsidR="00D22564" w:rsidRPr="00D22564" w:rsidRDefault="00D22564" w:rsidP="00797FE6">
            <w:pPr>
              <w:spacing w:after="0" w:line="360" w:lineRule="auto"/>
              <w:rPr>
                <w:rFonts w:cs="Arial"/>
                <w:b/>
                <w:bCs/>
                <w:color w:val="000000"/>
                <w:szCs w:val="18"/>
                <w:lang w:eastAsia="en-AU"/>
              </w:rPr>
            </w:pPr>
            <w:r w:rsidRPr="00D22564">
              <w:rPr>
                <w:rFonts w:cs="Arial"/>
                <w:b/>
                <w:bCs/>
                <w:color w:val="000000"/>
                <w:szCs w:val="18"/>
                <w:lang w:eastAsia="en-AU"/>
              </w:rPr>
              <w:t>Total employees</w:t>
            </w:r>
          </w:p>
        </w:tc>
        <w:tc>
          <w:tcPr>
            <w:tcW w:w="1701" w:type="dxa"/>
            <w:tcBorders>
              <w:top w:val="nil"/>
              <w:left w:val="nil"/>
              <w:bottom w:val="nil"/>
              <w:right w:val="nil"/>
            </w:tcBorders>
            <w:shd w:val="clear" w:color="000000" w:fill="F2F2F2"/>
            <w:noWrap/>
            <w:vAlign w:val="center"/>
            <w:hideMark/>
          </w:tcPr>
          <w:p w14:paraId="729CB207"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37815</w:t>
            </w:r>
          </w:p>
        </w:tc>
        <w:tc>
          <w:tcPr>
            <w:tcW w:w="1701" w:type="dxa"/>
            <w:tcBorders>
              <w:top w:val="nil"/>
              <w:left w:val="nil"/>
              <w:bottom w:val="nil"/>
              <w:right w:val="nil"/>
            </w:tcBorders>
            <w:shd w:val="clear" w:color="000000" w:fill="E2EFDA"/>
            <w:noWrap/>
            <w:vAlign w:val="center"/>
            <w:hideMark/>
          </w:tcPr>
          <w:p w14:paraId="00669E53"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39221</w:t>
            </w:r>
          </w:p>
        </w:tc>
        <w:tc>
          <w:tcPr>
            <w:tcW w:w="1701" w:type="dxa"/>
            <w:tcBorders>
              <w:top w:val="nil"/>
              <w:left w:val="nil"/>
              <w:bottom w:val="nil"/>
              <w:right w:val="nil"/>
            </w:tcBorders>
            <w:shd w:val="clear" w:color="000000" w:fill="F2F2F2"/>
            <w:noWrap/>
            <w:vAlign w:val="center"/>
            <w:hideMark/>
          </w:tcPr>
          <w:p w14:paraId="7BD4794A"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1406</w:t>
            </w:r>
          </w:p>
        </w:tc>
        <w:tc>
          <w:tcPr>
            <w:tcW w:w="851" w:type="dxa"/>
            <w:tcBorders>
              <w:top w:val="nil"/>
              <w:left w:val="nil"/>
              <w:bottom w:val="nil"/>
              <w:right w:val="nil"/>
            </w:tcBorders>
            <w:shd w:val="clear" w:color="000000" w:fill="F2F2F2"/>
            <w:noWrap/>
            <w:vAlign w:val="center"/>
            <w:hideMark/>
          </w:tcPr>
          <w:p w14:paraId="213E135B" w14:textId="77777777" w:rsidR="00D22564" w:rsidRPr="00D22564" w:rsidRDefault="00D22564" w:rsidP="00797FE6">
            <w:pPr>
              <w:spacing w:after="0" w:line="360" w:lineRule="auto"/>
              <w:jc w:val="right"/>
              <w:rPr>
                <w:rFonts w:cs="Arial"/>
                <w:b/>
                <w:bCs/>
                <w:color w:val="000000"/>
                <w:szCs w:val="18"/>
                <w:lang w:eastAsia="en-AU"/>
              </w:rPr>
            </w:pPr>
            <w:r w:rsidRPr="00D22564">
              <w:rPr>
                <w:rFonts w:cs="Arial"/>
                <w:b/>
                <w:bCs/>
                <w:color w:val="000000"/>
                <w:szCs w:val="18"/>
                <w:lang w:eastAsia="en-AU"/>
              </w:rPr>
              <w:t>4%</w:t>
            </w:r>
          </w:p>
        </w:tc>
      </w:tr>
    </w:tbl>
    <w:p w14:paraId="1835FDBB" w14:textId="0E9B3997" w:rsidR="00D22564" w:rsidRDefault="00D22564" w:rsidP="00130F43">
      <w:r w:rsidRPr="00836333">
        <w:rPr>
          <w:sz w:val="16"/>
          <w:szCs w:val="16"/>
        </w:rPr>
        <w:t xml:space="preserve">Source: 2020-21 </w:t>
      </w:r>
      <w:r>
        <w:rPr>
          <w:sz w:val="16"/>
          <w:szCs w:val="16"/>
        </w:rPr>
        <w:t>adopted</w:t>
      </w:r>
      <w:r w:rsidRPr="00836333">
        <w:rPr>
          <w:sz w:val="16"/>
          <w:szCs w:val="16"/>
        </w:rPr>
        <w:t xml:space="preserve"> budgets</w:t>
      </w:r>
      <w:r>
        <w:rPr>
          <w:sz w:val="16"/>
          <w:szCs w:val="16"/>
        </w:rPr>
        <w:t xml:space="preserve"> and 2019-20 adopted budgets</w:t>
      </w:r>
    </w:p>
    <w:p w14:paraId="7CD5FC47" w14:textId="0B28A9C2" w:rsidR="00D22564" w:rsidRDefault="00D22564" w:rsidP="00130F43"/>
    <w:p w14:paraId="32053EE2" w14:textId="77777777" w:rsidR="00D22564" w:rsidRDefault="00D22564" w:rsidP="00130F43"/>
    <w:p w14:paraId="19152BCF" w14:textId="64793012" w:rsidR="004371F6" w:rsidRDefault="00EE29D5" w:rsidP="00130F43">
      <w:r>
        <w:rPr>
          <w:noProof/>
        </w:rPr>
        <mc:AlternateContent>
          <mc:Choice Requires="wps">
            <w:drawing>
              <wp:anchor distT="0" distB="0" distL="114300" distR="114300" simplePos="0" relativeHeight="251658240" behindDoc="0" locked="1" layoutInCell="1" allowOverlap="1" wp14:anchorId="15051F6D" wp14:editId="00936627">
                <wp:simplePos x="0" y="0"/>
                <wp:positionH relativeFrom="column">
                  <wp:posOffset>0</wp:posOffset>
                </wp:positionH>
                <wp:positionV relativeFrom="margin">
                  <wp:align>bottom</wp:align>
                </wp:positionV>
                <wp:extent cx="5762625" cy="1885950"/>
                <wp:effectExtent l="0" t="0" r="9525" b="0"/>
                <wp:wrapNone/>
                <wp:docPr id="173" name="Text Box 173"/>
                <wp:cNvGraphicFramePr/>
                <a:graphic xmlns:a="http://schemas.openxmlformats.org/drawingml/2006/main">
                  <a:graphicData uri="http://schemas.microsoft.com/office/word/2010/wordprocessingShape">
                    <wps:wsp>
                      <wps:cNvSpPr txBox="1"/>
                      <wps:spPr>
                        <a:xfrm>
                          <a:off x="0" y="0"/>
                          <a:ext cx="5763126" cy="1885950"/>
                        </a:xfrm>
                        <a:prstGeom prst="rect">
                          <a:avLst/>
                        </a:prstGeom>
                        <a:solidFill>
                          <a:schemeClr val="lt1"/>
                        </a:solidFill>
                        <a:ln w="6350">
                          <a:noFill/>
                        </a:ln>
                      </wps:spPr>
                      <wps:txbx>
                        <w:txbxContent>
                          <w:p w14:paraId="7ADFAB93" w14:textId="559EDADC" w:rsidR="003F01E6" w:rsidRPr="00E02831" w:rsidRDefault="003F01E6" w:rsidP="00EE29D5">
                            <w:r w:rsidRPr="00E02831">
                              <w:t xml:space="preserve">Authorised by </w:t>
                            </w:r>
                            <w:r>
                              <w:t>Local Government Victoria.</w:t>
                            </w:r>
                            <w:r w:rsidRPr="00E02831">
                              <w:t xml:space="preserve"> </w:t>
                            </w:r>
                            <w:r w:rsidRPr="00043BBD">
                              <w:rPr>
                                <w:vanish/>
                                <w:highlight w:val="yellow"/>
                              </w:rPr>
                              <w:t>(example Hon.        )</w:t>
                            </w:r>
                            <w:r w:rsidRPr="00E02831">
                              <w:br/>
                              <w:t xml:space="preserve">Department of Jobs, </w:t>
                            </w:r>
                            <w:r w:rsidRPr="005E284D">
                              <w:rPr>
                                <w:lang w:val="en-US"/>
                              </w:rPr>
                              <w:t>Precincts and Regions</w:t>
                            </w:r>
                            <w:r w:rsidRPr="00E02831">
                              <w:br/>
                              <w:t>1 Spring Street Melbourne Victoria 3000</w:t>
                            </w:r>
                            <w:r w:rsidRPr="00E02831">
                              <w:br/>
                              <w:t>Telephone (03) 9651 9999</w:t>
                            </w:r>
                          </w:p>
                          <w:p w14:paraId="71C62C39" w14:textId="790A4259" w:rsidR="003F01E6" w:rsidRPr="00E02831" w:rsidRDefault="003F01E6" w:rsidP="00EE29D5">
                            <w:r w:rsidRPr="00E02831">
                              <w:t xml:space="preserve">© Copyright State of Victoria, </w:t>
                            </w:r>
                            <w:r w:rsidRPr="00E02831">
                              <w:br/>
                              <w:t xml:space="preserve">Department of Jobs, </w:t>
                            </w:r>
                            <w:r w:rsidRPr="005E284D">
                              <w:rPr>
                                <w:lang w:val="en-US"/>
                              </w:rPr>
                              <w:t>Precincts and Regions</w:t>
                            </w:r>
                            <w:r w:rsidRPr="00E02831">
                              <w:t xml:space="preserve"> 20</w:t>
                            </w:r>
                            <w:r>
                              <w:t>20</w:t>
                            </w:r>
                          </w:p>
                          <w:p w14:paraId="5A9B706E" w14:textId="77777777" w:rsidR="003F01E6" w:rsidRPr="00E02831" w:rsidRDefault="003F01E6" w:rsidP="00EE29D5">
                            <w:r w:rsidRPr="00E02831">
                              <w:t>Except for any logos, emblems, trademarks, artwork and photography this document is made available under the terms of the Creative Commons Attribution 3.0 Australia license.</w:t>
                            </w:r>
                          </w:p>
                          <w:p w14:paraId="18351131" w14:textId="77777777" w:rsidR="003F01E6" w:rsidRPr="00E02831" w:rsidRDefault="003F01E6" w:rsidP="00EE29D5">
                            <w:r w:rsidRPr="00E02831">
                              <w:t xml:space="preserve">This document is also available in an accessible format at </w:t>
                            </w:r>
                            <w:hyperlink r:id="rId67" w:history="1">
                              <w:r w:rsidRPr="004F10C7">
                                <w:rPr>
                                  <w:rStyle w:val="Hyperlink"/>
                                </w:rPr>
                                <w:t>djpr.vic.gov.au</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51F6D" id="_x0000_t202" coordsize="21600,21600" o:spt="202" path="m,l,21600r21600,l21600,xe">
                <v:stroke joinstyle="miter"/>
                <v:path gradientshapeok="t" o:connecttype="rect"/>
              </v:shapetype>
              <v:shape id="Text Box 173" o:spid="_x0000_s1026" type="#_x0000_t202" style="position:absolute;margin-left:0;margin-top:0;width:453.75pt;height:148.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" fillcolor="white [3201]" stroked="f" strokeweight=".5pt">
                <v:textbox inset="0,0,0,0">
                  <w:txbxContent>
                    <w:p w14:paraId="7ADFAB93" w14:textId="559EDADC" w:rsidR="003F01E6" w:rsidRPr="00E02831" w:rsidRDefault="003F01E6" w:rsidP="00EE29D5">
                      <w:r w:rsidRPr="00E02831">
                        <w:t xml:space="preserve">Authorised by </w:t>
                      </w:r>
                      <w:r>
                        <w:t>Local Government Victoria.</w:t>
                      </w:r>
                      <w:r w:rsidRPr="00E02831">
                        <w:t xml:space="preserve"> </w:t>
                      </w:r>
                      <w:r w:rsidRPr="00043BBD">
                        <w:rPr>
                          <w:vanish/>
                          <w:highlight w:val="yellow"/>
                        </w:rPr>
                        <w:t>(example Hon.        )</w:t>
                      </w:r>
                      <w:r w:rsidRPr="00E02831">
                        <w:br/>
                        <w:t xml:space="preserve">Department of Jobs, </w:t>
                      </w:r>
                      <w:r w:rsidRPr="005E284D">
                        <w:rPr>
                          <w:lang w:val="en-US"/>
                        </w:rPr>
                        <w:t>Precincts and Regions</w:t>
                      </w:r>
                      <w:r w:rsidRPr="00E02831">
                        <w:br/>
                        <w:t>1 Spring Street Melbourne Victoria 3000</w:t>
                      </w:r>
                      <w:r w:rsidRPr="00E02831">
                        <w:br/>
                        <w:t>Telephone (03) 9651 9999</w:t>
                      </w:r>
                    </w:p>
                    <w:p w14:paraId="71C62C39" w14:textId="790A4259" w:rsidR="003F01E6" w:rsidRPr="00E02831" w:rsidRDefault="003F01E6" w:rsidP="00EE29D5">
                      <w:r w:rsidRPr="00E02831">
                        <w:t xml:space="preserve">© Copyright State of Victoria, </w:t>
                      </w:r>
                      <w:r w:rsidRPr="00E02831">
                        <w:br/>
                        <w:t xml:space="preserve">Department of Jobs, </w:t>
                      </w:r>
                      <w:r w:rsidRPr="005E284D">
                        <w:rPr>
                          <w:lang w:val="en-US"/>
                        </w:rPr>
                        <w:t>Precincts and Regions</w:t>
                      </w:r>
                      <w:r w:rsidRPr="00E02831">
                        <w:t xml:space="preserve"> 20</w:t>
                      </w:r>
                      <w:r>
                        <w:t>20</w:t>
                      </w:r>
                    </w:p>
                    <w:p w14:paraId="5A9B706E" w14:textId="77777777" w:rsidR="003F01E6" w:rsidRPr="00E02831" w:rsidRDefault="003F01E6" w:rsidP="00EE29D5">
                      <w:r w:rsidRPr="00E02831">
                        <w:t>Except for any logos, emblems, trademarks, artwork and photography this document is made available under the terms of the Creative Commons Attribution 3.0 Australia license.</w:t>
                      </w:r>
                    </w:p>
                    <w:p w14:paraId="18351131" w14:textId="77777777" w:rsidR="003F01E6" w:rsidRPr="00E02831" w:rsidRDefault="003F01E6" w:rsidP="00EE29D5">
                      <w:r w:rsidRPr="00E02831">
                        <w:t xml:space="preserve">This document is also available in an accessible format at </w:t>
                      </w:r>
                      <w:hyperlink r:id="rId68" w:history="1">
                        <w:r w:rsidRPr="004F10C7">
                          <w:rPr>
                            <w:rStyle w:val="Hyperlink"/>
                          </w:rPr>
                          <w:t>djpr.vic.gov.au</w:t>
                        </w:r>
                      </w:hyperlink>
                    </w:p>
                  </w:txbxContent>
                </v:textbox>
                <w10:wrap anchory="margin"/>
                <w10:anchorlock/>
              </v:shape>
            </w:pict>
          </mc:Fallback>
        </mc:AlternateContent>
      </w:r>
      <w:bookmarkEnd w:id="11"/>
    </w:p>
    <w:p w14:paraId="49B6947A" w14:textId="77777777" w:rsidR="00EE29D5" w:rsidRPr="00644924" w:rsidRDefault="00EE29D5" w:rsidP="00130F43"/>
    <w:p w14:paraId="2EC4CEE7" w14:textId="30590569" w:rsidR="004371F6" w:rsidRPr="00B14DDB" w:rsidRDefault="004371F6" w:rsidP="00EE29D5">
      <w:pPr>
        <w:spacing w:before="0" w:line="276" w:lineRule="auto"/>
      </w:pPr>
    </w:p>
    <w:sectPr w:rsidR="004371F6" w:rsidRPr="00B14DDB" w:rsidSect="00FE5BB6">
      <w:headerReference w:type="default" r:id="rId69"/>
      <w:headerReference w:type="first" r:id="rId70"/>
      <w:type w:val="oddPage"/>
      <w:pgSz w:w="11906" w:h="16838" w:code="9"/>
      <w:pgMar w:top="1134" w:right="1701" w:bottom="1134" w:left="1134"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1123" w14:textId="77777777" w:rsidR="00A776F5" w:rsidRDefault="00A776F5" w:rsidP="00D96C1E">
      <w:r>
        <w:separator/>
      </w:r>
    </w:p>
    <w:p w14:paraId="0FA437C5" w14:textId="77777777" w:rsidR="00A776F5" w:rsidRDefault="00A776F5" w:rsidP="00D96C1E"/>
  </w:endnote>
  <w:endnote w:type="continuationSeparator" w:id="0">
    <w:p w14:paraId="4D7EE37C" w14:textId="77777777" w:rsidR="00A776F5" w:rsidRDefault="00A776F5" w:rsidP="00D96C1E">
      <w:r>
        <w:continuationSeparator/>
      </w:r>
    </w:p>
    <w:p w14:paraId="17E9E211" w14:textId="77777777" w:rsidR="00A776F5" w:rsidRDefault="00A776F5" w:rsidP="00D96C1E"/>
  </w:endnote>
  <w:endnote w:type="continuationNotice" w:id="1">
    <w:p w14:paraId="46888AAE" w14:textId="77777777" w:rsidR="00A776F5" w:rsidRDefault="00A776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EndPr/>
      <w:sdtContent>
        <w:sdt>
          <w:sdtPr>
            <w:id w:val="-726373178"/>
            <w:docPartObj>
              <w:docPartGallery w:val="Page Numbers (Top of Page)"/>
              <w:docPartUnique/>
            </w:docPartObj>
          </w:sdtPr>
          <w:sdtEndPr/>
          <w:sdtContent>
            <w:tr w:rsidR="003F01E6" w:rsidRPr="00FB0DEA" w14:paraId="1A74068F" w14:textId="77777777" w:rsidTr="00F821D9">
              <w:tc>
                <w:tcPr>
                  <w:tcW w:w="3402" w:type="dxa"/>
                  <w:vAlign w:val="center"/>
                </w:tcPr>
                <w:p w14:paraId="537F3182" w14:textId="085A894D" w:rsidR="003F01E6" w:rsidRPr="005723C8" w:rsidRDefault="00F302EF" w:rsidP="005723C8">
                  <w:pPr>
                    <w:pStyle w:val="Footer"/>
                    <w:tabs>
                      <w:tab w:val="clear" w:pos="14570"/>
                    </w:tabs>
                    <w:spacing w:before="0"/>
                  </w:pPr>
                  <w:fldSimple w:instr=" STYLEREF  &quot;Report title&quot;  \* MERGEFORMAT ">
                    <w:r w:rsidR="00FE0B50" w:rsidRPr="00FE0B50">
                      <w:rPr>
                        <w:b/>
                        <w:bCs/>
                        <w:noProof/>
                        <w:lang w:val="en-US"/>
                      </w:rPr>
                      <w:t>Analysis of the</w:t>
                    </w:r>
                    <w:r w:rsidR="00FE0B50">
                      <w:rPr>
                        <w:noProof/>
                      </w:rPr>
                      <w:t xml:space="preserve"> 2020-21 adopted budgets of Victorian councils</w:t>
                    </w:r>
                  </w:fldSimple>
                </w:p>
              </w:tc>
              <w:tc>
                <w:tcPr>
                  <w:tcW w:w="2410" w:type="dxa"/>
                  <w:vAlign w:val="center"/>
                </w:tcPr>
                <w:p w14:paraId="519B303A" w14:textId="1BA01CA8" w:rsidR="003F01E6" w:rsidRPr="005723C8" w:rsidRDefault="003F01E6" w:rsidP="005723C8">
                  <w:pPr>
                    <w:pStyle w:val="Footer"/>
                    <w:tabs>
                      <w:tab w:val="clear" w:pos="14570"/>
                    </w:tabs>
                    <w:spacing w:before="0"/>
                    <w:jc w:val="center"/>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sidRPr="005723C8">
                    <w:rPr>
                      <w:rStyle w:val="PageNumber"/>
                    </w:rPr>
                    <w:t>2</w:t>
                  </w:r>
                  <w:r w:rsidRPr="005723C8">
                    <w:rPr>
                      <w:rStyle w:val="PageNumber"/>
                    </w:rPr>
                    <w:fldChar w:fldCharType="end"/>
                  </w:r>
                  <w:r w:rsidRPr="005723C8">
                    <w:rPr>
                      <w:rStyle w:val="PageNumber"/>
                    </w:rPr>
                    <w:t xml:space="preserve"> of </w:t>
                  </w:r>
                  <w:r w:rsidR="0025554E">
                    <w:rPr>
                      <w:rStyle w:val="PageNumber"/>
                    </w:rPr>
                    <w:t>40</w:t>
                  </w:r>
                </w:p>
              </w:tc>
              <w:tc>
                <w:tcPr>
                  <w:tcW w:w="4211" w:type="dxa"/>
                </w:tcPr>
                <w:p w14:paraId="4995FF68" w14:textId="77777777" w:rsidR="003F01E6" w:rsidRPr="00FB0DEA" w:rsidRDefault="003F01E6" w:rsidP="005723C8">
                  <w:pPr>
                    <w:pStyle w:val="Footer"/>
                    <w:tabs>
                      <w:tab w:val="clear" w:pos="14570"/>
                    </w:tabs>
                    <w:spacing w:before="0"/>
                    <w:jc w:val="right"/>
                  </w:pPr>
                  <w:r w:rsidRPr="00EE5398">
                    <w:rPr>
                      <w:noProof/>
                      <w:lang w:val="en-GB" w:eastAsia="en-GB"/>
                    </w:rPr>
                    <w:drawing>
                      <wp:inline distT="0" distB="0" distL="0" distR="0" wp14:anchorId="6CC96B8B" wp14:editId="062FB3C7">
                        <wp:extent cx="1335600" cy="403200"/>
                        <wp:effectExtent l="0" t="0" r="0" b="0"/>
                        <wp:docPr id="129" name="Picture 129" descr="Department of Jobs, Precincts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and Victoria State Gov DEDJTR right coolgrey 11 rgb.png"/>
                                <pic:cNvPicPr/>
                              </pic:nvPicPr>
                              <pic:blipFill>
                                <a:blip r:embed="rId1">
                                  <a:extLst>
                                    <a:ext uri="{28A0092B-C50C-407E-A947-70E740481C1C}">
                                      <a14:useLocalDpi xmlns:a14="http://schemas.microsoft.com/office/drawing/2010/main" val="0"/>
                                    </a:ext>
                                  </a:extLst>
                                </a:blip>
                                <a:stretch>
                                  <a:fillRect/>
                                </a:stretch>
                              </pic:blipFill>
                              <pic:spPr>
                                <a:xfrm>
                                  <a:off x="0" y="0"/>
                                  <a:ext cx="1335600" cy="403200"/>
                                </a:xfrm>
                                <a:prstGeom prst="rect">
                                  <a:avLst/>
                                </a:prstGeom>
                              </pic:spPr>
                            </pic:pic>
                          </a:graphicData>
                        </a:graphic>
                      </wp:inline>
                    </w:drawing>
                  </w:r>
                </w:p>
              </w:tc>
            </w:tr>
          </w:sdtContent>
        </w:sdt>
      </w:sdtContent>
    </w:sdt>
  </w:tbl>
  <w:p w14:paraId="702C6441" w14:textId="77777777" w:rsidR="003F01E6" w:rsidRPr="005723C8" w:rsidRDefault="003F01E6" w:rsidP="005723C8">
    <w:pPr>
      <w:pStyle w:val="Footer"/>
      <w:tabs>
        <w:tab w:val="right" w:pos="7371"/>
      </w:tabs>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BA3F" w14:textId="77777777" w:rsidR="00A776F5" w:rsidRDefault="00A776F5" w:rsidP="00D96C1E">
      <w:r>
        <w:separator/>
      </w:r>
    </w:p>
    <w:p w14:paraId="4B6FF97F" w14:textId="77777777" w:rsidR="00A776F5" w:rsidRDefault="00A776F5" w:rsidP="00D96C1E"/>
  </w:footnote>
  <w:footnote w:type="continuationSeparator" w:id="0">
    <w:p w14:paraId="610302ED" w14:textId="77777777" w:rsidR="00A776F5" w:rsidRDefault="00A776F5" w:rsidP="00D96C1E">
      <w:r>
        <w:continuationSeparator/>
      </w:r>
    </w:p>
    <w:p w14:paraId="4B942918" w14:textId="77777777" w:rsidR="00A776F5" w:rsidRDefault="00A776F5" w:rsidP="00D96C1E"/>
  </w:footnote>
  <w:footnote w:type="continuationNotice" w:id="1">
    <w:p w14:paraId="33D44146" w14:textId="77777777" w:rsidR="00A776F5" w:rsidRDefault="00A776F5">
      <w:pPr>
        <w:spacing w:before="0" w:after="0"/>
      </w:pPr>
    </w:p>
  </w:footnote>
  <w:footnote w:id="2">
    <w:p w14:paraId="23273FEE" w14:textId="77777777" w:rsidR="003F01E6" w:rsidRPr="00EE480D" w:rsidRDefault="003F01E6" w:rsidP="000314C2">
      <w:pPr>
        <w:pStyle w:val="FootnoteText"/>
      </w:pPr>
      <w:r w:rsidRPr="00EE480D">
        <w:footnoteRef/>
      </w:r>
      <w:r>
        <w:t>.</w:t>
      </w:r>
      <w:r>
        <w:tab/>
        <w:t xml:space="preserve">Sections 127(2)(a), (b) and (e) of the </w:t>
      </w:r>
      <w:r w:rsidRPr="007564CD">
        <w:rPr>
          <w:i/>
        </w:rPr>
        <w:t>Local Government Act 1989</w:t>
      </w:r>
      <w:r>
        <w:t xml:space="preserve">. Section 130 of the </w:t>
      </w:r>
      <w:r w:rsidRPr="007564CD">
        <w:rPr>
          <w:i/>
        </w:rPr>
        <w:t>Local Government Act 1989</w:t>
      </w:r>
      <w:r>
        <w:t xml:space="preserve"> requires all councils to submit a copy of the budget, or revised budget, to the Minister for Local Government within 28 days of adopting the budget.</w:t>
      </w:r>
    </w:p>
  </w:footnote>
  <w:footnote w:id="3">
    <w:p w14:paraId="33CC4BBA" w14:textId="77777777" w:rsidR="003F01E6" w:rsidRPr="007564CD" w:rsidRDefault="003F01E6" w:rsidP="000314C2">
      <w:pPr>
        <w:pStyle w:val="FootnoteText"/>
      </w:pPr>
      <w:r w:rsidRPr="007564CD">
        <w:footnoteRef/>
      </w:r>
      <w:r>
        <w:t>.</w:t>
      </w:r>
      <w:r>
        <w:tab/>
        <w:t xml:space="preserve">Section 127(1) and 129(1) of the </w:t>
      </w:r>
      <w:r w:rsidRPr="007564CD">
        <w:rPr>
          <w:i/>
        </w:rPr>
        <w:t>Local Government Act 1989</w:t>
      </w:r>
    </w:p>
  </w:footnote>
  <w:footnote w:id="4">
    <w:p w14:paraId="3F81F63D" w14:textId="77777777" w:rsidR="003F01E6" w:rsidRPr="00724F4E" w:rsidRDefault="003F01E6" w:rsidP="000314C2">
      <w:pPr>
        <w:pStyle w:val="FootnoteText"/>
      </w:pPr>
      <w:r w:rsidRPr="00724F4E">
        <w:footnoteRef/>
      </w:r>
      <w:r>
        <w:t>.</w:t>
      </w:r>
      <w:r>
        <w:tab/>
        <w:t xml:space="preserve">Section 130(1) of the </w:t>
      </w:r>
      <w:r w:rsidRPr="00724F4E">
        <w:rPr>
          <w:i/>
        </w:rPr>
        <w:t>Local Government Act 1989</w:t>
      </w:r>
    </w:p>
  </w:footnote>
  <w:footnote w:id="5">
    <w:p w14:paraId="77D04990" w14:textId="77777777" w:rsidR="003F01E6" w:rsidRDefault="003F01E6" w:rsidP="000314C2">
      <w:pPr>
        <w:pStyle w:val="FootnoteText"/>
      </w:pPr>
      <w:r w:rsidRPr="00287B7B">
        <w:footnoteRef/>
      </w:r>
      <w:r>
        <w:t>.</w:t>
      </w:r>
      <w:r>
        <w:tab/>
        <w:t>Victorian Economic Update July 2020, Department of Treasury and Finance, Victoria</w:t>
      </w:r>
    </w:p>
  </w:footnote>
  <w:footnote w:id="6">
    <w:p w14:paraId="46212183" w14:textId="77777777" w:rsidR="003F01E6" w:rsidRDefault="003F01E6" w:rsidP="000314C2">
      <w:pPr>
        <w:pStyle w:val="FootnoteText"/>
      </w:pPr>
      <w:r>
        <w:rPr>
          <w:rStyle w:val="FootnoteReference"/>
        </w:rPr>
        <w:footnoteRef/>
      </w:r>
      <w:r>
        <w:t xml:space="preserve"> Results of 2018-19 Audits: Local Government, VAGO, November 2019</w:t>
      </w:r>
    </w:p>
  </w:footnote>
  <w:footnote w:id="7">
    <w:p w14:paraId="58428ADA" w14:textId="77777777" w:rsidR="003F01E6" w:rsidRDefault="003F01E6" w:rsidP="000314C2">
      <w:pPr>
        <w:pStyle w:val="FootnoteText"/>
      </w:pPr>
      <w:r>
        <w:rPr>
          <w:rStyle w:val="FootnoteReference"/>
        </w:rPr>
        <w:footnoteRef/>
      </w:r>
      <w:r>
        <w:t xml:space="preserve"> FinPro - Letter and report to Sector 2020 - Rates Budget and COVID-19</w:t>
      </w:r>
    </w:p>
  </w:footnote>
  <w:footnote w:id="8">
    <w:p w14:paraId="479CF337" w14:textId="77777777" w:rsidR="003F01E6" w:rsidRDefault="003F01E6" w:rsidP="000314C2">
      <w:pPr>
        <w:pStyle w:val="FootnoteText"/>
      </w:pPr>
      <w:r>
        <w:rPr>
          <w:rStyle w:val="FootnoteReference"/>
        </w:rPr>
        <w:footnoteRef/>
      </w:r>
      <w:r>
        <w:t xml:space="preserve"> </w:t>
      </w:r>
      <w:r w:rsidRPr="00F91CB5">
        <w:rPr>
          <w:sz w:val="16"/>
          <w:szCs w:val="16"/>
        </w:rPr>
        <w:t>Amortisation refers to the same concept as depreciation but in relation to intangible assets (those without physical substance) such as</w:t>
      </w:r>
      <w:r>
        <w:rPr>
          <w:sz w:val="16"/>
          <w:szCs w:val="16"/>
        </w:rPr>
        <w:t xml:space="preserve"> </w:t>
      </w:r>
      <w:r w:rsidRPr="00F91CB5">
        <w:rPr>
          <w:sz w:val="16"/>
          <w:szCs w:val="16"/>
        </w:rPr>
        <w:t xml:space="preserve">software licences. It represents </w:t>
      </w:r>
      <w:r>
        <w:rPr>
          <w:sz w:val="16"/>
          <w:szCs w:val="16"/>
        </w:rPr>
        <w:t>a relatively</w:t>
      </w:r>
      <w:r w:rsidRPr="00F91CB5">
        <w:rPr>
          <w:sz w:val="16"/>
          <w:szCs w:val="16"/>
        </w:rPr>
        <w:t xml:space="preserve"> small proportion of depreciation and amortisation expenditure.</w:t>
      </w:r>
    </w:p>
  </w:footnote>
  <w:footnote w:id="9">
    <w:p w14:paraId="45A2E823" w14:textId="77777777" w:rsidR="003F01E6" w:rsidRDefault="003F01E6" w:rsidP="00CC7CE7">
      <w:pPr>
        <w:pStyle w:val="FootnoteText"/>
        <w:ind w:left="0" w:firstLine="0"/>
      </w:pPr>
      <w:r>
        <w:rPr>
          <w:rStyle w:val="FootnoteReference"/>
        </w:rPr>
        <w:footnoteRef/>
      </w:r>
      <w:r>
        <w:t xml:space="preserve"> </w:t>
      </w:r>
      <w:r w:rsidRPr="00DC2095">
        <w:t>Development contributions can be received as a cash contribution to council to build an asset into the future or by way of a non-cash contribution.  A non</w:t>
      </w:r>
      <w:r>
        <w:t xml:space="preserve"> -</w:t>
      </w:r>
      <w:r w:rsidRPr="00DC2095">
        <w:t xml:space="preserve">cash contribution may comprise gifted assets such as completed roads, drainage works or community facilities that may have been previously planned for by the council. These ‘gifted assets’ must be reflected as </w:t>
      </w:r>
      <w:r>
        <w:t>revenue</w:t>
      </w:r>
      <w:r w:rsidRPr="00DC2095">
        <w:t xml:space="preserve"> in the year in which council receives them.</w:t>
      </w:r>
    </w:p>
  </w:footnote>
  <w:footnote w:id="10">
    <w:p w14:paraId="15B05E9C" w14:textId="77777777" w:rsidR="003F01E6" w:rsidRDefault="003F01E6" w:rsidP="00CC7CE7">
      <w:pPr>
        <w:pStyle w:val="FootnoteText"/>
        <w:ind w:left="0" w:firstLine="0"/>
      </w:pPr>
      <w:r>
        <w:rPr>
          <w:rStyle w:val="FootnoteReference"/>
        </w:rPr>
        <w:footnoteRef/>
      </w:r>
      <w:r>
        <w:t xml:space="preserve"> </w:t>
      </w:r>
      <w:r w:rsidRPr="003B1F57">
        <w:t xml:space="preserve">Capital grants received from State or Commonwealth Governments must commonly be treated as operating </w:t>
      </w:r>
      <w:r>
        <w:t>revenue</w:t>
      </w:r>
      <w:r w:rsidRPr="003B1F57">
        <w:t xml:space="preserve"> in the year of receipt however the expenditure does not appear in the operating result. The expenditure will result in the replacement of the current asset cash (or investments) with the infrastructure asset roads (or community facilities) depending on the nature of the asset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D4E83" w14:textId="77777777" w:rsidR="003F01E6" w:rsidRPr="00644924" w:rsidRDefault="003F01E6" w:rsidP="00644924">
    <w:r>
      <w:rPr>
        <w:noProof/>
      </w:rPr>
      <w:drawing>
        <wp:anchor distT="0" distB="0" distL="114300" distR="114300" simplePos="0" relativeHeight="251658240" behindDoc="1" locked="0" layoutInCell="1" allowOverlap="1" wp14:anchorId="45260359" wp14:editId="5E5B39E8">
          <wp:simplePos x="0" y="0"/>
          <wp:positionH relativeFrom="page">
            <wp:align>left</wp:align>
          </wp:positionH>
          <wp:positionV relativeFrom="page">
            <wp:align>top</wp:align>
          </wp:positionV>
          <wp:extent cx="10684798" cy="7559400"/>
          <wp:effectExtent l="0" t="0" r="0" b="0"/>
          <wp:wrapNone/>
          <wp:docPr id="128" name="Pictur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10684798" cy="755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C600F" w14:textId="77777777" w:rsidR="003F01E6" w:rsidRDefault="003F01E6" w:rsidP="0060555E">
    <w:r>
      <w:rPr>
        <w:noProof/>
      </w:rPr>
      <w:drawing>
        <wp:anchor distT="0" distB="0" distL="114300" distR="114300" simplePos="0" relativeHeight="251658241" behindDoc="1" locked="1" layoutInCell="1" allowOverlap="1" wp14:anchorId="6F108B91" wp14:editId="68C7354E">
          <wp:simplePos x="0" y="0"/>
          <wp:positionH relativeFrom="page">
            <wp:align>left</wp:align>
          </wp:positionH>
          <wp:positionV relativeFrom="page">
            <wp:align>top</wp:align>
          </wp:positionV>
          <wp:extent cx="7560000" cy="10684800"/>
          <wp:effectExtent l="0" t="0" r="3175" b="2540"/>
          <wp:wrapNone/>
          <wp:docPr id="130" name="Pictur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PR Corporate A4 Reports V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C224" w14:textId="77777777" w:rsidR="003F01E6" w:rsidRDefault="003F01E6" w:rsidP="00F821D9">
    <w:pPr>
      <w:rPr>
        <w:color w:val="auto"/>
        <w:sz w:val="20"/>
      </w:rPr>
    </w:pPr>
    <w:r>
      <w:rPr>
        <w:noProof/>
        <w:color w:val="auto"/>
        <w:sz w:val="20"/>
      </w:rPr>
      <w:drawing>
        <wp:anchor distT="0" distB="0" distL="114300" distR="114300" simplePos="0" relativeHeight="251658243" behindDoc="1" locked="1" layoutInCell="1" allowOverlap="1" wp14:anchorId="3D54E673" wp14:editId="7D199FF1">
          <wp:simplePos x="0" y="0"/>
          <wp:positionH relativeFrom="page">
            <wp:align>center</wp:align>
          </wp:positionH>
          <wp:positionV relativeFrom="page">
            <wp:posOffset>180340</wp:posOffset>
          </wp:positionV>
          <wp:extent cx="7203600" cy="324000"/>
          <wp:effectExtent l="0" t="0" r="0" b="0"/>
          <wp:wrapNone/>
          <wp:docPr id="133" name="Pictur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1E9ACB" w14:textId="77777777" w:rsidR="003F01E6" w:rsidRDefault="003F01E6" w:rsidP="00F82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BF456" w14:textId="77777777" w:rsidR="003F01E6" w:rsidRDefault="003F01E6" w:rsidP="00687E64">
    <w:pPr>
      <w:rPr>
        <w:color w:val="auto"/>
        <w:sz w:val="20"/>
      </w:rPr>
    </w:pPr>
    <w:r>
      <w:rPr>
        <w:noProof/>
        <w:color w:val="auto"/>
        <w:sz w:val="20"/>
      </w:rPr>
      <w:drawing>
        <wp:anchor distT="0" distB="0" distL="114300" distR="114300" simplePos="0" relativeHeight="251658242" behindDoc="1" locked="1" layoutInCell="1" allowOverlap="1" wp14:anchorId="5B19DC68" wp14:editId="0A29655D">
          <wp:simplePos x="0" y="0"/>
          <wp:positionH relativeFrom="page">
            <wp:align>center</wp:align>
          </wp:positionH>
          <wp:positionV relativeFrom="page">
            <wp:posOffset>180340</wp:posOffset>
          </wp:positionV>
          <wp:extent cx="7203600" cy="324000"/>
          <wp:effectExtent l="0" t="0" r="0" b="0"/>
          <wp:wrapNone/>
          <wp:docPr id="131" name="Pictur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A4 Report Portrait Follower.png"/>
                  <pic:cNvPicPr/>
                </pic:nvPicPr>
                <pic:blipFill rotWithShape="1">
                  <a:blip r:embed="rId1">
                    <a:extLst>
                      <a:ext uri="{28A0092B-C50C-407E-A947-70E740481C1C}">
                        <a14:useLocalDpi xmlns:a14="http://schemas.microsoft.com/office/drawing/2010/main" val="0"/>
                      </a:ext>
                    </a:extLst>
                  </a:blip>
                  <a:srcRect t="35455"/>
                  <a:stretch/>
                </pic:blipFill>
                <pic:spPr bwMode="auto">
                  <a:xfrm>
                    <a:off x="0" y="0"/>
                    <a:ext cx="72036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197EC0" w14:textId="77777777" w:rsidR="003F01E6" w:rsidRDefault="003F0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98DE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num>
  <w:num w:numId="3">
    <w:abstractNumId w:val="22"/>
  </w:num>
  <w:num w:numId="4">
    <w:abstractNumId w:val="22"/>
  </w:num>
  <w:num w:numId="5">
    <w:abstractNumId w:val="22"/>
  </w:num>
  <w:num w:numId="6">
    <w:abstractNumId w:val="19"/>
  </w:num>
  <w:num w:numId="7">
    <w:abstractNumId w:val="25"/>
  </w:num>
  <w:num w:numId="8">
    <w:abstractNumId w:val="23"/>
  </w:num>
  <w:num w:numId="9">
    <w:abstractNumId w:val="13"/>
  </w:num>
  <w:num w:numId="10">
    <w:abstractNumId w:val="11"/>
  </w:num>
  <w:num w:numId="11">
    <w:abstractNumId w:val="12"/>
  </w:num>
  <w:num w:numId="12">
    <w:abstractNumId w:val="18"/>
  </w:num>
  <w:num w:numId="13">
    <w:abstractNumId w:val="16"/>
  </w:num>
  <w:num w:numId="14">
    <w:abstractNumId w:val="17"/>
  </w:num>
  <w:num w:numId="15">
    <w:abstractNumId w:val="0"/>
  </w:num>
  <w:num w:numId="16">
    <w:abstractNumId w:val="1"/>
  </w:num>
  <w:num w:numId="17">
    <w:abstractNumId w:val="2"/>
  </w:num>
  <w:num w:numId="18">
    <w:abstractNumId w:val="3"/>
  </w:num>
  <w:num w:numId="19">
    <w:abstractNumId w:val="4"/>
  </w:num>
  <w:num w:numId="20">
    <w:abstractNumId w:val="9"/>
  </w:num>
  <w:num w:numId="21">
    <w:abstractNumId w:val="5"/>
  </w:num>
  <w:num w:numId="22">
    <w:abstractNumId w:val="6"/>
  </w:num>
  <w:num w:numId="23">
    <w:abstractNumId w:val="7"/>
  </w:num>
  <w:num w:numId="24">
    <w:abstractNumId w:val="8"/>
  </w:num>
  <w:num w:numId="25">
    <w:abstractNumId w:val="10"/>
  </w:num>
  <w:num w:numId="26">
    <w:abstractNumId w:val="14"/>
  </w:num>
  <w:num w:numId="27">
    <w:abstractNumId w:val="15"/>
  </w:num>
  <w:num w:numId="28">
    <w:abstractNumId w:val="20"/>
  </w:num>
  <w:num w:numId="29">
    <w:abstractNumId w:val="24"/>
  </w:num>
  <w:num w:numId="30">
    <w:abstractNumId w:val="21"/>
  </w:num>
  <w:num w:numId="31">
    <w:abstractNumId w:val="23"/>
  </w:num>
  <w:num w:numId="32">
    <w:abstractNumId w:val="23"/>
  </w:num>
  <w:num w:numId="33">
    <w:abstractNumId w:val="23"/>
  </w:num>
  <w:num w:numId="34">
    <w:abstractNumId w:val="2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44"/>
    <w:rsid w:val="00002DEB"/>
    <w:rsid w:val="00005FC3"/>
    <w:rsid w:val="000060BC"/>
    <w:rsid w:val="0000762E"/>
    <w:rsid w:val="000107D8"/>
    <w:rsid w:val="000111FA"/>
    <w:rsid w:val="00012325"/>
    <w:rsid w:val="00012FE0"/>
    <w:rsid w:val="000132B9"/>
    <w:rsid w:val="00014F89"/>
    <w:rsid w:val="00015919"/>
    <w:rsid w:val="00020424"/>
    <w:rsid w:val="00020D10"/>
    <w:rsid w:val="000212A9"/>
    <w:rsid w:val="000215D5"/>
    <w:rsid w:val="000251FD"/>
    <w:rsid w:val="0002621E"/>
    <w:rsid w:val="00026688"/>
    <w:rsid w:val="00030906"/>
    <w:rsid w:val="000314C2"/>
    <w:rsid w:val="00033F29"/>
    <w:rsid w:val="00034053"/>
    <w:rsid w:val="0003405C"/>
    <w:rsid w:val="000412C1"/>
    <w:rsid w:val="0004322F"/>
    <w:rsid w:val="000432CD"/>
    <w:rsid w:val="00043BBD"/>
    <w:rsid w:val="00044DC5"/>
    <w:rsid w:val="000451BE"/>
    <w:rsid w:val="00047938"/>
    <w:rsid w:val="000521AD"/>
    <w:rsid w:val="000534D7"/>
    <w:rsid w:val="00057891"/>
    <w:rsid w:val="00060302"/>
    <w:rsid w:val="00062F38"/>
    <w:rsid w:val="000636CE"/>
    <w:rsid w:val="00063AD8"/>
    <w:rsid w:val="00065419"/>
    <w:rsid w:val="000658FF"/>
    <w:rsid w:val="000664EC"/>
    <w:rsid w:val="00070516"/>
    <w:rsid w:val="0007676C"/>
    <w:rsid w:val="000809CD"/>
    <w:rsid w:val="00081381"/>
    <w:rsid w:val="00083F3A"/>
    <w:rsid w:val="000872C7"/>
    <w:rsid w:val="00092854"/>
    <w:rsid w:val="00092AA7"/>
    <w:rsid w:val="000930DA"/>
    <w:rsid w:val="000955E4"/>
    <w:rsid w:val="00095B2D"/>
    <w:rsid w:val="00096152"/>
    <w:rsid w:val="00096810"/>
    <w:rsid w:val="000A0641"/>
    <w:rsid w:val="000A4A2D"/>
    <w:rsid w:val="000B2BD7"/>
    <w:rsid w:val="000B5CE2"/>
    <w:rsid w:val="000B7105"/>
    <w:rsid w:val="000B7F3A"/>
    <w:rsid w:val="000C2391"/>
    <w:rsid w:val="000D39ED"/>
    <w:rsid w:val="000D786A"/>
    <w:rsid w:val="000E29E3"/>
    <w:rsid w:val="000E39A7"/>
    <w:rsid w:val="000F0296"/>
    <w:rsid w:val="000F1439"/>
    <w:rsid w:val="000F6CFC"/>
    <w:rsid w:val="000F6D12"/>
    <w:rsid w:val="000F7643"/>
    <w:rsid w:val="00100367"/>
    <w:rsid w:val="001028CD"/>
    <w:rsid w:val="00102EAD"/>
    <w:rsid w:val="00106B24"/>
    <w:rsid w:val="00113226"/>
    <w:rsid w:val="00113AA9"/>
    <w:rsid w:val="00114620"/>
    <w:rsid w:val="00114B9C"/>
    <w:rsid w:val="0011519A"/>
    <w:rsid w:val="00117931"/>
    <w:rsid w:val="00123E4E"/>
    <w:rsid w:val="00125B59"/>
    <w:rsid w:val="001266CB"/>
    <w:rsid w:val="00127384"/>
    <w:rsid w:val="00130474"/>
    <w:rsid w:val="00130F43"/>
    <w:rsid w:val="00131CD6"/>
    <w:rsid w:val="00133F06"/>
    <w:rsid w:val="001344EC"/>
    <w:rsid w:val="00135B6F"/>
    <w:rsid w:val="001410ED"/>
    <w:rsid w:val="001417FE"/>
    <w:rsid w:val="00142F8E"/>
    <w:rsid w:val="00144058"/>
    <w:rsid w:val="001441F4"/>
    <w:rsid w:val="0014514C"/>
    <w:rsid w:val="00145250"/>
    <w:rsid w:val="0015110B"/>
    <w:rsid w:val="00152C85"/>
    <w:rsid w:val="00152EB9"/>
    <w:rsid w:val="001575E7"/>
    <w:rsid w:val="0016148B"/>
    <w:rsid w:val="00162799"/>
    <w:rsid w:val="00162CEF"/>
    <w:rsid w:val="00162E4C"/>
    <w:rsid w:val="00164024"/>
    <w:rsid w:val="00164461"/>
    <w:rsid w:val="00164987"/>
    <w:rsid w:val="00164FD6"/>
    <w:rsid w:val="001667AE"/>
    <w:rsid w:val="00166869"/>
    <w:rsid w:val="00166B20"/>
    <w:rsid w:val="00167CD4"/>
    <w:rsid w:val="00170458"/>
    <w:rsid w:val="00171E95"/>
    <w:rsid w:val="001774D2"/>
    <w:rsid w:val="00181199"/>
    <w:rsid w:val="00182CC9"/>
    <w:rsid w:val="0018464B"/>
    <w:rsid w:val="001858C2"/>
    <w:rsid w:val="00186158"/>
    <w:rsid w:val="001866AC"/>
    <w:rsid w:val="00186B61"/>
    <w:rsid w:val="00186E76"/>
    <w:rsid w:val="00187CBA"/>
    <w:rsid w:val="00190A16"/>
    <w:rsid w:val="00191498"/>
    <w:rsid w:val="00192CEC"/>
    <w:rsid w:val="00193DE5"/>
    <w:rsid w:val="001948C0"/>
    <w:rsid w:val="001961C0"/>
    <w:rsid w:val="0019792A"/>
    <w:rsid w:val="001A1439"/>
    <w:rsid w:val="001A2FC1"/>
    <w:rsid w:val="001A3148"/>
    <w:rsid w:val="001A653B"/>
    <w:rsid w:val="001A722C"/>
    <w:rsid w:val="001A7AED"/>
    <w:rsid w:val="001C03FA"/>
    <w:rsid w:val="001C2E83"/>
    <w:rsid w:val="001C6619"/>
    <w:rsid w:val="001C692E"/>
    <w:rsid w:val="001D0B38"/>
    <w:rsid w:val="001D1312"/>
    <w:rsid w:val="001D23D2"/>
    <w:rsid w:val="001E4B86"/>
    <w:rsid w:val="001E55D1"/>
    <w:rsid w:val="001E5D10"/>
    <w:rsid w:val="001F095A"/>
    <w:rsid w:val="001F0A49"/>
    <w:rsid w:val="001F2363"/>
    <w:rsid w:val="001F2373"/>
    <w:rsid w:val="001F2B79"/>
    <w:rsid w:val="001F330D"/>
    <w:rsid w:val="001F3D55"/>
    <w:rsid w:val="001F5861"/>
    <w:rsid w:val="001F76F6"/>
    <w:rsid w:val="001F7FE5"/>
    <w:rsid w:val="00200B91"/>
    <w:rsid w:val="002013D0"/>
    <w:rsid w:val="002022C8"/>
    <w:rsid w:val="002024DA"/>
    <w:rsid w:val="0021262D"/>
    <w:rsid w:val="00213285"/>
    <w:rsid w:val="00214165"/>
    <w:rsid w:val="002142E7"/>
    <w:rsid w:val="00215B3D"/>
    <w:rsid w:val="00216557"/>
    <w:rsid w:val="0022061D"/>
    <w:rsid w:val="00222125"/>
    <w:rsid w:val="0022523A"/>
    <w:rsid w:val="00232D48"/>
    <w:rsid w:val="00233DAC"/>
    <w:rsid w:val="0023479A"/>
    <w:rsid w:val="002374E9"/>
    <w:rsid w:val="00240644"/>
    <w:rsid w:val="00241809"/>
    <w:rsid w:val="00241B20"/>
    <w:rsid w:val="002431B1"/>
    <w:rsid w:val="0024428D"/>
    <w:rsid w:val="00245338"/>
    <w:rsid w:val="00247333"/>
    <w:rsid w:val="002541E8"/>
    <w:rsid w:val="0025554E"/>
    <w:rsid w:val="00256F78"/>
    <w:rsid w:val="0026007D"/>
    <w:rsid w:val="002645A3"/>
    <w:rsid w:val="00264BC9"/>
    <w:rsid w:val="00270CB2"/>
    <w:rsid w:val="00270F21"/>
    <w:rsid w:val="00275C41"/>
    <w:rsid w:val="002767EE"/>
    <w:rsid w:val="00277A1E"/>
    <w:rsid w:val="002837A9"/>
    <w:rsid w:val="002848F0"/>
    <w:rsid w:val="00284C52"/>
    <w:rsid w:val="002857D4"/>
    <w:rsid w:val="00291735"/>
    <w:rsid w:val="00292254"/>
    <w:rsid w:val="002930A9"/>
    <w:rsid w:val="00294079"/>
    <w:rsid w:val="00294DCD"/>
    <w:rsid w:val="002A29DB"/>
    <w:rsid w:val="002A307A"/>
    <w:rsid w:val="002A56CF"/>
    <w:rsid w:val="002A72B2"/>
    <w:rsid w:val="002B0A79"/>
    <w:rsid w:val="002B1E29"/>
    <w:rsid w:val="002B38ED"/>
    <w:rsid w:val="002B5841"/>
    <w:rsid w:val="002B7539"/>
    <w:rsid w:val="002B7653"/>
    <w:rsid w:val="002C2F1F"/>
    <w:rsid w:val="002C6992"/>
    <w:rsid w:val="002C69CF"/>
    <w:rsid w:val="002C7AED"/>
    <w:rsid w:val="002D1F76"/>
    <w:rsid w:val="002D34F5"/>
    <w:rsid w:val="002D71F5"/>
    <w:rsid w:val="002D75A4"/>
    <w:rsid w:val="002E03F3"/>
    <w:rsid w:val="002E04F8"/>
    <w:rsid w:val="002E3C2C"/>
    <w:rsid w:val="002E4014"/>
    <w:rsid w:val="002F4A8C"/>
    <w:rsid w:val="002F55B6"/>
    <w:rsid w:val="002F5A31"/>
    <w:rsid w:val="00300D80"/>
    <w:rsid w:val="00301C43"/>
    <w:rsid w:val="00304080"/>
    <w:rsid w:val="00305F1E"/>
    <w:rsid w:val="00305F89"/>
    <w:rsid w:val="00310454"/>
    <w:rsid w:val="00310672"/>
    <w:rsid w:val="003107A9"/>
    <w:rsid w:val="00311E13"/>
    <w:rsid w:val="00314142"/>
    <w:rsid w:val="00314EEC"/>
    <w:rsid w:val="00315020"/>
    <w:rsid w:val="003164B3"/>
    <w:rsid w:val="003169BE"/>
    <w:rsid w:val="003219ED"/>
    <w:rsid w:val="00322AE7"/>
    <w:rsid w:val="00324E2E"/>
    <w:rsid w:val="00331525"/>
    <w:rsid w:val="00335BE3"/>
    <w:rsid w:val="0034154A"/>
    <w:rsid w:val="00341F96"/>
    <w:rsid w:val="003425E3"/>
    <w:rsid w:val="00342D7B"/>
    <w:rsid w:val="00343560"/>
    <w:rsid w:val="0034620F"/>
    <w:rsid w:val="00347FA7"/>
    <w:rsid w:val="00351170"/>
    <w:rsid w:val="00353D57"/>
    <w:rsid w:val="00354391"/>
    <w:rsid w:val="00357998"/>
    <w:rsid w:val="00360237"/>
    <w:rsid w:val="003603BD"/>
    <w:rsid w:val="003628E3"/>
    <w:rsid w:val="00364674"/>
    <w:rsid w:val="00371FA0"/>
    <w:rsid w:val="003733D9"/>
    <w:rsid w:val="00375F08"/>
    <w:rsid w:val="003821B6"/>
    <w:rsid w:val="0038297E"/>
    <w:rsid w:val="00385428"/>
    <w:rsid w:val="00385A92"/>
    <w:rsid w:val="00390662"/>
    <w:rsid w:val="00390D74"/>
    <w:rsid w:val="00391253"/>
    <w:rsid w:val="00391A43"/>
    <w:rsid w:val="00394AB8"/>
    <w:rsid w:val="003A15FD"/>
    <w:rsid w:val="003A3DD6"/>
    <w:rsid w:val="003B0708"/>
    <w:rsid w:val="003B093E"/>
    <w:rsid w:val="003B31C0"/>
    <w:rsid w:val="003B37BD"/>
    <w:rsid w:val="003B4EE5"/>
    <w:rsid w:val="003B4F2D"/>
    <w:rsid w:val="003B54EC"/>
    <w:rsid w:val="003B5BE6"/>
    <w:rsid w:val="003B678B"/>
    <w:rsid w:val="003B7139"/>
    <w:rsid w:val="003C7ACC"/>
    <w:rsid w:val="003D14FD"/>
    <w:rsid w:val="003D26AC"/>
    <w:rsid w:val="003D4337"/>
    <w:rsid w:val="003D44AD"/>
    <w:rsid w:val="003D48D4"/>
    <w:rsid w:val="003E246D"/>
    <w:rsid w:val="003E43F1"/>
    <w:rsid w:val="003E46D3"/>
    <w:rsid w:val="003E55B0"/>
    <w:rsid w:val="003E5F9C"/>
    <w:rsid w:val="003E690A"/>
    <w:rsid w:val="003E732F"/>
    <w:rsid w:val="003E73DE"/>
    <w:rsid w:val="003E746F"/>
    <w:rsid w:val="003E7854"/>
    <w:rsid w:val="003F01E6"/>
    <w:rsid w:val="003F0692"/>
    <w:rsid w:val="003F4885"/>
    <w:rsid w:val="003F6411"/>
    <w:rsid w:val="003F7DAE"/>
    <w:rsid w:val="004006E9"/>
    <w:rsid w:val="00404071"/>
    <w:rsid w:val="00404828"/>
    <w:rsid w:val="004048BE"/>
    <w:rsid w:val="00412227"/>
    <w:rsid w:val="00414E38"/>
    <w:rsid w:val="00421E8D"/>
    <w:rsid w:val="00422F1C"/>
    <w:rsid w:val="00423B8E"/>
    <w:rsid w:val="00426B36"/>
    <w:rsid w:val="00427CBF"/>
    <w:rsid w:val="00431CED"/>
    <w:rsid w:val="004321EE"/>
    <w:rsid w:val="00433DD4"/>
    <w:rsid w:val="00435554"/>
    <w:rsid w:val="00435FCF"/>
    <w:rsid w:val="0043657E"/>
    <w:rsid w:val="004368D2"/>
    <w:rsid w:val="004371F6"/>
    <w:rsid w:val="00440DF0"/>
    <w:rsid w:val="0044522F"/>
    <w:rsid w:val="004463A8"/>
    <w:rsid w:val="004464C4"/>
    <w:rsid w:val="004477B6"/>
    <w:rsid w:val="00453F83"/>
    <w:rsid w:val="0045409E"/>
    <w:rsid w:val="00456170"/>
    <w:rsid w:val="004576A9"/>
    <w:rsid w:val="004602BE"/>
    <w:rsid w:val="00461D4E"/>
    <w:rsid w:val="004621A0"/>
    <w:rsid w:val="00463347"/>
    <w:rsid w:val="0047003A"/>
    <w:rsid w:val="00470915"/>
    <w:rsid w:val="0047306A"/>
    <w:rsid w:val="0047332C"/>
    <w:rsid w:val="00474D13"/>
    <w:rsid w:val="00475EF8"/>
    <w:rsid w:val="004837F1"/>
    <w:rsid w:val="004903D9"/>
    <w:rsid w:val="004A03D6"/>
    <w:rsid w:val="004A106A"/>
    <w:rsid w:val="004A147F"/>
    <w:rsid w:val="004A3B6E"/>
    <w:rsid w:val="004A49AB"/>
    <w:rsid w:val="004A510C"/>
    <w:rsid w:val="004A5CBB"/>
    <w:rsid w:val="004A63A3"/>
    <w:rsid w:val="004B017B"/>
    <w:rsid w:val="004B0997"/>
    <w:rsid w:val="004B2270"/>
    <w:rsid w:val="004B3C74"/>
    <w:rsid w:val="004B3FC2"/>
    <w:rsid w:val="004B4A05"/>
    <w:rsid w:val="004C0B2E"/>
    <w:rsid w:val="004C34B9"/>
    <w:rsid w:val="004C406F"/>
    <w:rsid w:val="004C5942"/>
    <w:rsid w:val="004D1608"/>
    <w:rsid w:val="004D2120"/>
    <w:rsid w:val="004D5C8C"/>
    <w:rsid w:val="004D653B"/>
    <w:rsid w:val="004D67E6"/>
    <w:rsid w:val="004E009B"/>
    <w:rsid w:val="004E4283"/>
    <w:rsid w:val="004E43C9"/>
    <w:rsid w:val="004E4C2C"/>
    <w:rsid w:val="004E4C95"/>
    <w:rsid w:val="004E53C4"/>
    <w:rsid w:val="004E5809"/>
    <w:rsid w:val="004E618C"/>
    <w:rsid w:val="004E6E29"/>
    <w:rsid w:val="004F10C7"/>
    <w:rsid w:val="004F1E91"/>
    <w:rsid w:val="004F21C3"/>
    <w:rsid w:val="004F6039"/>
    <w:rsid w:val="004F7019"/>
    <w:rsid w:val="004F72F9"/>
    <w:rsid w:val="005001F0"/>
    <w:rsid w:val="0050538D"/>
    <w:rsid w:val="005056FA"/>
    <w:rsid w:val="00506A93"/>
    <w:rsid w:val="00506B6E"/>
    <w:rsid w:val="00507392"/>
    <w:rsid w:val="005104E6"/>
    <w:rsid w:val="005163FE"/>
    <w:rsid w:val="005257C6"/>
    <w:rsid w:val="005276EB"/>
    <w:rsid w:val="00530789"/>
    <w:rsid w:val="00533A48"/>
    <w:rsid w:val="00535C23"/>
    <w:rsid w:val="00535D6A"/>
    <w:rsid w:val="00537F3D"/>
    <w:rsid w:val="005411D1"/>
    <w:rsid w:val="00545E23"/>
    <w:rsid w:val="00561799"/>
    <w:rsid w:val="00562684"/>
    <w:rsid w:val="005656A1"/>
    <w:rsid w:val="005723C8"/>
    <w:rsid w:val="00573AAE"/>
    <w:rsid w:val="00575F8D"/>
    <w:rsid w:val="00576315"/>
    <w:rsid w:val="00582F02"/>
    <w:rsid w:val="00585115"/>
    <w:rsid w:val="00585367"/>
    <w:rsid w:val="005871A2"/>
    <w:rsid w:val="00591895"/>
    <w:rsid w:val="00592D4F"/>
    <w:rsid w:val="00592E3F"/>
    <w:rsid w:val="00593597"/>
    <w:rsid w:val="00594A79"/>
    <w:rsid w:val="00595D86"/>
    <w:rsid w:val="005A0361"/>
    <w:rsid w:val="005A2D95"/>
    <w:rsid w:val="005A6D9F"/>
    <w:rsid w:val="005A7475"/>
    <w:rsid w:val="005A7D87"/>
    <w:rsid w:val="005B0150"/>
    <w:rsid w:val="005B0813"/>
    <w:rsid w:val="005B2087"/>
    <w:rsid w:val="005B3901"/>
    <w:rsid w:val="005B5151"/>
    <w:rsid w:val="005C02F9"/>
    <w:rsid w:val="005C0B75"/>
    <w:rsid w:val="005C3F81"/>
    <w:rsid w:val="005C4B55"/>
    <w:rsid w:val="005C4B93"/>
    <w:rsid w:val="005C7119"/>
    <w:rsid w:val="005C73C1"/>
    <w:rsid w:val="005D0FC8"/>
    <w:rsid w:val="005D1A98"/>
    <w:rsid w:val="005D4B13"/>
    <w:rsid w:val="005D4D8A"/>
    <w:rsid w:val="005D5E8D"/>
    <w:rsid w:val="005E284D"/>
    <w:rsid w:val="005F2A90"/>
    <w:rsid w:val="005F655D"/>
    <w:rsid w:val="005F66C6"/>
    <w:rsid w:val="005F6CE7"/>
    <w:rsid w:val="00604259"/>
    <w:rsid w:val="00604765"/>
    <w:rsid w:val="00604D7C"/>
    <w:rsid w:val="0060555E"/>
    <w:rsid w:val="00606B6E"/>
    <w:rsid w:val="00607F8D"/>
    <w:rsid w:val="006137FF"/>
    <w:rsid w:val="00614C5E"/>
    <w:rsid w:val="00615B38"/>
    <w:rsid w:val="006202B7"/>
    <w:rsid w:val="006213EE"/>
    <w:rsid w:val="00625114"/>
    <w:rsid w:val="00627162"/>
    <w:rsid w:val="00630051"/>
    <w:rsid w:val="0063087F"/>
    <w:rsid w:val="00634F76"/>
    <w:rsid w:val="006378D0"/>
    <w:rsid w:val="00644924"/>
    <w:rsid w:val="00646050"/>
    <w:rsid w:val="0064636E"/>
    <w:rsid w:val="00647B7F"/>
    <w:rsid w:val="006507E6"/>
    <w:rsid w:val="00651317"/>
    <w:rsid w:val="00651893"/>
    <w:rsid w:val="00652DCB"/>
    <w:rsid w:val="006535CE"/>
    <w:rsid w:val="0065497E"/>
    <w:rsid w:val="00654A33"/>
    <w:rsid w:val="0065551D"/>
    <w:rsid w:val="00663E63"/>
    <w:rsid w:val="006646A8"/>
    <w:rsid w:val="006664B6"/>
    <w:rsid w:val="00671275"/>
    <w:rsid w:val="00673EDB"/>
    <w:rsid w:val="00675C3E"/>
    <w:rsid w:val="00676558"/>
    <w:rsid w:val="00676E26"/>
    <w:rsid w:val="00677E57"/>
    <w:rsid w:val="00684E9F"/>
    <w:rsid w:val="00686568"/>
    <w:rsid w:val="00687148"/>
    <w:rsid w:val="00687E64"/>
    <w:rsid w:val="006905F9"/>
    <w:rsid w:val="00696044"/>
    <w:rsid w:val="00696640"/>
    <w:rsid w:val="006A052A"/>
    <w:rsid w:val="006A2FFA"/>
    <w:rsid w:val="006A36B1"/>
    <w:rsid w:val="006A3F7E"/>
    <w:rsid w:val="006A4825"/>
    <w:rsid w:val="006A6607"/>
    <w:rsid w:val="006A7C8A"/>
    <w:rsid w:val="006B28F8"/>
    <w:rsid w:val="006B4AB9"/>
    <w:rsid w:val="006B778A"/>
    <w:rsid w:val="006C0B5D"/>
    <w:rsid w:val="006C0F74"/>
    <w:rsid w:val="006C24B3"/>
    <w:rsid w:val="006C26AC"/>
    <w:rsid w:val="006C291D"/>
    <w:rsid w:val="006C31B1"/>
    <w:rsid w:val="006C4DC5"/>
    <w:rsid w:val="006C7DEC"/>
    <w:rsid w:val="006D4CD5"/>
    <w:rsid w:val="006D5510"/>
    <w:rsid w:val="006E2874"/>
    <w:rsid w:val="006E302B"/>
    <w:rsid w:val="006E52DB"/>
    <w:rsid w:val="006E54EB"/>
    <w:rsid w:val="006E5E25"/>
    <w:rsid w:val="006E6885"/>
    <w:rsid w:val="006E7A8C"/>
    <w:rsid w:val="006F01F2"/>
    <w:rsid w:val="006F0E7E"/>
    <w:rsid w:val="006F0ECE"/>
    <w:rsid w:val="006F10E7"/>
    <w:rsid w:val="006F1AA2"/>
    <w:rsid w:val="006F26E7"/>
    <w:rsid w:val="006F6135"/>
    <w:rsid w:val="006F6E52"/>
    <w:rsid w:val="00700B64"/>
    <w:rsid w:val="007031D4"/>
    <w:rsid w:val="00703992"/>
    <w:rsid w:val="00704AF9"/>
    <w:rsid w:val="0070764B"/>
    <w:rsid w:val="00707F05"/>
    <w:rsid w:val="00710763"/>
    <w:rsid w:val="00710C9F"/>
    <w:rsid w:val="00720471"/>
    <w:rsid w:val="00720991"/>
    <w:rsid w:val="00721E1F"/>
    <w:rsid w:val="0072425B"/>
    <w:rsid w:val="00724531"/>
    <w:rsid w:val="00730369"/>
    <w:rsid w:val="007307BC"/>
    <w:rsid w:val="00734911"/>
    <w:rsid w:val="007366F7"/>
    <w:rsid w:val="00736C9D"/>
    <w:rsid w:val="00740629"/>
    <w:rsid w:val="00741643"/>
    <w:rsid w:val="00741A93"/>
    <w:rsid w:val="007431E7"/>
    <w:rsid w:val="007444DD"/>
    <w:rsid w:val="007447A1"/>
    <w:rsid w:val="00747C75"/>
    <w:rsid w:val="00750202"/>
    <w:rsid w:val="0075107F"/>
    <w:rsid w:val="007522BB"/>
    <w:rsid w:val="00753F7D"/>
    <w:rsid w:val="00755F60"/>
    <w:rsid w:val="00756914"/>
    <w:rsid w:val="00756EAF"/>
    <w:rsid w:val="007613B6"/>
    <w:rsid w:val="007646AA"/>
    <w:rsid w:val="00767CC1"/>
    <w:rsid w:val="00770803"/>
    <w:rsid w:val="00771777"/>
    <w:rsid w:val="0077274F"/>
    <w:rsid w:val="00772D4F"/>
    <w:rsid w:val="00773DAE"/>
    <w:rsid w:val="00780E81"/>
    <w:rsid w:val="0078298F"/>
    <w:rsid w:val="00782BFE"/>
    <w:rsid w:val="00782C92"/>
    <w:rsid w:val="007839ED"/>
    <w:rsid w:val="0079062F"/>
    <w:rsid w:val="007930D2"/>
    <w:rsid w:val="00794237"/>
    <w:rsid w:val="007953C5"/>
    <w:rsid w:val="00796C2A"/>
    <w:rsid w:val="007972EC"/>
    <w:rsid w:val="00797FE6"/>
    <w:rsid w:val="007A1F63"/>
    <w:rsid w:val="007A307A"/>
    <w:rsid w:val="007A36B9"/>
    <w:rsid w:val="007B07F8"/>
    <w:rsid w:val="007B2590"/>
    <w:rsid w:val="007B4719"/>
    <w:rsid w:val="007B4FCE"/>
    <w:rsid w:val="007B6179"/>
    <w:rsid w:val="007B735B"/>
    <w:rsid w:val="007C02BA"/>
    <w:rsid w:val="007C0FD3"/>
    <w:rsid w:val="007C1287"/>
    <w:rsid w:val="007C448B"/>
    <w:rsid w:val="007D40B8"/>
    <w:rsid w:val="007D54D8"/>
    <w:rsid w:val="007E01B3"/>
    <w:rsid w:val="007E0AA4"/>
    <w:rsid w:val="007E4BC4"/>
    <w:rsid w:val="007E6EA0"/>
    <w:rsid w:val="007F03AE"/>
    <w:rsid w:val="007F0E1B"/>
    <w:rsid w:val="007F1F27"/>
    <w:rsid w:val="007F2927"/>
    <w:rsid w:val="007F2F2B"/>
    <w:rsid w:val="007F3187"/>
    <w:rsid w:val="007F5ED8"/>
    <w:rsid w:val="007F6DC9"/>
    <w:rsid w:val="00800097"/>
    <w:rsid w:val="008027EC"/>
    <w:rsid w:val="008039A7"/>
    <w:rsid w:val="00805E7C"/>
    <w:rsid w:val="00810194"/>
    <w:rsid w:val="00814984"/>
    <w:rsid w:val="008151D9"/>
    <w:rsid w:val="00815B17"/>
    <w:rsid w:val="0081640D"/>
    <w:rsid w:val="00821D06"/>
    <w:rsid w:val="008240BD"/>
    <w:rsid w:val="00825559"/>
    <w:rsid w:val="00827103"/>
    <w:rsid w:val="00830467"/>
    <w:rsid w:val="00831511"/>
    <w:rsid w:val="00832941"/>
    <w:rsid w:val="00836971"/>
    <w:rsid w:val="00836D8A"/>
    <w:rsid w:val="00843968"/>
    <w:rsid w:val="00843F2C"/>
    <w:rsid w:val="00846E82"/>
    <w:rsid w:val="008475A2"/>
    <w:rsid w:val="00851293"/>
    <w:rsid w:val="008528E9"/>
    <w:rsid w:val="00854053"/>
    <w:rsid w:val="00854DB7"/>
    <w:rsid w:val="00855BBE"/>
    <w:rsid w:val="00855D60"/>
    <w:rsid w:val="008571B4"/>
    <w:rsid w:val="00857252"/>
    <w:rsid w:val="008579BA"/>
    <w:rsid w:val="00864B2F"/>
    <w:rsid w:val="0086526A"/>
    <w:rsid w:val="00867A3C"/>
    <w:rsid w:val="0087121B"/>
    <w:rsid w:val="00871981"/>
    <w:rsid w:val="00871E52"/>
    <w:rsid w:val="008730BD"/>
    <w:rsid w:val="0087430D"/>
    <w:rsid w:val="00883691"/>
    <w:rsid w:val="00884639"/>
    <w:rsid w:val="00887A94"/>
    <w:rsid w:val="00890557"/>
    <w:rsid w:val="00892F06"/>
    <w:rsid w:val="008943DD"/>
    <w:rsid w:val="008950EC"/>
    <w:rsid w:val="0089567B"/>
    <w:rsid w:val="00895CA9"/>
    <w:rsid w:val="008A04AB"/>
    <w:rsid w:val="008A423A"/>
    <w:rsid w:val="008A5E95"/>
    <w:rsid w:val="008A61E7"/>
    <w:rsid w:val="008B07F3"/>
    <w:rsid w:val="008B36D3"/>
    <w:rsid w:val="008B4117"/>
    <w:rsid w:val="008B49DE"/>
    <w:rsid w:val="008C031F"/>
    <w:rsid w:val="008C13B1"/>
    <w:rsid w:val="008C4945"/>
    <w:rsid w:val="008C4FAE"/>
    <w:rsid w:val="008C77C3"/>
    <w:rsid w:val="008D1C11"/>
    <w:rsid w:val="008D3981"/>
    <w:rsid w:val="008D6D25"/>
    <w:rsid w:val="008D72D6"/>
    <w:rsid w:val="008E0344"/>
    <w:rsid w:val="008E34C0"/>
    <w:rsid w:val="008E45EE"/>
    <w:rsid w:val="008E4A82"/>
    <w:rsid w:val="008F0A92"/>
    <w:rsid w:val="008F0D71"/>
    <w:rsid w:val="008F256F"/>
    <w:rsid w:val="008F5073"/>
    <w:rsid w:val="008F6252"/>
    <w:rsid w:val="008F6E95"/>
    <w:rsid w:val="008F7D9E"/>
    <w:rsid w:val="00902133"/>
    <w:rsid w:val="00902FC6"/>
    <w:rsid w:val="00903239"/>
    <w:rsid w:val="00906091"/>
    <w:rsid w:val="00907F21"/>
    <w:rsid w:val="00913117"/>
    <w:rsid w:val="00914428"/>
    <w:rsid w:val="00914E64"/>
    <w:rsid w:val="00916762"/>
    <w:rsid w:val="0092170E"/>
    <w:rsid w:val="00921A00"/>
    <w:rsid w:val="009220F8"/>
    <w:rsid w:val="00925473"/>
    <w:rsid w:val="0092779D"/>
    <w:rsid w:val="00931AAF"/>
    <w:rsid w:val="0093205D"/>
    <w:rsid w:val="009324C3"/>
    <w:rsid w:val="009338A0"/>
    <w:rsid w:val="00934A59"/>
    <w:rsid w:val="00936EF9"/>
    <w:rsid w:val="0093702D"/>
    <w:rsid w:val="009403DF"/>
    <w:rsid w:val="009410D4"/>
    <w:rsid w:val="00942086"/>
    <w:rsid w:val="00942C3E"/>
    <w:rsid w:val="009471E8"/>
    <w:rsid w:val="00950DDE"/>
    <w:rsid w:val="009556B1"/>
    <w:rsid w:val="00957393"/>
    <w:rsid w:val="00957711"/>
    <w:rsid w:val="00957CFA"/>
    <w:rsid w:val="00961C45"/>
    <w:rsid w:val="00961E35"/>
    <w:rsid w:val="00963421"/>
    <w:rsid w:val="009654F2"/>
    <w:rsid w:val="00965A99"/>
    <w:rsid w:val="00965E6E"/>
    <w:rsid w:val="009660A3"/>
    <w:rsid w:val="00967070"/>
    <w:rsid w:val="00970C93"/>
    <w:rsid w:val="009729B3"/>
    <w:rsid w:val="00974135"/>
    <w:rsid w:val="009749A5"/>
    <w:rsid w:val="00975259"/>
    <w:rsid w:val="00975824"/>
    <w:rsid w:val="00975F0E"/>
    <w:rsid w:val="00982AAF"/>
    <w:rsid w:val="00983FCB"/>
    <w:rsid w:val="00992AA9"/>
    <w:rsid w:val="009958A3"/>
    <w:rsid w:val="009960AA"/>
    <w:rsid w:val="009A1A15"/>
    <w:rsid w:val="009A3188"/>
    <w:rsid w:val="009A4F6C"/>
    <w:rsid w:val="009A7E2C"/>
    <w:rsid w:val="009B05FD"/>
    <w:rsid w:val="009B079D"/>
    <w:rsid w:val="009B3721"/>
    <w:rsid w:val="009B3A49"/>
    <w:rsid w:val="009B53D0"/>
    <w:rsid w:val="009B70B5"/>
    <w:rsid w:val="009C1A57"/>
    <w:rsid w:val="009C2EAA"/>
    <w:rsid w:val="009C3140"/>
    <w:rsid w:val="009C6EB9"/>
    <w:rsid w:val="009C793E"/>
    <w:rsid w:val="009D25ED"/>
    <w:rsid w:val="009D3D1E"/>
    <w:rsid w:val="009D44FC"/>
    <w:rsid w:val="009D4D9F"/>
    <w:rsid w:val="009D4E57"/>
    <w:rsid w:val="009D6568"/>
    <w:rsid w:val="009E0B3D"/>
    <w:rsid w:val="009E2A73"/>
    <w:rsid w:val="009E2D7A"/>
    <w:rsid w:val="009E3E7A"/>
    <w:rsid w:val="009E5C67"/>
    <w:rsid w:val="009E692C"/>
    <w:rsid w:val="009F2E4A"/>
    <w:rsid w:val="009F4827"/>
    <w:rsid w:val="009F4FBB"/>
    <w:rsid w:val="009F7AA9"/>
    <w:rsid w:val="00A003A1"/>
    <w:rsid w:val="00A013D3"/>
    <w:rsid w:val="00A02583"/>
    <w:rsid w:val="00A05179"/>
    <w:rsid w:val="00A0555A"/>
    <w:rsid w:val="00A0687D"/>
    <w:rsid w:val="00A069C8"/>
    <w:rsid w:val="00A07141"/>
    <w:rsid w:val="00A07DF2"/>
    <w:rsid w:val="00A11752"/>
    <w:rsid w:val="00A131D5"/>
    <w:rsid w:val="00A143AE"/>
    <w:rsid w:val="00A1590C"/>
    <w:rsid w:val="00A1596E"/>
    <w:rsid w:val="00A17119"/>
    <w:rsid w:val="00A2153D"/>
    <w:rsid w:val="00A22727"/>
    <w:rsid w:val="00A22F97"/>
    <w:rsid w:val="00A263AC"/>
    <w:rsid w:val="00A27508"/>
    <w:rsid w:val="00A34096"/>
    <w:rsid w:val="00A40738"/>
    <w:rsid w:val="00A40FEC"/>
    <w:rsid w:val="00A41126"/>
    <w:rsid w:val="00A41A0F"/>
    <w:rsid w:val="00A42512"/>
    <w:rsid w:val="00A465E3"/>
    <w:rsid w:val="00A524C9"/>
    <w:rsid w:val="00A52815"/>
    <w:rsid w:val="00A529EA"/>
    <w:rsid w:val="00A534BC"/>
    <w:rsid w:val="00A5632E"/>
    <w:rsid w:val="00A60443"/>
    <w:rsid w:val="00A60887"/>
    <w:rsid w:val="00A60CFD"/>
    <w:rsid w:val="00A6196F"/>
    <w:rsid w:val="00A7035B"/>
    <w:rsid w:val="00A71CA3"/>
    <w:rsid w:val="00A7370B"/>
    <w:rsid w:val="00A7758D"/>
    <w:rsid w:val="00A776F5"/>
    <w:rsid w:val="00A80832"/>
    <w:rsid w:val="00A80C1E"/>
    <w:rsid w:val="00A820FB"/>
    <w:rsid w:val="00A8223D"/>
    <w:rsid w:val="00A83A1A"/>
    <w:rsid w:val="00A86AFB"/>
    <w:rsid w:val="00A94CD5"/>
    <w:rsid w:val="00A953C1"/>
    <w:rsid w:val="00AA1BEE"/>
    <w:rsid w:val="00AA40B1"/>
    <w:rsid w:val="00AA44D7"/>
    <w:rsid w:val="00AA4B25"/>
    <w:rsid w:val="00AB014D"/>
    <w:rsid w:val="00AB13FA"/>
    <w:rsid w:val="00AB1D65"/>
    <w:rsid w:val="00AB2E25"/>
    <w:rsid w:val="00AB47A3"/>
    <w:rsid w:val="00AB6F7C"/>
    <w:rsid w:val="00AB7915"/>
    <w:rsid w:val="00AC1FA2"/>
    <w:rsid w:val="00AC27B1"/>
    <w:rsid w:val="00AC5DC6"/>
    <w:rsid w:val="00AC7506"/>
    <w:rsid w:val="00AD211E"/>
    <w:rsid w:val="00AD6A06"/>
    <w:rsid w:val="00AD7309"/>
    <w:rsid w:val="00AD7D61"/>
    <w:rsid w:val="00AE24C0"/>
    <w:rsid w:val="00AE4A46"/>
    <w:rsid w:val="00AE4F9B"/>
    <w:rsid w:val="00AE6758"/>
    <w:rsid w:val="00AF152C"/>
    <w:rsid w:val="00AF231D"/>
    <w:rsid w:val="00AF23D6"/>
    <w:rsid w:val="00AF30EC"/>
    <w:rsid w:val="00AF41CA"/>
    <w:rsid w:val="00B0101C"/>
    <w:rsid w:val="00B02715"/>
    <w:rsid w:val="00B0294B"/>
    <w:rsid w:val="00B06E85"/>
    <w:rsid w:val="00B12372"/>
    <w:rsid w:val="00B14DDB"/>
    <w:rsid w:val="00B164F8"/>
    <w:rsid w:val="00B16CD9"/>
    <w:rsid w:val="00B2124D"/>
    <w:rsid w:val="00B21471"/>
    <w:rsid w:val="00B31B07"/>
    <w:rsid w:val="00B33997"/>
    <w:rsid w:val="00B33D08"/>
    <w:rsid w:val="00B34372"/>
    <w:rsid w:val="00B349EC"/>
    <w:rsid w:val="00B356A0"/>
    <w:rsid w:val="00B36F10"/>
    <w:rsid w:val="00B41B4F"/>
    <w:rsid w:val="00B41DE5"/>
    <w:rsid w:val="00B43C02"/>
    <w:rsid w:val="00B44D27"/>
    <w:rsid w:val="00B45C7D"/>
    <w:rsid w:val="00B466B0"/>
    <w:rsid w:val="00B47855"/>
    <w:rsid w:val="00B5046E"/>
    <w:rsid w:val="00B50790"/>
    <w:rsid w:val="00B51A2C"/>
    <w:rsid w:val="00B5424B"/>
    <w:rsid w:val="00B55670"/>
    <w:rsid w:val="00B575F9"/>
    <w:rsid w:val="00B6047B"/>
    <w:rsid w:val="00B62A2A"/>
    <w:rsid w:val="00B62BF1"/>
    <w:rsid w:val="00B63B43"/>
    <w:rsid w:val="00B63D58"/>
    <w:rsid w:val="00B6459F"/>
    <w:rsid w:val="00B6566B"/>
    <w:rsid w:val="00B67233"/>
    <w:rsid w:val="00B71016"/>
    <w:rsid w:val="00B81FA3"/>
    <w:rsid w:val="00B820DC"/>
    <w:rsid w:val="00B83FEC"/>
    <w:rsid w:val="00B863CD"/>
    <w:rsid w:val="00B86743"/>
    <w:rsid w:val="00B87DC6"/>
    <w:rsid w:val="00B938A7"/>
    <w:rsid w:val="00B93EF5"/>
    <w:rsid w:val="00B93FD6"/>
    <w:rsid w:val="00B941C9"/>
    <w:rsid w:val="00B96176"/>
    <w:rsid w:val="00B961A3"/>
    <w:rsid w:val="00B97001"/>
    <w:rsid w:val="00B973EE"/>
    <w:rsid w:val="00B97812"/>
    <w:rsid w:val="00BA34BE"/>
    <w:rsid w:val="00BA390F"/>
    <w:rsid w:val="00BA70A6"/>
    <w:rsid w:val="00BB30B3"/>
    <w:rsid w:val="00BC3D72"/>
    <w:rsid w:val="00BC4329"/>
    <w:rsid w:val="00BC4ABE"/>
    <w:rsid w:val="00BC4B89"/>
    <w:rsid w:val="00BD036E"/>
    <w:rsid w:val="00BD1FD5"/>
    <w:rsid w:val="00BD2DC2"/>
    <w:rsid w:val="00BD409A"/>
    <w:rsid w:val="00BD578C"/>
    <w:rsid w:val="00BD68BB"/>
    <w:rsid w:val="00BD7291"/>
    <w:rsid w:val="00BE0BCB"/>
    <w:rsid w:val="00BE131F"/>
    <w:rsid w:val="00BE2885"/>
    <w:rsid w:val="00BF2BA6"/>
    <w:rsid w:val="00BF3A31"/>
    <w:rsid w:val="00BF533D"/>
    <w:rsid w:val="00BF6DF1"/>
    <w:rsid w:val="00BF70EB"/>
    <w:rsid w:val="00C003C2"/>
    <w:rsid w:val="00C11767"/>
    <w:rsid w:val="00C122E4"/>
    <w:rsid w:val="00C155EC"/>
    <w:rsid w:val="00C16A2A"/>
    <w:rsid w:val="00C20438"/>
    <w:rsid w:val="00C20974"/>
    <w:rsid w:val="00C20AFF"/>
    <w:rsid w:val="00C23F4A"/>
    <w:rsid w:val="00C41BE2"/>
    <w:rsid w:val="00C4248F"/>
    <w:rsid w:val="00C436CA"/>
    <w:rsid w:val="00C44540"/>
    <w:rsid w:val="00C44C95"/>
    <w:rsid w:val="00C56C97"/>
    <w:rsid w:val="00C61F44"/>
    <w:rsid w:val="00C628D2"/>
    <w:rsid w:val="00C6315B"/>
    <w:rsid w:val="00C635E2"/>
    <w:rsid w:val="00C63BDC"/>
    <w:rsid w:val="00C661C2"/>
    <w:rsid w:val="00C675A9"/>
    <w:rsid w:val="00C73282"/>
    <w:rsid w:val="00C7376D"/>
    <w:rsid w:val="00C8011E"/>
    <w:rsid w:val="00C80E10"/>
    <w:rsid w:val="00C81B4E"/>
    <w:rsid w:val="00C829C6"/>
    <w:rsid w:val="00C83E7A"/>
    <w:rsid w:val="00C8588C"/>
    <w:rsid w:val="00C8700E"/>
    <w:rsid w:val="00C90EB6"/>
    <w:rsid w:val="00C913E6"/>
    <w:rsid w:val="00C9391C"/>
    <w:rsid w:val="00C943BA"/>
    <w:rsid w:val="00CA422D"/>
    <w:rsid w:val="00CA59D5"/>
    <w:rsid w:val="00CA775C"/>
    <w:rsid w:val="00CB16D2"/>
    <w:rsid w:val="00CB2E4E"/>
    <w:rsid w:val="00CB2F67"/>
    <w:rsid w:val="00CB3558"/>
    <w:rsid w:val="00CB4A0F"/>
    <w:rsid w:val="00CB6736"/>
    <w:rsid w:val="00CB6FDB"/>
    <w:rsid w:val="00CB73CA"/>
    <w:rsid w:val="00CC04F3"/>
    <w:rsid w:val="00CC227D"/>
    <w:rsid w:val="00CC2E1F"/>
    <w:rsid w:val="00CC5AC6"/>
    <w:rsid w:val="00CC72D9"/>
    <w:rsid w:val="00CC7CE7"/>
    <w:rsid w:val="00CD5F8B"/>
    <w:rsid w:val="00CD7E6A"/>
    <w:rsid w:val="00CE05B7"/>
    <w:rsid w:val="00CE086D"/>
    <w:rsid w:val="00CE2D56"/>
    <w:rsid w:val="00CE355E"/>
    <w:rsid w:val="00CE50FB"/>
    <w:rsid w:val="00CE520B"/>
    <w:rsid w:val="00CF2638"/>
    <w:rsid w:val="00CF3770"/>
    <w:rsid w:val="00CF6DCC"/>
    <w:rsid w:val="00CF6EB4"/>
    <w:rsid w:val="00CF7C55"/>
    <w:rsid w:val="00D025FC"/>
    <w:rsid w:val="00D034B7"/>
    <w:rsid w:val="00D05953"/>
    <w:rsid w:val="00D06B6F"/>
    <w:rsid w:val="00D120F8"/>
    <w:rsid w:val="00D12CF7"/>
    <w:rsid w:val="00D13E6F"/>
    <w:rsid w:val="00D157BA"/>
    <w:rsid w:val="00D174D6"/>
    <w:rsid w:val="00D22216"/>
    <w:rsid w:val="00D22564"/>
    <w:rsid w:val="00D236F5"/>
    <w:rsid w:val="00D308D4"/>
    <w:rsid w:val="00D3113A"/>
    <w:rsid w:val="00D31B11"/>
    <w:rsid w:val="00D322AF"/>
    <w:rsid w:val="00D344A7"/>
    <w:rsid w:val="00D37245"/>
    <w:rsid w:val="00D43004"/>
    <w:rsid w:val="00D4524D"/>
    <w:rsid w:val="00D4676E"/>
    <w:rsid w:val="00D51DA0"/>
    <w:rsid w:val="00D6336C"/>
    <w:rsid w:val="00D634D4"/>
    <w:rsid w:val="00D6472A"/>
    <w:rsid w:val="00D651F4"/>
    <w:rsid w:val="00D6530D"/>
    <w:rsid w:val="00D71AE7"/>
    <w:rsid w:val="00D729FA"/>
    <w:rsid w:val="00D7400A"/>
    <w:rsid w:val="00D75895"/>
    <w:rsid w:val="00D76844"/>
    <w:rsid w:val="00D771E2"/>
    <w:rsid w:val="00D77CB3"/>
    <w:rsid w:val="00D82CFF"/>
    <w:rsid w:val="00D8542D"/>
    <w:rsid w:val="00D86581"/>
    <w:rsid w:val="00D91709"/>
    <w:rsid w:val="00D92571"/>
    <w:rsid w:val="00D9316B"/>
    <w:rsid w:val="00D93DB9"/>
    <w:rsid w:val="00D94429"/>
    <w:rsid w:val="00D95830"/>
    <w:rsid w:val="00D96C1E"/>
    <w:rsid w:val="00DA037F"/>
    <w:rsid w:val="00DA0941"/>
    <w:rsid w:val="00DA1F97"/>
    <w:rsid w:val="00DA21B6"/>
    <w:rsid w:val="00DA6EFC"/>
    <w:rsid w:val="00DB0AAF"/>
    <w:rsid w:val="00DB0DED"/>
    <w:rsid w:val="00DB1E27"/>
    <w:rsid w:val="00DB26D5"/>
    <w:rsid w:val="00DB2A37"/>
    <w:rsid w:val="00DB4BF4"/>
    <w:rsid w:val="00DB681D"/>
    <w:rsid w:val="00DC4912"/>
    <w:rsid w:val="00DC5197"/>
    <w:rsid w:val="00DC615E"/>
    <w:rsid w:val="00DC79DA"/>
    <w:rsid w:val="00DD0DB7"/>
    <w:rsid w:val="00DD12EE"/>
    <w:rsid w:val="00DD35E6"/>
    <w:rsid w:val="00DD42FE"/>
    <w:rsid w:val="00DD5F3B"/>
    <w:rsid w:val="00DD6894"/>
    <w:rsid w:val="00DE1B27"/>
    <w:rsid w:val="00DE3525"/>
    <w:rsid w:val="00DE380B"/>
    <w:rsid w:val="00DE3A80"/>
    <w:rsid w:val="00DE4231"/>
    <w:rsid w:val="00DE4FC8"/>
    <w:rsid w:val="00DE5D59"/>
    <w:rsid w:val="00DE623C"/>
    <w:rsid w:val="00DE6EC4"/>
    <w:rsid w:val="00DF1B7B"/>
    <w:rsid w:val="00DF529E"/>
    <w:rsid w:val="00DF530A"/>
    <w:rsid w:val="00DF5DAC"/>
    <w:rsid w:val="00DF6190"/>
    <w:rsid w:val="00DF6DB3"/>
    <w:rsid w:val="00DF7534"/>
    <w:rsid w:val="00E00D12"/>
    <w:rsid w:val="00E017A7"/>
    <w:rsid w:val="00E02831"/>
    <w:rsid w:val="00E0372F"/>
    <w:rsid w:val="00E039EA"/>
    <w:rsid w:val="00E0568B"/>
    <w:rsid w:val="00E06AEF"/>
    <w:rsid w:val="00E06D21"/>
    <w:rsid w:val="00E10C62"/>
    <w:rsid w:val="00E13566"/>
    <w:rsid w:val="00E15881"/>
    <w:rsid w:val="00E15883"/>
    <w:rsid w:val="00E15A00"/>
    <w:rsid w:val="00E17614"/>
    <w:rsid w:val="00E20D0C"/>
    <w:rsid w:val="00E2142B"/>
    <w:rsid w:val="00E22A18"/>
    <w:rsid w:val="00E22DF6"/>
    <w:rsid w:val="00E25444"/>
    <w:rsid w:val="00E2583B"/>
    <w:rsid w:val="00E25EE1"/>
    <w:rsid w:val="00E26456"/>
    <w:rsid w:val="00E26D64"/>
    <w:rsid w:val="00E26E05"/>
    <w:rsid w:val="00E31099"/>
    <w:rsid w:val="00E314FA"/>
    <w:rsid w:val="00E31E09"/>
    <w:rsid w:val="00E32AD3"/>
    <w:rsid w:val="00E354A3"/>
    <w:rsid w:val="00E35E26"/>
    <w:rsid w:val="00E369F5"/>
    <w:rsid w:val="00E42772"/>
    <w:rsid w:val="00E430BA"/>
    <w:rsid w:val="00E44C17"/>
    <w:rsid w:val="00E45030"/>
    <w:rsid w:val="00E45D83"/>
    <w:rsid w:val="00E46087"/>
    <w:rsid w:val="00E50B01"/>
    <w:rsid w:val="00E51EA5"/>
    <w:rsid w:val="00E5567F"/>
    <w:rsid w:val="00E55DE7"/>
    <w:rsid w:val="00E569F0"/>
    <w:rsid w:val="00E57C8F"/>
    <w:rsid w:val="00E64C42"/>
    <w:rsid w:val="00E667BA"/>
    <w:rsid w:val="00E7069F"/>
    <w:rsid w:val="00E72A0D"/>
    <w:rsid w:val="00E806E9"/>
    <w:rsid w:val="00E85CDC"/>
    <w:rsid w:val="00E94966"/>
    <w:rsid w:val="00E97387"/>
    <w:rsid w:val="00E978AB"/>
    <w:rsid w:val="00EA094B"/>
    <w:rsid w:val="00EA1574"/>
    <w:rsid w:val="00EA1BDF"/>
    <w:rsid w:val="00EA4A4F"/>
    <w:rsid w:val="00EA6126"/>
    <w:rsid w:val="00EA6A2A"/>
    <w:rsid w:val="00EB1F33"/>
    <w:rsid w:val="00EB1FAF"/>
    <w:rsid w:val="00EB2544"/>
    <w:rsid w:val="00EB3A70"/>
    <w:rsid w:val="00EB5CE6"/>
    <w:rsid w:val="00EB6E9B"/>
    <w:rsid w:val="00EB723D"/>
    <w:rsid w:val="00EC025F"/>
    <w:rsid w:val="00EC1A3B"/>
    <w:rsid w:val="00EC2208"/>
    <w:rsid w:val="00EC27C1"/>
    <w:rsid w:val="00EC38D2"/>
    <w:rsid w:val="00EC7098"/>
    <w:rsid w:val="00EC7194"/>
    <w:rsid w:val="00ED316D"/>
    <w:rsid w:val="00ED408C"/>
    <w:rsid w:val="00ED5C66"/>
    <w:rsid w:val="00ED7FC5"/>
    <w:rsid w:val="00EE00A0"/>
    <w:rsid w:val="00EE1BC7"/>
    <w:rsid w:val="00EE29D5"/>
    <w:rsid w:val="00EE7789"/>
    <w:rsid w:val="00EF3B15"/>
    <w:rsid w:val="00EF42A8"/>
    <w:rsid w:val="00EF4905"/>
    <w:rsid w:val="00EF5E50"/>
    <w:rsid w:val="00EF634B"/>
    <w:rsid w:val="00EF6B47"/>
    <w:rsid w:val="00EF6E0E"/>
    <w:rsid w:val="00F00787"/>
    <w:rsid w:val="00F00FC1"/>
    <w:rsid w:val="00F013B3"/>
    <w:rsid w:val="00F02229"/>
    <w:rsid w:val="00F06025"/>
    <w:rsid w:val="00F07C58"/>
    <w:rsid w:val="00F10D75"/>
    <w:rsid w:val="00F12BB4"/>
    <w:rsid w:val="00F13535"/>
    <w:rsid w:val="00F173A4"/>
    <w:rsid w:val="00F221FC"/>
    <w:rsid w:val="00F23379"/>
    <w:rsid w:val="00F302EF"/>
    <w:rsid w:val="00F335C3"/>
    <w:rsid w:val="00F40078"/>
    <w:rsid w:val="00F4526C"/>
    <w:rsid w:val="00F45D9E"/>
    <w:rsid w:val="00F47048"/>
    <w:rsid w:val="00F47817"/>
    <w:rsid w:val="00F53052"/>
    <w:rsid w:val="00F53EE2"/>
    <w:rsid w:val="00F55C30"/>
    <w:rsid w:val="00F57C20"/>
    <w:rsid w:val="00F62E66"/>
    <w:rsid w:val="00F67529"/>
    <w:rsid w:val="00F732CD"/>
    <w:rsid w:val="00F73F07"/>
    <w:rsid w:val="00F757B6"/>
    <w:rsid w:val="00F76146"/>
    <w:rsid w:val="00F77E95"/>
    <w:rsid w:val="00F821D9"/>
    <w:rsid w:val="00F824C0"/>
    <w:rsid w:val="00F82CEB"/>
    <w:rsid w:val="00F83429"/>
    <w:rsid w:val="00F905D5"/>
    <w:rsid w:val="00F9423E"/>
    <w:rsid w:val="00F973F3"/>
    <w:rsid w:val="00FA2EDF"/>
    <w:rsid w:val="00FA490A"/>
    <w:rsid w:val="00FB0DEA"/>
    <w:rsid w:val="00FB11D1"/>
    <w:rsid w:val="00FB123A"/>
    <w:rsid w:val="00FB3E17"/>
    <w:rsid w:val="00FB454B"/>
    <w:rsid w:val="00FB5F7E"/>
    <w:rsid w:val="00FB6845"/>
    <w:rsid w:val="00FB7EA9"/>
    <w:rsid w:val="00FC1B99"/>
    <w:rsid w:val="00FC2B19"/>
    <w:rsid w:val="00FC4782"/>
    <w:rsid w:val="00FC5ED0"/>
    <w:rsid w:val="00FD02DB"/>
    <w:rsid w:val="00FD05B0"/>
    <w:rsid w:val="00FD44B4"/>
    <w:rsid w:val="00FD4FCB"/>
    <w:rsid w:val="00FD5458"/>
    <w:rsid w:val="00FE0570"/>
    <w:rsid w:val="00FE089F"/>
    <w:rsid w:val="00FE0B50"/>
    <w:rsid w:val="00FE13BF"/>
    <w:rsid w:val="00FE3676"/>
    <w:rsid w:val="00FE59B8"/>
    <w:rsid w:val="00FE5BB6"/>
    <w:rsid w:val="00FF03FE"/>
    <w:rsid w:val="00FF0FC2"/>
    <w:rsid w:val="00FF20A6"/>
    <w:rsid w:val="00FF2D2B"/>
    <w:rsid w:val="00FF44E4"/>
    <w:rsid w:val="00FF4DCA"/>
    <w:rsid w:val="00FF7628"/>
    <w:rsid w:val="00FF76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3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uiPriority w:val="9"/>
    <w:qFormat/>
    <w:rsid w:val="001575E7"/>
    <w:pPr>
      <w:keepNext/>
      <w:keepLines/>
      <w:pageBreakBefore/>
      <w:numPr>
        <w:numId w:val="8"/>
      </w:numPr>
      <w:spacing w:before="520" w:after="480"/>
      <w:outlineLvl w:val="0"/>
    </w:pPr>
    <w:rPr>
      <w:b/>
      <w:bCs/>
      <w:color w:val="100249" w:themeColor="accent4"/>
      <w:sz w:val="36"/>
      <w:szCs w:val="32"/>
    </w:rPr>
  </w:style>
  <w:style w:type="paragraph" w:styleId="Heading2">
    <w:name w:val="heading 2"/>
    <w:basedOn w:val="Normal"/>
    <w:next w:val="Normal"/>
    <w:link w:val="Heading2Char"/>
    <w:uiPriority w:val="9"/>
    <w:qFormat/>
    <w:rsid w:val="00E42772"/>
    <w:pPr>
      <w:keepNext/>
      <w:keepLines/>
      <w:numPr>
        <w:ilvl w:val="1"/>
        <w:numId w:val="8"/>
      </w:numPr>
      <w:spacing w:before="400"/>
      <w:outlineLvl w:val="1"/>
    </w:pPr>
    <w:rPr>
      <w:bCs/>
      <w:color w:val="62BB46" w:themeColor="accent3"/>
      <w:sz w:val="28"/>
      <w:szCs w:val="26"/>
    </w:rPr>
  </w:style>
  <w:style w:type="paragraph" w:styleId="Heading3">
    <w:name w:val="heading 3"/>
    <w:basedOn w:val="Normal"/>
    <w:next w:val="Normal"/>
    <w:link w:val="Heading3Char"/>
    <w:uiPriority w:val="9"/>
    <w:qFormat/>
    <w:rsid w:val="00164024"/>
    <w:pPr>
      <w:keepNext/>
      <w:keepLines/>
      <w:numPr>
        <w:ilvl w:val="2"/>
        <w:numId w:val="8"/>
      </w:numPr>
      <w:spacing w:before="320" w:after="160"/>
      <w:outlineLvl w:val="2"/>
    </w:pPr>
    <w:rPr>
      <w:b/>
      <w:bCs/>
      <w:color w:val="100249" w:themeColor="accent4"/>
      <w:sz w:val="22"/>
    </w:rPr>
  </w:style>
  <w:style w:type="paragraph" w:styleId="Heading4">
    <w:name w:val="heading 4"/>
    <w:basedOn w:val="Normal"/>
    <w:next w:val="Normal"/>
    <w:link w:val="Heading4Char"/>
    <w:uiPriority w:val="9"/>
    <w:unhideWhenUsed/>
    <w:rsid w:val="00164024"/>
    <w:pPr>
      <w:keepNext/>
      <w:keepLines/>
      <w:numPr>
        <w:ilvl w:val="3"/>
        <w:numId w:val="8"/>
      </w:numPr>
      <w:spacing w:before="280" w:after="0"/>
      <w:ind w:left="862" w:hanging="862"/>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8"/>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E7"/>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uiPriority w:val="9"/>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20"/>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F821D9"/>
    <w:pPr>
      <w:tabs>
        <w:tab w:val="left" w:pos="600"/>
        <w:tab w:val="right" w:pos="9071"/>
        <w:tab w:val="left" w:leader="dot" w:pos="14175"/>
      </w:tabs>
      <w:spacing w:before="240" w:after="100"/>
    </w:p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10"/>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styleId="BodyText">
    <w:name w:val="Body Text"/>
    <w:basedOn w:val="Normal"/>
    <w:link w:val="BodyTextChar"/>
    <w:qFormat/>
    <w:locked/>
    <w:rsid w:val="000314C2"/>
    <w:pPr>
      <w:spacing w:before="60" w:after="120" w:line="240" w:lineRule="atLeast"/>
    </w:pPr>
    <w:rPr>
      <w:rFonts w:asciiTheme="minorHAnsi" w:hAnsiTheme="minorHAnsi"/>
      <w:color w:val="000000" w:themeColor="text1"/>
      <w:sz w:val="20"/>
    </w:rPr>
  </w:style>
  <w:style w:type="character" w:customStyle="1" w:styleId="BodyTextChar">
    <w:name w:val="Body Text Char"/>
    <w:basedOn w:val="DefaultParagraphFont"/>
    <w:link w:val="BodyText"/>
    <w:rsid w:val="000314C2"/>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locked/>
    <w:rsid w:val="000314C2"/>
    <w:rPr>
      <w:sz w:val="16"/>
      <w:szCs w:val="16"/>
    </w:rPr>
  </w:style>
  <w:style w:type="paragraph" w:styleId="CommentText">
    <w:name w:val="annotation text"/>
    <w:basedOn w:val="Normal"/>
    <w:link w:val="CommentTextChar"/>
    <w:uiPriority w:val="99"/>
    <w:semiHidden/>
    <w:unhideWhenUsed/>
    <w:locked/>
    <w:rsid w:val="000314C2"/>
    <w:pPr>
      <w:spacing w:before="0" w:after="16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semiHidden/>
    <w:rsid w:val="000314C2"/>
    <w:rPr>
      <w:sz w:val="20"/>
      <w:szCs w:val="20"/>
    </w:rPr>
  </w:style>
  <w:style w:type="character" w:styleId="FootnoteReference">
    <w:name w:val="footnote reference"/>
    <w:basedOn w:val="DefaultParagraphFont"/>
    <w:locked/>
    <w:rsid w:val="000314C2"/>
    <w:rPr>
      <w:color w:val="000000" w:themeColor="text1"/>
      <w:vertAlign w:val="superscript"/>
    </w:rPr>
  </w:style>
  <w:style w:type="paragraph" w:styleId="FootnoteText">
    <w:name w:val="footnote text"/>
    <w:basedOn w:val="Normal"/>
    <w:link w:val="FootnoteTextChar"/>
    <w:locked/>
    <w:rsid w:val="000314C2"/>
    <w:pPr>
      <w:tabs>
        <w:tab w:val="left" w:pos="284"/>
      </w:tabs>
      <w:spacing w:before="0" w:after="60" w:line="180" w:lineRule="atLeast"/>
      <w:ind w:left="284" w:hanging="284"/>
    </w:pPr>
    <w:rPr>
      <w:rFonts w:asciiTheme="minorHAnsi" w:hAnsiTheme="minorHAnsi" w:cs="Arial"/>
      <w:color w:val="000000" w:themeColor="text1"/>
      <w:kern w:val="16"/>
      <w:sz w:val="14"/>
      <w:lang w:eastAsia="en-AU"/>
    </w:rPr>
  </w:style>
  <w:style w:type="character" w:customStyle="1" w:styleId="FootnoteTextChar">
    <w:name w:val="Footnote Text Char"/>
    <w:basedOn w:val="DefaultParagraphFont"/>
    <w:link w:val="FootnoteText"/>
    <w:rsid w:val="000314C2"/>
    <w:rPr>
      <w:rFonts w:eastAsia="Times New Roman" w:cs="Arial"/>
      <w:color w:val="000000" w:themeColor="text1"/>
      <w:kern w:val="16"/>
      <w:sz w:val="14"/>
      <w:szCs w:val="20"/>
      <w:lang w:eastAsia="en-AU"/>
    </w:rPr>
  </w:style>
  <w:style w:type="paragraph" w:customStyle="1" w:styleId="IntroFeatureText">
    <w:name w:val="Intro/Feature Text"/>
    <w:basedOn w:val="Normal"/>
    <w:next w:val="BodyText"/>
    <w:qFormat/>
    <w:rsid w:val="000314C2"/>
    <w:pPr>
      <w:spacing w:before="60" w:after="180" w:line="360" w:lineRule="exact"/>
    </w:pPr>
    <w:rPr>
      <w:rFonts w:asciiTheme="minorHAnsi" w:hAnsiTheme="minorHAnsi" w:cs="Arial"/>
      <w:color w:val="201547" w:themeColor="text2"/>
      <w:spacing w:val="-2"/>
      <w:sz w:val="32"/>
      <w:lang w:eastAsia="en-AU"/>
    </w:rPr>
  </w:style>
  <w:style w:type="paragraph" w:styleId="Caption">
    <w:name w:val="caption"/>
    <w:basedOn w:val="Normal"/>
    <w:next w:val="Normal"/>
    <w:uiPriority w:val="35"/>
    <w:unhideWhenUsed/>
    <w:qFormat/>
    <w:locked/>
    <w:rsid w:val="000314C2"/>
    <w:pPr>
      <w:spacing w:before="0"/>
    </w:pPr>
    <w:rPr>
      <w:rFonts w:asciiTheme="minorHAnsi" w:eastAsiaTheme="minorHAnsi" w:hAnsiTheme="minorHAnsi" w:cstheme="minorBidi"/>
      <w:i/>
      <w:iCs/>
      <w:color w:val="201547" w:themeColor="text2"/>
      <w:szCs w:val="18"/>
    </w:rPr>
  </w:style>
  <w:style w:type="table" w:styleId="ListTable3-Accent3">
    <w:name w:val="List Table 3 Accent 3"/>
    <w:basedOn w:val="TableNormal"/>
    <w:uiPriority w:val="48"/>
    <w:locked/>
    <w:rsid w:val="00EE29D5"/>
    <w:pPr>
      <w:spacing w:after="0" w:line="240" w:lineRule="auto"/>
    </w:pPr>
    <w:tblPr>
      <w:tblStyleRowBandSize w:val="1"/>
      <w:tblStyleColBandSize w:val="1"/>
      <w:tblBorders>
        <w:top w:val="single" w:sz="4" w:space="0" w:color="62BB46" w:themeColor="accent3"/>
        <w:left w:val="single" w:sz="4" w:space="0" w:color="62BB46" w:themeColor="accent3"/>
        <w:bottom w:val="single" w:sz="4" w:space="0" w:color="62BB46" w:themeColor="accent3"/>
        <w:right w:val="single" w:sz="4" w:space="0" w:color="62BB46" w:themeColor="accent3"/>
      </w:tblBorders>
    </w:tblPr>
    <w:tblStylePr w:type="firstRow">
      <w:rPr>
        <w:b/>
        <w:bCs/>
        <w:color w:val="FFFFFF" w:themeColor="background1"/>
      </w:rPr>
      <w:tblPr/>
      <w:tcPr>
        <w:shd w:val="clear" w:color="auto" w:fill="62BB46" w:themeFill="accent3"/>
      </w:tcPr>
    </w:tblStylePr>
    <w:tblStylePr w:type="lastRow">
      <w:rPr>
        <w:b/>
        <w:bCs/>
      </w:rPr>
      <w:tblPr/>
      <w:tcPr>
        <w:tcBorders>
          <w:top w:val="double" w:sz="4" w:space="0" w:color="62BB4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B46" w:themeColor="accent3"/>
          <w:right w:val="single" w:sz="4" w:space="0" w:color="62BB46" w:themeColor="accent3"/>
        </w:tcBorders>
      </w:tcPr>
    </w:tblStylePr>
    <w:tblStylePr w:type="band1Horz">
      <w:tblPr/>
      <w:tcPr>
        <w:tcBorders>
          <w:top w:val="single" w:sz="4" w:space="0" w:color="62BB46" w:themeColor="accent3"/>
          <w:bottom w:val="single" w:sz="4" w:space="0" w:color="62BB4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B46" w:themeColor="accent3"/>
          <w:left w:val="nil"/>
        </w:tcBorders>
      </w:tcPr>
    </w:tblStylePr>
    <w:tblStylePr w:type="swCell">
      <w:tblPr/>
      <w:tcPr>
        <w:tcBorders>
          <w:top w:val="double" w:sz="4" w:space="0" w:color="62BB46" w:themeColor="accent3"/>
          <w:right w:val="nil"/>
        </w:tcBorders>
      </w:tcPr>
    </w:tblStylePr>
  </w:style>
  <w:style w:type="table" w:styleId="GridTable3-Accent3">
    <w:name w:val="Grid Table 3 Accent 3"/>
    <w:basedOn w:val="TableNormal"/>
    <w:uiPriority w:val="48"/>
    <w:locked/>
    <w:rsid w:val="00855BBE"/>
    <w:pPr>
      <w:spacing w:after="0" w:line="240" w:lineRule="auto"/>
    </w:pPr>
    <w:tblPr>
      <w:tblStyleRowBandSize w:val="1"/>
      <w:tblStyleColBandSize w:val="1"/>
      <w:tblBorders>
        <w:top w:val="single" w:sz="4" w:space="0" w:color="A0D68F" w:themeColor="accent3" w:themeTint="99"/>
        <w:left w:val="single" w:sz="4" w:space="0" w:color="A0D68F" w:themeColor="accent3" w:themeTint="99"/>
        <w:bottom w:val="single" w:sz="4" w:space="0" w:color="A0D68F" w:themeColor="accent3" w:themeTint="99"/>
        <w:right w:val="single" w:sz="4" w:space="0" w:color="A0D68F" w:themeColor="accent3" w:themeTint="99"/>
        <w:insideH w:val="single" w:sz="4" w:space="0" w:color="A0D68F" w:themeColor="accent3" w:themeTint="99"/>
        <w:insideV w:val="single" w:sz="4" w:space="0" w:color="A0D68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1D9" w:themeFill="accent3" w:themeFillTint="33"/>
      </w:tcPr>
    </w:tblStylePr>
    <w:tblStylePr w:type="band1Horz">
      <w:tblPr/>
      <w:tcPr>
        <w:shd w:val="clear" w:color="auto" w:fill="DFF1D9" w:themeFill="accent3" w:themeFillTint="33"/>
      </w:tcPr>
    </w:tblStylePr>
    <w:tblStylePr w:type="neCell">
      <w:tblPr/>
      <w:tcPr>
        <w:tcBorders>
          <w:bottom w:val="single" w:sz="4" w:space="0" w:color="A0D68F" w:themeColor="accent3" w:themeTint="99"/>
        </w:tcBorders>
      </w:tcPr>
    </w:tblStylePr>
    <w:tblStylePr w:type="nwCell">
      <w:tblPr/>
      <w:tcPr>
        <w:tcBorders>
          <w:bottom w:val="single" w:sz="4" w:space="0" w:color="A0D68F" w:themeColor="accent3" w:themeTint="99"/>
        </w:tcBorders>
      </w:tcPr>
    </w:tblStylePr>
    <w:tblStylePr w:type="seCell">
      <w:tblPr/>
      <w:tcPr>
        <w:tcBorders>
          <w:top w:val="single" w:sz="4" w:space="0" w:color="A0D68F" w:themeColor="accent3" w:themeTint="99"/>
        </w:tcBorders>
      </w:tcPr>
    </w:tblStylePr>
    <w:tblStylePr w:type="swCell">
      <w:tblPr/>
      <w:tcPr>
        <w:tcBorders>
          <w:top w:val="single" w:sz="4" w:space="0" w:color="A0D68F" w:themeColor="accent3" w:themeTint="99"/>
        </w:tcBorders>
      </w:tcPr>
    </w:tblStylePr>
  </w:style>
  <w:style w:type="table" w:styleId="PlainTable3">
    <w:name w:val="Plain Table 3"/>
    <w:basedOn w:val="TableNormal"/>
    <w:uiPriority w:val="43"/>
    <w:locked/>
    <w:rsid w:val="00B478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locked/>
    <w:rsid w:val="0043657E"/>
    <w:pPr>
      <w:spacing w:before="120" w:after="200"/>
    </w:pPr>
    <w:rPr>
      <w:rFonts w:ascii="Arial" w:eastAsia="Times New Roman" w:hAnsi="Arial" w:cs="Times New Roman"/>
      <w:b/>
      <w:bCs/>
      <w:color w:val="53565A" w:themeColor="accent2"/>
    </w:rPr>
  </w:style>
  <w:style w:type="character" w:customStyle="1" w:styleId="CommentSubjectChar">
    <w:name w:val="Comment Subject Char"/>
    <w:basedOn w:val="CommentTextChar"/>
    <w:link w:val="CommentSubject"/>
    <w:uiPriority w:val="99"/>
    <w:semiHidden/>
    <w:rsid w:val="0043657E"/>
    <w:rPr>
      <w:rFonts w:ascii="Arial" w:eastAsia="Times New Roman" w:hAnsi="Arial" w:cs="Times New Roman"/>
      <w:b/>
      <w:bCs/>
      <w:color w:val="53565A" w:themeColor="accent2"/>
      <w:sz w:val="20"/>
      <w:szCs w:val="20"/>
    </w:rPr>
  </w:style>
  <w:style w:type="paragraph" w:styleId="Revision">
    <w:name w:val="Revision"/>
    <w:hidden/>
    <w:uiPriority w:val="99"/>
    <w:semiHidden/>
    <w:rsid w:val="00753F7D"/>
    <w:pPr>
      <w:spacing w:after="0" w:line="240" w:lineRule="auto"/>
    </w:pPr>
    <w:rPr>
      <w:rFonts w:ascii="Arial" w:eastAsia="Times New Roman" w:hAnsi="Arial" w:cs="Times New Roman"/>
      <w:color w:val="53565A" w:themeColor="accent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6598">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517112225">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9310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5.xml"/><Relationship Id="rId26" Type="http://schemas.openxmlformats.org/officeDocument/2006/relationships/chart" Target="charts/chart13.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chart" Target="charts/chart37.xml"/><Relationship Id="rId63" Type="http://schemas.openxmlformats.org/officeDocument/2006/relationships/chart" Target="charts/chart45.xml"/><Relationship Id="rId68" Type="http://schemas.openxmlformats.org/officeDocument/2006/relationships/hyperlink" Target="http://djpr.vic.gov.au/"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40" Type="http://schemas.openxmlformats.org/officeDocument/2006/relationships/image" Target="media/image4.png"/><Relationship Id="rId45" Type="http://schemas.openxmlformats.org/officeDocument/2006/relationships/chart" Target="charts/chart27.xml"/><Relationship Id="rId53" Type="http://schemas.openxmlformats.org/officeDocument/2006/relationships/chart" Target="charts/chart35.xml"/><Relationship Id="rId58" Type="http://schemas.openxmlformats.org/officeDocument/2006/relationships/chart" Target="charts/chart40.xml"/><Relationship Id="rId66" Type="http://schemas.openxmlformats.org/officeDocument/2006/relationships/chart" Target="charts/chart48.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microsoft.com/office/2014/relationships/chartEx" Target="charts/chartEx1.xml"/><Relationship Id="rId49" Type="http://schemas.openxmlformats.org/officeDocument/2006/relationships/chart" Target="charts/chart31.xml"/><Relationship Id="rId57" Type="http://schemas.openxmlformats.org/officeDocument/2006/relationships/chart" Target="charts/chart39.xml"/><Relationship Id="rId61" Type="http://schemas.openxmlformats.org/officeDocument/2006/relationships/chart" Target="charts/chart43.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26.xml"/><Relationship Id="rId52" Type="http://schemas.openxmlformats.org/officeDocument/2006/relationships/chart" Target="charts/chart34.xml"/><Relationship Id="rId60" Type="http://schemas.openxmlformats.org/officeDocument/2006/relationships/chart" Target="charts/chart42.xml"/><Relationship Id="rId65" Type="http://schemas.openxmlformats.org/officeDocument/2006/relationships/chart" Target="charts/chart47.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chart" Target="charts/chart38.xml"/><Relationship Id="rId64" Type="http://schemas.openxmlformats.org/officeDocument/2006/relationships/chart" Target="charts/chart46.xm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chart" Target="charts/chart33.xm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chart" Target="charts/chart41.xml"/><Relationship Id="rId67" Type="http://schemas.openxmlformats.org/officeDocument/2006/relationships/hyperlink" Target="http://djpr.vic.gov.au/" TargetMode="External"/><Relationship Id="rId20" Type="http://schemas.openxmlformats.org/officeDocument/2006/relationships/chart" Target="charts/chart7.xml"/><Relationship Id="rId41" Type="http://schemas.openxmlformats.org/officeDocument/2006/relationships/chart" Target="charts/chart23.xml"/><Relationship Id="rId54" Type="http://schemas.openxmlformats.org/officeDocument/2006/relationships/chart" Target="charts/chart36.xml"/><Relationship Id="rId62" Type="http://schemas.openxmlformats.org/officeDocument/2006/relationships/chart" Target="charts/chart44.xml"/><Relationship Id="rId7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3U\AppData\Local\Packages\Microsoft.MicrosoftEdge_8wekyb3d8bbwe\TempState\Downloads\Report-A4-Portrait%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internal.vic.gov.au\DJPR\HomeDirs1\vicnbgr\Desktop\Budget%20Analysis\Final%20Adopted%20budget%202021%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internal.vic.gov.au\DJPR\HomeDirs1\vicnbgr\Desktop\Budget%20Analysis\Final%20Adopted%20budget%202021%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internal.vic.gov.au\DJPR\HomeDirs1\vicnbgr\Desktop\Budget%20Analysis\Final%20Adopted%20budget%202021%20Analysis.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https://vicgov.sharepoint.com/sites/VG001537/Finance/Annual%20budgets%20202021%20tracking%20spreadsheet_COVID.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elwpvicgovau.sharepoint.com/sites/ecm_208/Finance/Annual%20budgets%20202021%20tracking%20spreadsheet_COVID.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internal.vic.gov.au\DJPR\HomeDirs1\vicnbgr\Desktop\Budget%20Analysis\Final%20Adopted%20budget%202021%20Analysi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4.xml"/><Relationship Id="rId1" Type="http://schemas.microsoft.com/office/2011/relationships/chartStyle" Target="style24.xml"/></Relationships>
</file>

<file path=word/charts/_rels/chart24.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5.xml"/><Relationship Id="rId1" Type="http://schemas.microsoft.com/office/2011/relationships/chartStyle" Target="style25.xml"/></Relationships>
</file>

<file path=word/charts/_rels/chart25.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6.xml"/><Relationship Id="rId1" Type="http://schemas.microsoft.com/office/2011/relationships/chartStyle" Target="style26.xml"/></Relationships>
</file>

<file path=word/charts/_rels/chart26.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7.xml"/><Relationship Id="rId1" Type="http://schemas.microsoft.com/office/2011/relationships/chartStyle" Target="style27.xml"/></Relationships>
</file>

<file path=word/charts/_rels/chart27.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8.xml"/><Relationship Id="rId1" Type="http://schemas.microsoft.com/office/2011/relationships/chartStyle" Target="style28.xml"/></Relationships>
</file>

<file path=word/charts/_rels/chart28.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29.xml"/><Relationship Id="rId1" Type="http://schemas.microsoft.com/office/2011/relationships/chartStyle" Target="style29.xml"/></Relationships>
</file>

<file path=word/charts/_rels/chart29.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0.xml"/><Relationship Id="rId1" Type="http://schemas.microsoft.com/office/2011/relationships/chartStyle" Target="style30.xml"/></Relationships>
</file>

<file path=word/charts/_rels/chart3.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1.xml"/><Relationship Id="rId1" Type="http://schemas.microsoft.com/office/2011/relationships/chartStyle" Target="style31.xml"/></Relationships>
</file>

<file path=word/charts/_rels/chart31.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2.xml"/><Relationship Id="rId1" Type="http://schemas.microsoft.com/office/2011/relationships/chartStyle" Target="style32.xml"/></Relationships>
</file>

<file path=word/charts/_rels/chart32.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3.xml"/><Relationship Id="rId1" Type="http://schemas.microsoft.com/office/2011/relationships/chartStyle" Target="style33.xml"/></Relationships>
</file>

<file path=word/charts/_rels/chart33.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4.xml"/><Relationship Id="rId1" Type="http://schemas.microsoft.com/office/2011/relationships/chartStyle" Target="style34.xml"/></Relationships>
</file>

<file path=word/charts/_rels/chart34.xml.rels><?xml version="1.0" encoding="UTF-8" standalone="yes"?>
<Relationships xmlns="http://schemas.openxmlformats.org/package/2006/relationships"><Relationship Id="rId3" Type="http://schemas.openxmlformats.org/officeDocument/2006/relationships/oleObject" Target="https://vicgov.sharepoint.com/sites/VG001537/Finance/Final%20Adopted%20budget%202021%20Analysis.xlsx" TargetMode="External"/><Relationship Id="rId2" Type="http://schemas.microsoft.com/office/2011/relationships/chartColorStyle" Target="colors35.xml"/><Relationship Id="rId1" Type="http://schemas.microsoft.com/office/2011/relationships/chartStyle" Target="style35.xml"/></Relationships>
</file>

<file path=word/charts/_rels/chart35.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6.xml"/><Relationship Id="rId1" Type="http://schemas.microsoft.com/office/2011/relationships/chartStyle" Target="style36.xml"/></Relationships>
</file>

<file path=word/charts/_rels/chart36.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7.xml"/><Relationship Id="rId1" Type="http://schemas.microsoft.com/office/2011/relationships/chartStyle" Target="style37.xml"/></Relationships>
</file>

<file path=word/charts/_rels/chart37.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8.xml"/><Relationship Id="rId1" Type="http://schemas.microsoft.com/office/2011/relationships/chartStyle" Target="style38.xml"/></Relationships>
</file>

<file path=word/charts/_rels/chart38.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39.xml"/><Relationship Id="rId1" Type="http://schemas.microsoft.com/office/2011/relationships/chartStyle" Target="style39.xml"/></Relationships>
</file>

<file path=word/charts/_rels/chart39.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0.xml"/><Relationship Id="rId1" Type="http://schemas.microsoft.com/office/2011/relationships/chartStyle" Target="style40.xml"/></Relationships>
</file>

<file path=word/charts/_rels/chart4.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1.xml"/><Relationship Id="rId1" Type="http://schemas.microsoft.com/office/2011/relationships/chartStyle" Target="style41.xml"/></Relationships>
</file>

<file path=word/charts/_rels/chart41.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2.xml"/><Relationship Id="rId1" Type="http://schemas.microsoft.com/office/2011/relationships/chartStyle" Target="style42.xml"/></Relationships>
</file>

<file path=word/charts/_rels/chart42.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3.xml"/><Relationship Id="rId1" Type="http://schemas.microsoft.com/office/2011/relationships/chartStyle" Target="style43.xml"/></Relationships>
</file>

<file path=word/charts/_rels/chart43.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4.xml"/><Relationship Id="rId1" Type="http://schemas.microsoft.com/office/2011/relationships/chartStyle" Target="style44.xml"/></Relationships>
</file>

<file path=word/charts/_rels/chart44.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5.xml"/><Relationship Id="rId1" Type="http://schemas.microsoft.com/office/2011/relationships/chartStyle" Target="style45.xml"/></Relationships>
</file>

<file path=word/charts/_rels/chart45.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6.xml"/><Relationship Id="rId1" Type="http://schemas.microsoft.com/office/2011/relationships/chartStyle" Target="style46.xml"/></Relationships>
</file>

<file path=word/charts/_rels/chart46.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7.xml"/><Relationship Id="rId1" Type="http://schemas.microsoft.com/office/2011/relationships/chartStyle" Target="style47.xml"/></Relationships>
</file>

<file path=word/charts/_rels/chart47.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8.xml"/><Relationship Id="rId1" Type="http://schemas.microsoft.com/office/2011/relationships/chartStyle" Target="style48.xml"/></Relationships>
</file>

<file path=word/charts/_rels/chart48.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cgov.sharepoint.com/sites/VG001537/Finance/Adopted%20budget%202021%20Analysis%20(version%201).xlsb.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internal.vic.gov.au\DJPR\HomeDirs1\vicnbgr\Desktop\Budget%20Analysis\Final%20Adopted%20budget%202021%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2CB-4F1D-B83C-EF4D28123D2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2CB-4F1D-B83C-EF4D28123D2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2CB-4F1D-B83C-EF4D28123D2B}"/>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72CB-4F1D-B83C-EF4D28123D2B}"/>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72CB-4F1D-B83C-EF4D28123D2B}"/>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72CB-4F1D-B83C-EF4D28123D2B}"/>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72CB-4F1D-B83C-EF4D28123D2B}"/>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1-72CB-4F1D-B83C-EF4D28123D2B}"/>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8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72CB-4F1D-B83C-EF4D28123D2B}"/>
                </c:ext>
              </c:extLst>
            </c:dLbl>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8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7-72CB-4F1D-B83C-EF4D28123D2B}"/>
                </c:ext>
              </c:extLst>
            </c:dLbl>
            <c:dLbl>
              <c:idx val="4"/>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85000"/>
                        </a:schemeClr>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9-72CB-4F1D-B83C-EF4D28123D2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Graphs!$C$59:$C$65</c:f>
              <c:strCache>
                <c:ptCount val="7"/>
                <c:pt idx="0">
                  <c:v>Rates and charges</c:v>
                </c:pt>
                <c:pt idx="1">
                  <c:v>Statutory fees and fines</c:v>
                </c:pt>
                <c:pt idx="2">
                  <c:v>User fees</c:v>
                </c:pt>
                <c:pt idx="3">
                  <c:v>Contributions</c:v>
                </c:pt>
                <c:pt idx="4">
                  <c:v>Grants</c:v>
                </c:pt>
                <c:pt idx="5">
                  <c:v>Interest</c:v>
                </c:pt>
                <c:pt idx="6">
                  <c:v>Other income</c:v>
                </c:pt>
              </c:strCache>
            </c:strRef>
          </c:cat>
          <c:val>
            <c:numRef>
              <c:f>Graphs!$D$59:$D$65</c:f>
              <c:numCache>
                <c:formatCode>#,##0.00;[Red]\(#,##0.00\);"-"</c:formatCode>
                <c:ptCount val="7"/>
                <c:pt idx="0">
                  <c:v>6.4499149999999998</c:v>
                </c:pt>
                <c:pt idx="1">
                  <c:v>0.386772</c:v>
                </c:pt>
                <c:pt idx="2">
                  <c:v>0.82935599999999998</c:v>
                </c:pt>
                <c:pt idx="3">
                  <c:v>1.2731269999999999</c:v>
                </c:pt>
                <c:pt idx="4">
                  <c:v>1.816438</c:v>
                </c:pt>
                <c:pt idx="5">
                  <c:v>6.8338999999999997E-2</c:v>
                </c:pt>
                <c:pt idx="6">
                  <c:v>0.13184799999999999</c:v>
                </c:pt>
              </c:numCache>
            </c:numRef>
          </c:val>
          <c:extLst>
            <c:ext xmlns:c16="http://schemas.microsoft.com/office/drawing/2014/chart" uri="{C3380CC4-5D6E-409C-BE32-E72D297353CC}">
              <c16:uniqueId val="{0000000E-72CB-4F1D-B83C-EF4D28123D2B}"/>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Percentage change in assessments - 2014-15 to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'More Graphs'!$F$499</c:f>
              <c:strCache>
                <c:ptCount val="1"/>
                <c:pt idx="0">
                  <c:v>Metropolitan Council</c:v>
                </c:pt>
              </c:strCache>
            </c:strRef>
          </c:tx>
          <c:spPr>
            <a:solidFill>
              <a:schemeClr val="accent1"/>
            </a:solidFill>
            <a:ln>
              <a:noFill/>
            </a:ln>
            <a:effectLst/>
          </c:spPr>
          <c:invertIfNegative val="0"/>
          <c:cat>
            <c:strRef>
              <c:f>'More Graphs'!$G$498:$M$498</c:f>
              <c:strCache>
                <c:ptCount val="7"/>
                <c:pt idx="0">
                  <c:v>2014-15</c:v>
                </c:pt>
                <c:pt idx="1">
                  <c:v>2015-16</c:v>
                </c:pt>
                <c:pt idx="2">
                  <c:v>2016-17</c:v>
                </c:pt>
                <c:pt idx="3">
                  <c:v>2017-18</c:v>
                </c:pt>
                <c:pt idx="4">
                  <c:v>2018-19</c:v>
                </c:pt>
                <c:pt idx="5">
                  <c:v>2019-20</c:v>
                </c:pt>
                <c:pt idx="6">
                  <c:v>2020-21</c:v>
                </c:pt>
              </c:strCache>
            </c:strRef>
          </c:cat>
          <c:val>
            <c:numRef>
              <c:f>'More Graphs'!$G$499:$M$499</c:f>
              <c:numCache>
                <c:formatCode>0.0%</c:formatCode>
                <c:ptCount val="7"/>
                <c:pt idx="0">
                  <c:v>1.774492360461729E-2</c:v>
                </c:pt>
                <c:pt idx="1">
                  <c:v>1.9557124880265949E-2</c:v>
                </c:pt>
                <c:pt idx="2">
                  <c:v>1.004858128356865E-2</c:v>
                </c:pt>
                <c:pt idx="3">
                  <c:v>2.3730908178332351E-2</c:v>
                </c:pt>
                <c:pt idx="4">
                  <c:v>1.8971361951665856E-2</c:v>
                </c:pt>
                <c:pt idx="5">
                  <c:v>1.715720385063239E-2</c:v>
                </c:pt>
                <c:pt idx="6">
                  <c:v>1.5544942754127395E-2</c:v>
                </c:pt>
              </c:numCache>
            </c:numRef>
          </c:val>
          <c:extLst>
            <c:ext xmlns:c16="http://schemas.microsoft.com/office/drawing/2014/chart" uri="{C3380CC4-5D6E-409C-BE32-E72D297353CC}">
              <c16:uniqueId val="{00000000-1CCB-4201-B247-6CDD0DF23951}"/>
            </c:ext>
          </c:extLst>
        </c:ser>
        <c:ser>
          <c:idx val="1"/>
          <c:order val="1"/>
          <c:tx>
            <c:strRef>
              <c:f>'More Graphs'!$F$500</c:f>
              <c:strCache>
                <c:ptCount val="1"/>
                <c:pt idx="0">
                  <c:v>Interface Council</c:v>
                </c:pt>
              </c:strCache>
            </c:strRef>
          </c:tx>
          <c:spPr>
            <a:solidFill>
              <a:schemeClr val="accent2"/>
            </a:solidFill>
            <a:ln>
              <a:noFill/>
            </a:ln>
            <a:effectLst/>
          </c:spPr>
          <c:invertIfNegative val="0"/>
          <c:cat>
            <c:strRef>
              <c:f>'More Graphs'!$G$498:$M$498</c:f>
              <c:strCache>
                <c:ptCount val="7"/>
                <c:pt idx="0">
                  <c:v>2014-15</c:v>
                </c:pt>
                <c:pt idx="1">
                  <c:v>2015-16</c:v>
                </c:pt>
                <c:pt idx="2">
                  <c:v>2016-17</c:v>
                </c:pt>
                <c:pt idx="3">
                  <c:v>2017-18</c:v>
                </c:pt>
                <c:pt idx="4">
                  <c:v>2018-19</c:v>
                </c:pt>
                <c:pt idx="5">
                  <c:v>2019-20</c:v>
                </c:pt>
                <c:pt idx="6">
                  <c:v>2020-21</c:v>
                </c:pt>
              </c:strCache>
            </c:strRef>
          </c:cat>
          <c:val>
            <c:numRef>
              <c:f>'More Graphs'!$G$500:$M$500</c:f>
              <c:numCache>
                <c:formatCode>0.0%</c:formatCode>
                <c:ptCount val="7"/>
                <c:pt idx="0">
                  <c:v>2.1430793106949293E-2</c:v>
                </c:pt>
                <c:pt idx="1">
                  <c:v>3.4040330889371688E-2</c:v>
                </c:pt>
                <c:pt idx="2">
                  <c:v>1.1904507600147701E-2</c:v>
                </c:pt>
                <c:pt idx="3">
                  <c:v>4.2298969818330964E-2</c:v>
                </c:pt>
                <c:pt idx="4">
                  <c:v>3.4394909987327048E-2</c:v>
                </c:pt>
                <c:pt idx="5">
                  <c:v>2.8767389592607665E-2</c:v>
                </c:pt>
                <c:pt idx="6">
                  <c:v>3.0656080915739962E-2</c:v>
                </c:pt>
              </c:numCache>
            </c:numRef>
          </c:val>
          <c:extLst>
            <c:ext xmlns:c16="http://schemas.microsoft.com/office/drawing/2014/chart" uri="{C3380CC4-5D6E-409C-BE32-E72D297353CC}">
              <c16:uniqueId val="{00000001-1CCB-4201-B247-6CDD0DF23951}"/>
            </c:ext>
          </c:extLst>
        </c:ser>
        <c:ser>
          <c:idx val="2"/>
          <c:order val="2"/>
          <c:tx>
            <c:strRef>
              <c:f>'More Graphs'!$F$501</c:f>
              <c:strCache>
                <c:ptCount val="1"/>
                <c:pt idx="0">
                  <c:v>Regional City</c:v>
                </c:pt>
              </c:strCache>
            </c:strRef>
          </c:tx>
          <c:spPr>
            <a:solidFill>
              <a:schemeClr val="accent3"/>
            </a:solidFill>
            <a:ln>
              <a:noFill/>
            </a:ln>
            <a:effectLst/>
          </c:spPr>
          <c:invertIfNegative val="0"/>
          <c:cat>
            <c:strRef>
              <c:f>'More Graphs'!$G$498:$M$498</c:f>
              <c:strCache>
                <c:ptCount val="7"/>
                <c:pt idx="0">
                  <c:v>2014-15</c:v>
                </c:pt>
                <c:pt idx="1">
                  <c:v>2015-16</c:v>
                </c:pt>
                <c:pt idx="2">
                  <c:v>2016-17</c:v>
                </c:pt>
                <c:pt idx="3">
                  <c:v>2017-18</c:v>
                </c:pt>
                <c:pt idx="4">
                  <c:v>2018-19</c:v>
                </c:pt>
                <c:pt idx="5">
                  <c:v>2019-20</c:v>
                </c:pt>
                <c:pt idx="6">
                  <c:v>2020-21</c:v>
                </c:pt>
              </c:strCache>
            </c:strRef>
          </c:cat>
          <c:val>
            <c:numRef>
              <c:f>'More Graphs'!$G$501:$M$501</c:f>
              <c:numCache>
                <c:formatCode>0.0%</c:formatCode>
                <c:ptCount val="7"/>
                <c:pt idx="0">
                  <c:v>7.5275761788519994E-3</c:v>
                </c:pt>
                <c:pt idx="1">
                  <c:v>1.2559665655036542E-2</c:v>
                </c:pt>
                <c:pt idx="2">
                  <c:v>1.5272363103115276E-2</c:v>
                </c:pt>
                <c:pt idx="3">
                  <c:v>1.5609807651659268E-2</c:v>
                </c:pt>
                <c:pt idx="4">
                  <c:v>2.0052655129712688E-2</c:v>
                </c:pt>
                <c:pt idx="5">
                  <c:v>1.5417992872493812E-2</c:v>
                </c:pt>
                <c:pt idx="6">
                  <c:v>1.5137003275218851E-2</c:v>
                </c:pt>
              </c:numCache>
            </c:numRef>
          </c:val>
          <c:extLst>
            <c:ext xmlns:c16="http://schemas.microsoft.com/office/drawing/2014/chart" uri="{C3380CC4-5D6E-409C-BE32-E72D297353CC}">
              <c16:uniqueId val="{00000002-1CCB-4201-B247-6CDD0DF23951}"/>
            </c:ext>
          </c:extLst>
        </c:ser>
        <c:ser>
          <c:idx val="3"/>
          <c:order val="3"/>
          <c:tx>
            <c:strRef>
              <c:f>'More Graphs'!$F$502</c:f>
              <c:strCache>
                <c:ptCount val="1"/>
                <c:pt idx="0">
                  <c:v>Large Shire</c:v>
                </c:pt>
              </c:strCache>
            </c:strRef>
          </c:tx>
          <c:spPr>
            <a:solidFill>
              <a:schemeClr val="accent4"/>
            </a:solidFill>
            <a:ln>
              <a:noFill/>
            </a:ln>
            <a:effectLst/>
          </c:spPr>
          <c:invertIfNegative val="0"/>
          <c:cat>
            <c:strRef>
              <c:f>'More Graphs'!$G$498:$M$498</c:f>
              <c:strCache>
                <c:ptCount val="7"/>
                <c:pt idx="0">
                  <c:v>2014-15</c:v>
                </c:pt>
                <c:pt idx="1">
                  <c:v>2015-16</c:v>
                </c:pt>
                <c:pt idx="2">
                  <c:v>2016-17</c:v>
                </c:pt>
                <c:pt idx="3">
                  <c:v>2017-18</c:v>
                </c:pt>
                <c:pt idx="4">
                  <c:v>2018-19</c:v>
                </c:pt>
                <c:pt idx="5">
                  <c:v>2019-20</c:v>
                </c:pt>
                <c:pt idx="6">
                  <c:v>2020-21</c:v>
                </c:pt>
              </c:strCache>
            </c:strRef>
          </c:cat>
          <c:val>
            <c:numRef>
              <c:f>'More Graphs'!$G$502:$M$502</c:f>
              <c:numCache>
                <c:formatCode>0.0%</c:formatCode>
                <c:ptCount val="7"/>
                <c:pt idx="0">
                  <c:v>2.6121234585215832E-3</c:v>
                </c:pt>
                <c:pt idx="1">
                  <c:v>1.4727665580076685E-2</c:v>
                </c:pt>
                <c:pt idx="2">
                  <c:v>1.1348223055355204E-2</c:v>
                </c:pt>
                <c:pt idx="3">
                  <c:v>1.3370135891987411E-2</c:v>
                </c:pt>
                <c:pt idx="4">
                  <c:v>1.8206536098420979E-2</c:v>
                </c:pt>
                <c:pt idx="5">
                  <c:v>1.4925197091862972E-2</c:v>
                </c:pt>
                <c:pt idx="6">
                  <c:v>1.6262978191292788E-2</c:v>
                </c:pt>
              </c:numCache>
            </c:numRef>
          </c:val>
          <c:extLst>
            <c:ext xmlns:c16="http://schemas.microsoft.com/office/drawing/2014/chart" uri="{C3380CC4-5D6E-409C-BE32-E72D297353CC}">
              <c16:uniqueId val="{00000003-1CCB-4201-B247-6CDD0DF23951}"/>
            </c:ext>
          </c:extLst>
        </c:ser>
        <c:ser>
          <c:idx val="4"/>
          <c:order val="4"/>
          <c:tx>
            <c:strRef>
              <c:f>'More Graphs'!$F$503</c:f>
              <c:strCache>
                <c:ptCount val="1"/>
                <c:pt idx="0">
                  <c:v>Small Shire</c:v>
                </c:pt>
              </c:strCache>
            </c:strRef>
          </c:tx>
          <c:spPr>
            <a:solidFill>
              <a:schemeClr val="accent5"/>
            </a:solidFill>
            <a:ln>
              <a:noFill/>
            </a:ln>
            <a:effectLst/>
          </c:spPr>
          <c:invertIfNegative val="0"/>
          <c:cat>
            <c:strRef>
              <c:f>'More Graphs'!$G$498:$M$498</c:f>
              <c:strCache>
                <c:ptCount val="7"/>
                <c:pt idx="0">
                  <c:v>2014-15</c:v>
                </c:pt>
                <c:pt idx="1">
                  <c:v>2015-16</c:v>
                </c:pt>
                <c:pt idx="2">
                  <c:v>2016-17</c:v>
                </c:pt>
                <c:pt idx="3">
                  <c:v>2017-18</c:v>
                </c:pt>
                <c:pt idx="4">
                  <c:v>2018-19</c:v>
                </c:pt>
                <c:pt idx="5">
                  <c:v>2019-20</c:v>
                </c:pt>
                <c:pt idx="6">
                  <c:v>2020-21</c:v>
                </c:pt>
              </c:strCache>
            </c:strRef>
          </c:cat>
          <c:val>
            <c:numRef>
              <c:f>'More Graphs'!$G$503:$M$503</c:f>
              <c:numCache>
                <c:formatCode>0.0%</c:formatCode>
                <c:ptCount val="7"/>
                <c:pt idx="0">
                  <c:v>5.498342318991929E-3</c:v>
                </c:pt>
                <c:pt idx="1">
                  <c:v>6.481846450313143E-3</c:v>
                </c:pt>
                <c:pt idx="2">
                  <c:v>7.4471457788110674E-3</c:v>
                </c:pt>
                <c:pt idx="3">
                  <c:v>6.4295190201462378E-3</c:v>
                </c:pt>
                <c:pt idx="4">
                  <c:v>8.3012991471855899E-3</c:v>
                </c:pt>
                <c:pt idx="5">
                  <c:v>6.9986197335538515E-3</c:v>
                </c:pt>
                <c:pt idx="6">
                  <c:v>7.0465908267516846E-3</c:v>
                </c:pt>
              </c:numCache>
            </c:numRef>
          </c:val>
          <c:extLst>
            <c:ext xmlns:c16="http://schemas.microsoft.com/office/drawing/2014/chart" uri="{C3380CC4-5D6E-409C-BE32-E72D297353CC}">
              <c16:uniqueId val="{00000004-1CCB-4201-B247-6CDD0DF23951}"/>
            </c:ext>
          </c:extLst>
        </c:ser>
        <c:dLbls>
          <c:showLegendKey val="0"/>
          <c:showVal val="0"/>
          <c:showCatName val="0"/>
          <c:showSerName val="0"/>
          <c:showPercent val="0"/>
          <c:showBubbleSize val="0"/>
        </c:dLbls>
        <c:gapWidth val="150"/>
        <c:axId val="1047707176"/>
        <c:axId val="1047700616"/>
      </c:barChart>
      <c:catAx>
        <c:axId val="1047707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700616"/>
        <c:crosses val="autoZero"/>
        <c:auto val="1"/>
        <c:lblAlgn val="ctr"/>
        <c:lblOffset val="100"/>
        <c:noMultiLvlLbl val="0"/>
      </c:catAx>
      <c:valAx>
        <c:axId val="1047700616"/>
        <c:scaling>
          <c:orientation val="minMax"/>
          <c:max val="4.0000000000000008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707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b="0">
                <a:latin typeface="+mn-lt"/>
              </a:rPr>
              <a:t>Change in population,</a:t>
            </a:r>
            <a:r>
              <a:rPr lang="en-AU" sz="1200" b="0" baseline="0">
                <a:latin typeface="+mn-lt"/>
              </a:rPr>
              <a:t> 2011 to 2020</a:t>
            </a:r>
            <a:endParaRPr lang="en-AU" sz="1200" b="0">
              <a:latin typeface="+mn-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'Population Data'!$C$103</c:f>
              <c:strCache>
                <c:ptCount val="1"/>
                <c:pt idx="0">
                  <c:v>Metropolitan Council</c:v>
                </c:pt>
              </c:strCache>
            </c:strRef>
          </c:tx>
          <c:spPr>
            <a:solidFill>
              <a:schemeClr val="accent6"/>
            </a:solidFill>
            <a:ln>
              <a:noFill/>
            </a:ln>
            <a:effectLst/>
            <a:sp3d/>
          </c:spPr>
          <c:invertIfNegative val="0"/>
          <c:cat>
            <c:strRef>
              <c:f>'Population Data'!$M$102:$V$102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'Population Data'!$M$103:$V$103</c:f>
              <c:numCache>
                <c:formatCode>0.00</c:formatCode>
                <c:ptCount val="10"/>
                <c:pt idx="0">
                  <c:v>0.77454736386139955</c:v>
                </c:pt>
                <c:pt idx="1">
                  <c:v>1.6383541147845591</c:v>
                </c:pt>
                <c:pt idx="2">
                  <c:v>1.8849708625549262</c:v>
                </c:pt>
                <c:pt idx="3">
                  <c:v>1.90003156301864</c:v>
                </c:pt>
                <c:pt idx="4">
                  <c:v>1.8391529119921108</c:v>
                </c:pt>
                <c:pt idx="5">
                  <c:v>2.1055976786014372</c:v>
                </c:pt>
                <c:pt idx="6">
                  <c:v>2.1571784275639101</c:v>
                </c:pt>
                <c:pt idx="7">
                  <c:v>1.8287792506101357</c:v>
                </c:pt>
                <c:pt idx="8">
                  <c:v>1.5826125968631595</c:v>
                </c:pt>
                <c:pt idx="9">
                  <c:v>0.82673608872963733</c:v>
                </c:pt>
              </c:numCache>
            </c:numRef>
          </c:val>
          <c:extLst>
            <c:ext xmlns:c16="http://schemas.microsoft.com/office/drawing/2014/chart" uri="{C3380CC4-5D6E-409C-BE32-E72D297353CC}">
              <c16:uniqueId val="{00000000-A363-4A4D-B583-E6B1DA797B5B}"/>
            </c:ext>
          </c:extLst>
        </c:ser>
        <c:ser>
          <c:idx val="1"/>
          <c:order val="1"/>
          <c:tx>
            <c:strRef>
              <c:f>'Population Data'!$C$104</c:f>
              <c:strCache>
                <c:ptCount val="1"/>
                <c:pt idx="0">
                  <c:v>Interface Council</c:v>
                </c:pt>
              </c:strCache>
            </c:strRef>
          </c:tx>
          <c:spPr>
            <a:solidFill>
              <a:schemeClr val="accent5"/>
            </a:solidFill>
            <a:ln>
              <a:noFill/>
            </a:ln>
            <a:effectLst/>
            <a:sp3d/>
          </c:spPr>
          <c:invertIfNegative val="0"/>
          <c:cat>
            <c:strRef>
              <c:f>'Population Data'!$M$102:$V$102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'Population Data'!$M$104:$V$104</c:f>
              <c:numCache>
                <c:formatCode>0.00</c:formatCode>
                <c:ptCount val="10"/>
                <c:pt idx="0">
                  <c:v>3.1856713582836571</c:v>
                </c:pt>
                <c:pt idx="1">
                  <c:v>3.6865119971838562</c:v>
                </c:pt>
                <c:pt idx="2">
                  <c:v>3.5395674360089826</c:v>
                </c:pt>
                <c:pt idx="3">
                  <c:v>3.4722207436143662</c:v>
                </c:pt>
                <c:pt idx="4">
                  <c:v>3.6744481468626926</c:v>
                </c:pt>
                <c:pt idx="5">
                  <c:v>4.1245114047460891</c:v>
                </c:pt>
                <c:pt idx="6">
                  <c:v>3.8944172035249331</c:v>
                </c:pt>
                <c:pt idx="7">
                  <c:v>3.7454406681393522</c:v>
                </c:pt>
                <c:pt idx="8">
                  <c:v>3.6176496595631797</c:v>
                </c:pt>
                <c:pt idx="9">
                  <c:v>2.8805530807558437</c:v>
                </c:pt>
              </c:numCache>
            </c:numRef>
          </c:val>
          <c:extLst>
            <c:ext xmlns:c16="http://schemas.microsoft.com/office/drawing/2014/chart" uri="{C3380CC4-5D6E-409C-BE32-E72D297353CC}">
              <c16:uniqueId val="{00000001-A363-4A4D-B583-E6B1DA797B5B}"/>
            </c:ext>
          </c:extLst>
        </c:ser>
        <c:ser>
          <c:idx val="2"/>
          <c:order val="2"/>
          <c:tx>
            <c:strRef>
              <c:f>'Population Data'!$C$105</c:f>
              <c:strCache>
                <c:ptCount val="1"/>
                <c:pt idx="0">
                  <c:v>Regional City</c:v>
                </c:pt>
              </c:strCache>
            </c:strRef>
          </c:tx>
          <c:spPr>
            <a:solidFill>
              <a:schemeClr val="accent4"/>
            </a:solidFill>
            <a:ln>
              <a:noFill/>
            </a:ln>
            <a:effectLst/>
            <a:sp3d/>
          </c:spPr>
          <c:invertIfNegative val="0"/>
          <c:cat>
            <c:strRef>
              <c:f>'Population Data'!$M$102:$V$102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'Population Data'!$M$105:$V$105</c:f>
              <c:numCache>
                <c:formatCode>0.00</c:formatCode>
                <c:ptCount val="10"/>
                <c:pt idx="0">
                  <c:v>1.2663277908797801</c:v>
                </c:pt>
                <c:pt idx="1">
                  <c:v>1.3818144225046731</c:v>
                </c:pt>
                <c:pt idx="2">
                  <c:v>1.4930638331296189</c:v>
                </c:pt>
                <c:pt idx="3">
                  <c:v>1.4374277009303158</c:v>
                </c:pt>
                <c:pt idx="4">
                  <c:v>1.5092804148245709</c:v>
                </c:pt>
                <c:pt idx="5">
                  <c:v>1.8564400497371396</c:v>
                </c:pt>
                <c:pt idx="6">
                  <c:v>1.6179352877667106</c:v>
                </c:pt>
                <c:pt idx="7">
                  <c:v>1.6070800699140342</c:v>
                </c:pt>
                <c:pt idx="8">
                  <c:v>1.6493663950530293</c:v>
                </c:pt>
                <c:pt idx="9">
                  <c:v>1.4560879400641888</c:v>
                </c:pt>
              </c:numCache>
            </c:numRef>
          </c:val>
          <c:extLst>
            <c:ext xmlns:c16="http://schemas.microsoft.com/office/drawing/2014/chart" uri="{C3380CC4-5D6E-409C-BE32-E72D297353CC}">
              <c16:uniqueId val="{00000002-A363-4A4D-B583-E6B1DA797B5B}"/>
            </c:ext>
          </c:extLst>
        </c:ser>
        <c:ser>
          <c:idx val="3"/>
          <c:order val="3"/>
          <c:tx>
            <c:strRef>
              <c:f>'Population Data'!$C$106</c:f>
              <c:strCache>
                <c:ptCount val="1"/>
                <c:pt idx="0">
                  <c:v>Large Shire</c:v>
                </c:pt>
              </c:strCache>
            </c:strRef>
          </c:tx>
          <c:spPr>
            <a:solidFill>
              <a:schemeClr val="accent6">
                <a:lumMod val="60000"/>
              </a:schemeClr>
            </a:solidFill>
            <a:ln>
              <a:noFill/>
            </a:ln>
            <a:effectLst/>
            <a:sp3d/>
          </c:spPr>
          <c:invertIfNegative val="0"/>
          <c:cat>
            <c:strRef>
              <c:f>'Population Data'!$M$102:$V$102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'Population Data'!$M$106:$V$106</c:f>
              <c:numCache>
                <c:formatCode>0.00</c:formatCode>
                <c:ptCount val="10"/>
                <c:pt idx="0">
                  <c:v>1.2512318269849061</c:v>
                </c:pt>
                <c:pt idx="1">
                  <c:v>1.5360218256018667</c:v>
                </c:pt>
                <c:pt idx="2">
                  <c:v>1.507418661199051</c:v>
                </c:pt>
                <c:pt idx="3">
                  <c:v>1.2821307470740511</c:v>
                </c:pt>
                <c:pt idx="4">
                  <c:v>1.3395179391367111</c:v>
                </c:pt>
                <c:pt idx="5">
                  <c:v>1.726952212640871</c:v>
                </c:pt>
                <c:pt idx="6">
                  <c:v>1.3802122436436903</c:v>
                </c:pt>
                <c:pt idx="7">
                  <c:v>1.4296219880373999</c:v>
                </c:pt>
                <c:pt idx="8">
                  <c:v>1.5526094161753918</c:v>
                </c:pt>
                <c:pt idx="9">
                  <c:v>1.5442543572183358</c:v>
                </c:pt>
              </c:numCache>
            </c:numRef>
          </c:val>
          <c:extLst>
            <c:ext xmlns:c16="http://schemas.microsoft.com/office/drawing/2014/chart" uri="{C3380CC4-5D6E-409C-BE32-E72D297353CC}">
              <c16:uniqueId val="{00000003-A363-4A4D-B583-E6B1DA797B5B}"/>
            </c:ext>
          </c:extLst>
        </c:ser>
        <c:ser>
          <c:idx val="4"/>
          <c:order val="4"/>
          <c:tx>
            <c:strRef>
              <c:f>'Population Data'!$C$107</c:f>
              <c:strCache>
                <c:ptCount val="1"/>
                <c:pt idx="0">
                  <c:v>Small Shire</c:v>
                </c:pt>
              </c:strCache>
            </c:strRef>
          </c:tx>
          <c:spPr>
            <a:solidFill>
              <a:schemeClr val="accent5">
                <a:lumMod val="60000"/>
              </a:schemeClr>
            </a:solidFill>
            <a:ln>
              <a:noFill/>
            </a:ln>
            <a:effectLst/>
            <a:sp3d/>
          </c:spPr>
          <c:invertIfNegative val="0"/>
          <c:cat>
            <c:strRef>
              <c:f>'Population Data'!$M$102:$V$102</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'Population Data'!$M$107:$V$107</c:f>
              <c:numCache>
                <c:formatCode>0.00</c:formatCode>
                <c:ptCount val="10"/>
                <c:pt idx="0">
                  <c:v>-0.46070221181253729</c:v>
                </c:pt>
                <c:pt idx="1">
                  <c:v>0.5449682009389879</c:v>
                </c:pt>
                <c:pt idx="2">
                  <c:v>0.46584536583211911</c:v>
                </c:pt>
                <c:pt idx="3">
                  <c:v>0.36094934622568947</c:v>
                </c:pt>
                <c:pt idx="4">
                  <c:v>0.44887971665836418</c:v>
                </c:pt>
                <c:pt idx="5">
                  <c:v>0.76404518874967986</c:v>
                </c:pt>
                <c:pt idx="6">
                  <c:v>0.29367384355783427</c:v>
                </c:pt>
                <c:pt idx="7">
                  <c:v>0.50743628735669377</c:v>
                </c:pt>
                <c:pt idx="8">
                  <c:v>0.36859584833380726</c:v>
                </c:pt>
                <c:pt idx="9">
                  <c:v>0.69385791414978359</c:v>
                </c:pt>
              </c:numCache>
            </c:numRef>
          </c:val>
          <c:extLst>
            <c:ext xmlns:c16="http://schemas.microsoft.com/office/drawing/2014/chart" uri="{C3380CC4-5D6E-409C-BE32-E72D297353CC}">
              <c16:uniqueId val="{00000004-A363-4A4D-B583-E6B1DA797B5B}"/>
            </c:ext>
          </c:extLst>
        </c:ser>
        <c:dLbls>
          <c:showLegendKey val="0"/>
          <c:showVal val="0"/>
          <c:showCatName val="0"/>
          <c:showSerName val="0"/>
          <c:showPercent val="0"/>
          <c:showBubbleSize val="0"/>
        </c:dLbls>
        <c:gapWidth val="220"/>
        <c:gapDepth val="25"/>
        <c:shape val="box"/>
        <c:axId val="875350960"/>
        <c:axId val="961790680"/>
        <c:axId val="0"/>
      </c:bar3DChart>
      <c:catAx>
        <c:axId val="875350960"/>
        <c:scaling>
          <c:orientation val="minMax"/>
        </c:scaling>
        <c:delete val="0"/>
        <c:axPos val="b"/>
        <c:numFmt formatCode="General" sourceLinked="1"/>
        <c:majorTickMark val="none"/>
        <c:minorTickMark val="none"/>
        <c:tickLblPos val="nextTo"/>
        <c:spPr>
          <a:noFill/>
          <a:ln>
            <a:noFill/>
          </a:ln>
          <a:effectLst>
            <a:softEdge rad="0"/>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790680"/>
        <c:crosses val="autoZero"/>
        <c:auto val="1"/>
        <c:lblAlgn val="ctr"/>
        <c:lblOffset val="100"/>
        <c:noMultiLvlLbl val="0"/>
      </c:catAx>
      <c:valAx>
        <c:axId val="9617906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200"/>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3509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AU" sz="1200"/>
              <a:t>Average</a:t>
            </a:r>
            <a:r>
              <a:rPr lang="en-AU" sz="1200" baseline="0"/>
              <a:t> assessment by council cohort 2015-16 to 2020-21</a:t>
            </a:r>
            <a:endParaRPr lang="en-AU" sz="1200"/>
          </a:p>
        </c:rich>
      </c:tx>
      <c:layout>
        <c:manualLayout>
          <c:xMode val="edge"/>
          <c:yMode val="edge"/>
          <c:x val="0.16238145791251343"/>
          <c:y val="5.3167922020381037E-2"/>
        </c:manualLayout>
      </c:layout>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630952837177791"/>
          <c:y val="0.2072896955403995"/>
          <c:w val="0.84700040229452311"/>
          <c:h val="0.57174702215391315"/>
        </c:manualLayout>
      </c:layout>
      <c:lineChart>
        <c:grouping val="standard"/>
        <c:varyColors val="0"/>
        <c:ser>
          <c:idx val="0"/>
          <c:order val="0"/>
          <c:tx>
            <c:strRef>
              <c:f>'More Graphs'!$F$515</c:f>
              <c:strCache>
                <c:ptCount val="1"/>
                <c:pt idx="0">
                  <c:v>Metropolitan Council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'More Graphs'!$G$514:$N$514</c:f>
              <c:strCache>
                <c:ptCount val="8"/>
                <c:pt idx="0">
                  <c:v>2013-14</c:v>
                </c:pt>
                <c:pt idx="1">
                  <c:v>2014-15</c:v>
                </c:pt>
                <c:pt idx="2">
                  <c:v>2015-16</c:v>
                </c:pt>
                <c:pt idx="3">
                  <c:v>2016-17</c:v>
                </c:pt>
                <c:pt idx="4">
                  <c:v>2017-18</c:v>
                </c:pt>
                <c:pt idx="5">
                  <c:v>2018-19</c:v>
                </c:pt>
                <c:pt idx="6">
                  <c:v>2019-20</c:v>
                </c:pt>
                <c:pt idx="7">
                  <c:v>2020-21</c:v>
                </c:pt>
              </c:strCache>
            </c:strRef>
          </c:cat>
          <c:val>
            <c:numRef>
              <c:f>'More Graphs'!$G$515:$N$515</c:f>
              <c:numCache>
                <c:formatCode>General</c:formatCode>
                <c:ptCount val="8"/>
                <c:pt idx="0">
                  <c:v>1540.512774861664</c:v>
                </c:pt>
                <c:pt idx="1">
                  <c:v>1608.3282301448078</c:v>
                </c:pt>
                <c:pt idx="2">
                  <c:v>1685.0056399384869</c:v>
                </c:pt>
                <c:pt idx="3">
                  <c:v>1730.9746196226283</c:v>
                </c:pt>
                <c:pt idx="4">
                  <c:v>1751.756566256174</c:v>
                </c:pt>
                <c:pt idx="5">
                  <c:v>1782.0615660590463</c:v>
                </c:pt>
                <c:pt idx="6">
                  <c:v>1814.3771159521132</c:v>
                </c:pt>
                <c:pt idx="7">
                  <c:v>1829.8886236431451</c:v>
                </c:pt>
              </c:numCache>
            </c:numRef>
          </c:val>
          <c:smooth val="0"/>
          <c:extLst>
            <c:ext xmlns:c16="http://schemas.microsoft.com/office/drawing/2014/chart" uri="{C3380CC4-5D6E-409C-BE32-E72D297353CC}">
              <c16:uniqueId val="{00000000-ED50-42FE-815A-184FF70D15F0}"/>
            </c:ext>
          </c:extLst>
        </c:ser>
        <c:ser>
          <c:idx val="1"/>
          <c:order val="1"/>
          <c:tx>
            <c:strRef>
              <c:f>'More Graphs'!$F$516</c:f>
              <c:strCache>
                <c:ptCount val="1"/>
                <c:pt idx="0">
                  <c:v>Interface Council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'More Graphs'!$G$514:$N$514</c:f>
              <c:strCache>
                <c:ptCount val="8"/>
                <c:pt idx="0">
                  <c:v>2013-14</c:v>
                </c:pt>
                <c:pt idx="1">
                  <c:v>2014-15</c:v>
                </c:pt>
                <c:pt idx="2">
                  <c:v>2015-16</c:v>
                </c:pt>
                <c:pt idx="3">
                  <c:v>2016-17</c:v>
                </c:pt>
                <c:pt idx="4">
                  <c:v>2017-18</c:v>
                </c:pt>
                <c:pt idx="5">
                  <c:v>2018-19</c:v>
                </c:pt>
                <c:pt idx="6">
                  <c:v>2019-20</c:v>
                </c:pt>
                <c:pt idx="7">
                  <c:v>2020-21</c:v>
                </c:pt>
              </c:strCache>
            </c:strRef>
          </c:cat>
          <c:val>
            <c:numRef>
              <c:f>'More Graphs'!$G$516:$N$516</c:f>
              <c:numCache>
                <c:formatCode>General</c:formatCode>
                <c:ptCount val="8"/>
                <c:pt idx="0">
                  <c:v>1508.7823243495388</c:v>
                </c:pt>
                <c:pt idx="1">
                  <c:v>1593.2206354232458</c:v>
                </c:pt>
                <c:pt idx="2">
                  <c:v>1665.8582537800862</c:v>
                </c:pt>
                <c:pt idx="3">
                  <c:v>1672.1088332638153</c:v>
                </c:pt>
                <c:pt idx="4">
                  <c:v>1694.7318673529139</c:v>
                </c:pt>
                <c:pt idx="5">
                  <c:v>1713.6478689662229</c:v>
                </c:pt>
                <c:pt idx="6">
                  <c:v>1749.5165897043671</c:v>
                </c:pt>
                <c:pt idx="7">
                  <c:v>1768.3376694709416</c:v>
                </c:pt>
              </c:numCache>
            </c:numRef>
          </c:val>
          <c:smooth val="0"/>
          <c:extLst>
            <c:ext xmlns:c16="http://schemas.microsoft.com/office/drawing/2014/chart" uri="{C3380CC4-5D6E-409C-BE32-E72D297353CC}">
              <c16:uniqueId val="{00000001-ED50-42FE-815A-184FF70D15F0}"/>
            </c:ext>
          </c:extLst>
        </c:ser>
        <c:ser>
          <c:idx val="2"/>
          <c:order val="2"/>
          <c:tx>
            <c:strRef>
              <c:f>'More Graphs'!$F$517</c:f>
              <c:strCache>
                <c:ptCount val="1"/>
                <c:pt idx="0">
                  <c:v>Regional City</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'More Graphs'!$G$514:$N$514</c:f>
              <c:strCache>
                <c:ptCount val="8"/>
                <c:pt idx="0">
                  <c:v>2013-14</c:v>
                </c:pt>
                <c:pt idx="1">
                  <c:v>2014-15</c:v>
                </c:pt>
                <c:pt idx="2">
                  <c:v>2015-16</c:v>
                </c:pt>
                <c:pt idx="3">
                  <c:v>2016-17</c:v>
                </c:pt>
                <c:pt idx="4">
                  <c:v>2017-18</c:v>
                </c:pt>
                <c:pt idx="5">
                  <c:v>2018-19</c:v>
                </c:pt>
                <c:pt idx="6">
                  <c:v>2019-20</c:v>
                </c:pt>
                <c:pt idx="7">
                  <c:v>2020-21</c:v>
                </c:pt>
              </c:strCache>
            </c:strRef>
          </c:cat>
          <c:val>
            <c:numRef>
              <c:f>'More Graphs'!$G$517:$N$517</c:f>
              <c:numCache>
                <c:formatCode>General</c:formatCode>
                <c:ptCount val="8"/>
                <c:pt idx="0">
                  <c:v>1463.7133469713331</c:v>
                </c:pt>
                <c:pt idx="1">
                  <c:v>1542.629288596695</c:v>
                </c:pt>
                <c:pt idx="2">
                  <c:v>1609.908094545319</c:v>
                </c:pt>
                <c:pt idx="3">
                  <c:v>1648.7422964088319</c:v>
                </c:pt>
                <c:pt idx="4">
                  <c:v>1694.3620119398536</c:v>
                </c:pt>
                <c:pt idx="5">
                  <c:v>1738.2931252998055</c:v>
                </c:pt>
                <c:pt idx="6">
                  <c:v>1785.6624893086907</c:v>
                </c:pt>
                <c:pt idx="7">
                  <c:v>1813.4662610808359</c:v>
                </c:pt>
              </c:numCache>
            </c:numRef>
          </c:val>
          <c:smooth val="0"/>
          <c:extLst>
            <c:ext xmlns:c16="http://schemas.microsoft.com/office/drawing/2014/chart" uri="{C3380CC4-5D6E-409C-BE32-E72D297353CC}">
              <c16:uniqueId val="{00000002-ED50-42FE-815A-184FF70D15F0}"/>
            </c:ext>
          </c:extLst>
        </c:ser>
        <c:ser>
          <c:idx val="3"/>
          <c:order val="3"/>
          <c:tx>
            <c:strRef>
              <c:f>'More Graphs'!$F$518</c:f>
              <c:strCache>
                <c:ptCount val="1"/>
                <c:pt idx="0">
                  <c:v>Large Shire</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'More Graphs'!$G$514:$N$514</c:f>
              <c:strCache>
                <c:ptCount val="8"/>
                <c:pt idx="0">
                  <c:v>2013-14</c:v>
                </c:pt>
                <c:pt idx="1">
                  <c:v>2014-15</c:v>
                </c:pt>
                <c:pt idx="2">
                  <c:v>2015-16</c:v>
                </c:pt>
                <c:pt idx="3">
                  <c:v>2016-17</c:v>
                </c:pt>
                <c:pt idx="4">
                  <c:v>2017-18</c:v>
                </c:pt>
                <c:pt idx="5">
                  <c:v>2018-19</c:v>
                </c:pt>
                <c:pt idx="6">
                  <c:v>2019-20</c:v>
                </c:pt>
                <c:pt idx="7">
                  <c:v>2020-21</c:v>
                </c:pt>
              </c:strCache>
            </c:strRef>
          </c:cat>
          <c:val>
            <c:numRef>
              <c:f>'More Graphs'!$G$518:$N$518</c:f>
              <c:numCache>
                <c:formatCode>General</c:formatCode>
                <c:ptCount val="8"/>
                <c:pt idx="0">
                  <c:v>1449.9349503311064</c:v>
                </c:pt>
                <c:pt idx="1">
                  <c:v>1528.5608049334041</c:v>
                </c:pt>
                <c:pt idx="2">
                  <c:v>1615.3191809320708</c:v>
                </c:pt>
                <c:pt idx="3">
                  <c:v>1654.5144952916858</c:v>
                </c:pt>
                <c:pt idx="4">
                  <c:v>1682.5474807660084</c:v>
                </c:pt>
                <c:pt idx="5">
                  <c:v>1740.2761748149312</c:v>
                </c:pt>
                <c:pt idx="6">
                  <c:v>1786.076201914409</c:v>
                </c:pt>
                <c:pt idx="7">
                  <c:v>1812.6516817354909</c:v>
                </c:pt>
              </c:numCache>
            </c:numRef>
          </c:val>
          <c:smooth val="0"/>
          <c:extLst>
            <c:ext xmlns:c16="http://schemas.microsoft.com/office/drawing/2014/chart" uri="{C3380CC4-5D6E-409C-BE32-E72D297353CC}">
              <c16:uniqueId val="{00000003-ED50-42FE-815A-184FF70D15F0}"/>
            </c:ext>
          </c:extLst>
        </c:ser>
        <c:ser>
          <c:idx val="4"/>
          <c:order val="4"/>
          <c:tx>
            <c:strRef>
              <c:f>'More Graphs'!$F$519</c:f>
              <c:strCache>
                <c:ptCount val="1"/>
                <c:pt idx="0">
                  <c:v>Small Shire</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'More Graphs'!$G$514:$N$514</c:f>
              <c:strCache>
                <c:ptCount val="8"/>
                <c:pt idx="0">
                  <c:v>2013-14</c:v>
                </c:pt>
                <c:pt idx="1">
                  <c:v>2014-15</c:v>
                </c:pt>
                <c:pt idx="2">
                  <c:v>2015-16</c:v>
                </c:pt>
                <c:pt idx="3">
                  <c:v>2016-17</c:v>
                </c:pt>
                <c:pt idx="4">
                  <c:v>2017-18</c:v>
                </c:pt>
                <c:pt idx="5">
                  <c:v>2018-19</c:v>
                </c:pt>
                <c:pt idx="6">
                  <c:v>2019-20</c:v>
                </c:pt>
                <c:pt idx="7">
                  <c:v>2020-21</c:v>
                </c:pt>
              </c:strCache>
            </c:strRef>
          </c:cat>
          <c:val>
            <c:numRef>
              <c:f>'More Graphs'!$G$519:$N$519</c:f>
              <c:numCache>
                <c:formatCode>General</c:formatCode>
                <c:ptCount val="8"/>
                <c:pt idx="0">
                  <c:v>1368.7189030728618</c:v>
                </c:pt>
                <c:pt idx="1">
                  <c:v>1446.061901766054</c:v>
                </c:pt>
                <c:pt idx="2">
                  <c:v>1511.1244600911189</c:v>
                </c:pt>
                <c:pt idx="3">
                  <c:v>1548.5400727326157</c:v>
                </c:pt>
                <c:pt idx="4">
                  <c:v>1582.1785596963171</c:v>
                </c:pt>
                <c:pt idx="5">
                  <c:v>1620.879605525543</c:v>
                </c:pt>
                <c:pt idx="6">
                  <c:v>1676.5425637628355</c:v>
                </c:pt>
                <c:pt idx="7">
                  <c:v>1696.1914060262359</c:v>
                </c:pt>
              </c:numCache>
            </c:numRef>
          </c:val>
          <c:smooth val="0"/>
          <c:extLst>
            <c:ext xmlns:c16="http://schemas.microsoft.com/office/drawing/2014/chart" uri="{C3380CC4-5D6E-409C-BE32-E72D297353CC}">
              <c16:uniqueId val="{00000004-ED50-42FE-815A-184FF70D15F0}"/>
            </c:ext>
          </c:extLst>
        </c:ser>
        <c:dLbls>
          <c:showLegendKey val="0"/>
          <c:showVal val="0"/>
          <c:showCatName val="0"/>
          <c:showSerName val="0"/>
          <c:showPercent val="0"/>
          <c:showBubbleSize val="0"/>
        </c:dLbls>
        <c:marker val="1"/>
        <c:smooth val="0"/>
        <c:axId val="232252280"/>
        <c:axId val="232250968"/>
      </c:lineChart>
      <c:catAx>
        <c:axId val="232252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2250968"/>
        <c:crosses val="autoZero"/>
        <c:auto val="1"/>
        <c:lblAlgn val="ctr"/>
        <c:lblOffset val="100"/>
        <c:noMultiLvlLbl val="0"/>
      </c:catAx>
      <c:valAx>
        <c:axId val="232250968"/>
        <c:scaling>
          <c:orientation val="minMax"/>
          <c:max val="1850"/>
          <c:min val="13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AU" sz="1400" b="1"/>
                  <a:t>($)</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2252280"/>
        <c:crosses val="autoZero"/>
        <c:crossBetween val="between"/>
        <c:majorUnit val="100"/>
      </c:valAx>
      <c:spPr>
        <a:noFill/>
        <a:ln>
          <a:noFill/>
        </a:ln>
        <a:effectLst/>
      </c:spPr>
    </c:plotArea>
    <c:legend>
      <c:legendPos val="b"/>
      <c:layout>
        <c:manualLayout>
          <c:xMode val="edge"/>
          <c:yMode val="edge"/>
          <c:x val="7.2661601347896759E-2"/>
          <c:y val="0.90284938435863749"/>
          <c:w val="0.86568254398038169"/>
          <c:h val="4.698482959913448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sz="1200" b="1" i="0" baseline="0">
                <a:effectLst/>
              </a:rPr>
              <a:t>Rate rises from 2020-21 adopted budgets</a:t>
            </a:r>
            <a:endParaRPr lang="en-AU" sz="1100">
              <a:effectLst/>
            </a:endParaRP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24985022911739993"/>
          <c:y val="0.24214570581274739"/>
          <c:w val="0.21137773619881672"/>
          <c:h val="0.71295867237374544"/>
        </c:manualLayout>
      </c:layout>
      <c:pieChart>
        <c:varyColors val="1"/>
        <c:ser>
          <c:idx val="0"/>
          <c:order val="0"/>
          <c:tx>
            <c:strRef>
              <c:f>'Summary (2)'!$B$35</c:f>
              <c:strCache>
                <c:ptCount val="1"/>
                <c:pt idx="0">
                  <c:v>2020-21</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E3E-4593-B870-590A2484631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E3E-4593-B870-590A2484631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E3E-4593-B870-590A2484631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E3E-4593-B870-590A248463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 (2)'!$A$36:$A$39</c:f>
              <c:strCache>
                <c:ptCount val="4"/>
                <c:pt idx="0">
                  <c:v>Rate rise in line with rate cap</c:v>
                </c:pt>
                <c:pt idx="1">
                  <c:v>Rate rise of &gt; rate cap</c:v>
                </c:pt>
                <c:pt idx="2">
                  <c:v>Rate rise of &lt; rate cap</c:v>
                </c:pt>
                <c:pt idx="3">
                  <c:v>Rate rise of 0% or less</c:v>
                </c:pt>
              </c:strCache>
            </c:strRef>
          </c:cat>
          <c:val>
            <c:numRef>
              <c:f>'Summary (2)'!$B$36:$B$39</c:f>
              <c:numCache>
                <c:formatCode>General</c:formatCode>
                <c:ptCount val="4"/>
                <c:pt idx="0">
                  <c:v>55</c:v>
                </c:pt>
                <c:pt idx="1">
                  <c:v>0</c:v>
                </c:pt>
                <c:pt idx="2">
                  <c:v>7</c:v>
                </c:pt>
                <c:pt idx="3">
                  <c:v>17</c:v>
                </c:pt>
              </c:numCache>
            </c:numRef>
          </c:val>
          <c:extLst>
            <c:ext xmlns:c16="http://schemas.microsoft.com/office/drawing/2014/chart" uri="{C3380CC4-5D6E-409C-BE32-E72D297353CC}">
              <c16:uniqueId val="{00000008-0E3E-4593-B870-590A2484631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normalizeH="0" baseline="0">
                <a:solidFill>
                  <a:schemeClr val="dk1">
                    <a:lumMod val="50000"/>
                    <a:lumOff val="50000"/>
                  </a:schemeClr>
                </a:solidFill>
                <a:latin typeface="+mj-lt"/>
                <a:ea typeface="+mj-ea"/>
                <a:cs typeface="+mj-cs"/>
              </a:defRPr>
            </a:pPr>
            <a:r>
              <a:rPr lang="en-US" sz="1200"/>
              <a:t>Rate rises from 2019-20</a:t>
            </a:r>
            <a:r>
              <a:rPr lang="en-US" sz="1200" baseline="0"/>
              <a:t> a</a:t>
            </a:r>
            <a:r>
              <a:rPr lang="en-US" sz="1200"/>
              <a:t>dopted budgets </a:t>
            </a:r>
          </a:p>
        </c:rich>
      </c:tx>
      <c:overlay val="0"/>
      <c:spPr>
        <a:noFill/>
        <a:ln>
          <a:noFill/>
        </a:ln>
        <a:effectLst/>
      </c:spPr>
      <c:txPr>
        <a:bodyPr rot="0" spcFirstLastPara="1" vertOverflow="ellipsis" vert="horz" wrap="square" anchor="ctr" anchorCtr="1"/>
        <a:lstStyle/>
        <a:p>
          <a:pPr>
            <a:defRPr sz="14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25052816673777845"/>
          <c:y val="0.28869392548425332"/>
          <c:w val="0.21303112972947344"/>
          <c:h val="0.67972035280431009"/>
        </c:manualLayout>
      </c:layout>
      <c:pieChart>
        <c:varyColors val="1"/>
        <c:ser>
          <c:idx val="0"/>
          <c:order val="0"/>
          <c:tx>
            <c:strRef>
              <c:f>Summary!$C$35</c:f>
              <c:strCache>
                <c:ptCount val="1"/>
                <c:pt idx="0">
                  <c:v>2019-20</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F93-47D3-95DE-36657C38D12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F93-47D3-95DE-36657C38D12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F93-47D3-95DE-36657C38D12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F93-47D3-95DE-36657C38D12A}"/>
              </c:ext>
            </c:extLst>
          </c:dPt>
          <c:dLbls>
            <c:dLbl>
              <c:idx val="0"/>
              <c:layout>
                <c:manualLayout>
                  <c:x val="4.3787629994526463E-2"/>
                  <c:y val="-0.1746419839329374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93-47D3-95DE-36657C38D1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Summary!$A$36:$A$39</c:f>
              <c:strCache>
                <c:ptCount val="4"/>
                <c:pt idx="0">
                  <c:v>Rate rise in line with rate cap</c:v>
                </c:pt>
                <c:pt idx="1">
                  <c:v>Rate rise of &gt; rate cap</c:v>
                </c:pt>
                <c:pt idx="2">
                  <c:v>Rate rise of &lt; rate cap</c:v>
                </c:pt>
                <c:pt idx="3">
                  <c:v>Rate rise of 0% or less</c:v>
                </c:pt>
              </c:strCache>
            </c:strRef>
          </c:cat>
          <c:val>
            <c:numRef>
              <c:f>Summary!$C$36:$C$39</c:f>
              <c:numCache>
                <c:formatCode>General</c:formatCode>
                <c:ptCount val="4"/>
                <c:pt idx="0">
                  <c:v>65</c:v>
                </c:pt>
                <c:pt idx="1">
                  <c:v>4</c:v>
                </c:pt>
                <c:pt idx="2">
                  <c:v>10</c:v>
                </c:pt>
                <c:pt idx="3">
                  <c:v>0</c:v>
                </c:pt>
              </c:numCache>
            </c:numRef>
          </c:val>
          <c:extLst>
            <c:ext xmlns:c16="http://schemas.microsoft.com/office/drawing/2014/chart" uri="{C3380CC4-5D6E-409C-BE32-E72D297353CC}">
              <c16:uniqueId val="{00000008-DF93-47D3-95DE-36657C38D12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baseline="0">
                <a:effectLst/>
              </a:rPr>
              <a:t>Strategic Resources Plan Rates and Charges Projections</a:t>
            </a:r>
            <a:endParaRPr lang="en-A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735928376056974E-2"/>
          <c:y val="0.11816927231922096"/>
          <c:w val="0.88546557906697554"/>
          <c:h val="0.64790322948761836"/>
        </c:manualLayout>
      </c:layout>
      <c:lineChart>
        <c:grouping val="standard"/>
        <c:varyColors val="0"/>
        <c:ser>
          <c:idx val="0"/>
          <c:order val="0"/>
          <c:tx>
            <c:strRef>
              <c:f>Graphs!$C$190</c:f>
              <c:strCache>
                <c:ptCount val="1"/>
                <c:pt idx="0">
                  <c:v>2020-21 SRP - 2.0% cap</c:v>
                </c:pt>
              </c:strCache>
            </c:strRef>
          </c:tx>
          <c:spPr>
            <a:ln w="28575" cap="rnd">
              <a:solidFill>
                <a:schemeClr val="accent1"/>
              </a:solidFill>
              <a:round/>
            </a:ln>
            <a:effectLst/>
          </c:spPr>
          <c:marker>
            <c:symbol val="none"/>
          </c:marker>
          <c:cat>
            <c:strRef>
              <c:f>Graphs!$D$189:$L$189</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Graphs!$D$190:$L$190</c:f>
              <c:numCache>
                <c:formatCode>General</c:formatCode>
                <c:ptCount val="9"/>
                <c:pt idx="5">
                  <c:v>6449915000</c:v>
                </c:pt>
                <c:pt idx="6">
                  <c:v>6729451000</c:v>
                </c:pt>
                <c:pt idx="7">
                  <c:v>7013353000</c:v>
                </c:pt>
                <c:pt idx="8">
                  <c:v>7276026000</c:v>
                </c:pt>
              </c:numCache>
            </c:numRef>
          </c:val>
          <c:smooth val="0"/>
          <c:extLst>
            <c:ext xmlns:c16="http://schemas.microsoft.com/office/drawing/2014/chart" uri="{C3380CC4-5D6E-409C-BE32-E72D297353CC}">
              <c16:uniqueId val="{00000000-7ABB-4E4C-B12E-436134C1AAFA}"/>
            </c:ext>
          </c:extLst>
        </c:ser>
        <c:ser>
          <c:idx val="1"/>
          <c:order val="1"/>
          <c:tx>
            <c:strRef>
              <c:f>Graphs!$C$191</c:f>
              <c:strCache>
                <c:ptCount val="1"/>
                <c:pt idx="0">
                  <c:v>2019-20 SRP - 2.5% cap</c:v>
                </c:pt>
              </c:strCache>
            </c:strRef>
          </c:tx>
          <c:spPr>
            <a:ln w="28575" cap="rnd">
              <a:solidFill>
                <a:schemeClr val="accent2"/>
              </a:solidFill>
              <a:round/>
            </a:ln>
            <a:effectLst/>
          </c:spPr>
          <c:marker>
            <c:symbol val="none"/>
          </c:marker>
          <c:cat>
            <c:strRef>
              <c:f>Graphs!$D$189:$L$189</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Graphs!$D$191:$L$191</c:f>
              <c:numCache>
                <c:formatCode>General</c:formatCode>
                <c:ptCount val="9"/>
                <c:pt idx="4">
                  <c:v>6257473000</c:v>
                </c:pt>
                <c:pt idx="5">
                  <c:v>6486528000</c:v>
                </c:pt>
                <c:pt idx="6">
                  <c:v>6732631000</c:v>
                </c:pt>
                <c:pt idx="7">
                  <c:v>6994944000</c:v>
                </c:pt>
              </c:numCache>
            </c:numRef>
          </c:val>
          <c:smooth val="0"/>
          <c:extLst>
            <c:ext xmlns:c16="http://schemas.microsoft.com/office/drawing/2014/chart" uri="{C3380CC4-5D6E-409C-BE32-E72D297353CC}">
              <c16:uniqueId val="{00000001-7ABB-4E4C-B12E-436134C1AAFA}"/>
            </c:ext>
          </c:extLst>
        </c:ser>
        <c:ser>
          <c:idx val="2"/>
          <c:order val="2"/>
          <c:tx>
            <c:strRef>
              <c:f>Graphs!$C$192</c:f>
              <c:strCache>
                <c:ptCount val="1"/>
                <c:pt idx="0">
                  <c:v>2018-19 SRP - 2.25% cap</c:v>
                </c:pt>
              </c:strCache>
            </c:strRef>
          </c:tx>
          <c:spPr>
            <a:ln w="28575" cap="rnd">
              <a:solidFill>
                <a:schemeClr val="accent3"/>
              </a:solidFill>
              <a:round/>
            </a:ln>
            <a:effectLst/>
          </c:spPr>
          <c:marker>
            <c:symbol val="none"/>
          </c:marker>
          <c:cat>
            <c:strRef>
              <c:f>Graphs!$D$189:$L$189</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Graphs!$D$192:$L$192</c:f>
              <c:numCache>
                <c:formatCode>General</c:formatCode>
                <c:ptCount val="9"/>
                <c:pt idx="3">
                  <c:v>5988084000</c:v>
                </c:pt>
                <c:pt idx="4">
                  <c:v>6205476000</c:v>
                </c:pt>
                <c:pt idx="5">
                  <c:v>6435931000</c:v>
                </c:pt>
                <c:pt idx="6">
                  <c:v>6674821000</c:v>
                </c:pt>
              </c:numCache>
            </c:numRef>
          </c:val>
          <c:smooth val="0"/>
          <c:extLst>
            <c:ext xmlns:c16="http://schemas.microsoft.com/office/drawing/2014/chart" uri="{C3380CC4-5D6E-409C-BE32-E72D297353CC}">
              <c16:uniqueId val="{00000002-7ABB-4E4C-B12E-436134C1AAFA}"/>
            </c:ext>
          </c:extLst>
        </c:ser>
        <c:ser>
          <c:idx val="3"/>
          <c:order val="3"/>
          <c:tx>
            <c:strRef>
              <c:f>Graphs!$C$193</c:f>
              <c:strCache>
                <c:ptCount val="1"/>
                <c:pt idx="0">
                  <c:v>2017-18 SRP - 2.0% cap</c:v>
                </c:pt>
              </c:strCache>
            </c:strRef>
          </c:tx>
          <c:spPr>
            <a:ln w="28575" cap="rnd">
              <a:solidFill>
                <a:schemeClr val="accent4"/>
              </a:solidFill>
              <a:round/>
            </a:ln>
            <a:effectLst/>
          </c:spPr>
          <c:marker>
            <c:symbol val="none"/>
          </c:marker>
          <c:cat>
            <c:strRef>
              <c:f>Graphs!$D$189:$L$189</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Graphs!$D$193:$L$193</c:f>
              <c:numCache>
                <c:formatCode>General</c:formatCode>
                <c:ptCount val="9"/>
                <c:pt idx="2" formatCode="_-* #,##0_-;\-* #,##0_-;_-* &quot;-&quot;??_-;_-@_-">
                  <c:v>5661212000</c:v>
                </c:pt>
                <c:pt idx="3" formatCode="_-* #,##0_-;\-* #,##0_-;_-* &quot;-&quot;??_-;_-@_-">
                  <c:v>5859734000</c:v>
                </c:pt>
                <c:pt idx="4" formatCode="_-* #,##0_-;\-* #,##0_-;_-* &quot;-&quot;??_-;_-@_-">
                  <c:v>6066850000</c:v>
                </c:pt>
                <c:pt idx="5" formatCode="_-* #,##0_-;\-* #,##0_-;_-* &quot;-&quot;??_-;_-@_-">
                  <c:v>6274395000</c:v>
                </c:pt>
              </c:numCache>
            </c:numRef>
          </c:val>
          <c:smooth val="0"/>
          <c:extLst>
            <c:ext xmlns:c16="http://schemas.microsoft.com/office/drawing/2014/chart" uri="{C3380CC4-5D6E-409C-BE32-E72D297353CC}">
              <c16:uniqueId val="{00000003-7ABB-4E4C-B12E-436134C1AAFA}"/>
            </c:ext>
          </c:extLst>
        </c:ser>
        <c:ser>
          <c:idx val="4"/>
          <c:order val="4"/>
          <c:tx>
            <c:strRef>
              <c:f>Graphs!$C$194</c:f>
              <c:strCache>
                <c:ptCount val="1"/>
                <c:pt idx="0">
                  <c:v>2016-17 SRP - 2.5% cap</c:v>
                </c:pt>
              </c:strCache>
            </c:strRef>
          </c:tx>
          <c:spPr>
            <a:ln w="28575" cap="rnd">
              <a:solidFill>
                <a:schemeClr val="accent5"/>
              </a:solidFill>
              <a:round/>
            </a:ln>
            <a:effectLst/>
          </c:spPr>
          <c:marker>
            <c:symbol val="none"/>
          </c:marker>
          <c:cat>
            <c:strRef>
              <c:f>Graphs!$D$189:$L$189</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Graphs!$D$194:$L$194</c:f>
              <c:numCache>
                <c:formatCode>_-* #,##0_-;\-* #,##0_-;_-* "-"??_-;_-@_-</c:formatCode>
                <c:ptCount val="9"/>
                <c:pt idx="1">
                  <c:v>5438207000</c:v>
                </c:pt>
                <c:pt idx="2">
                  <c:v>5654234000</c:v>
                </c:pt>
                <c:pt idx="3">
                  <c:v>5872150000</c:v>
                </c:pt>
                <c:pt idx="4">
                  <c:v>6097603000</c:v>
                </c:pt>
              </c:numCache>
            </c:numRef>
          </c:val>
          <c:smooth val="0"/>
          <c:extLst>
            <c:ext xmlns:c16="http://schemas.microsoft.com/office/drawing/2014/chart" uri="{C3380CC4-5D6E-409C-BE32-E72D297353CC}">
              <c16:uniqueId val="{00000004-7ABB-4E4C-B12E-436134C1AAFA}"/>
            </c:ext>
          </c:extLst>
        </c:ser>
        <c:ser>
          <c:idx val="5"/>
          <c:order val="5"/>
          <c:tx>
            <c:strRef>
              <c:f>Graphs!$C$195</c:f>
              <c:strCache>
                <c:ptCount val="1"/>
                <c:pt idx="0">
                  <c:v>2015-16 SRP - no cap</c:v>
                </c:pt>
              </c:strCache>
            </c:strRef>
          </c:tx>
          <c:spPr>
            <a:ln w="28575" cap="rnd">
              <a:solidFill>
                <a:schemeClr val="accent6"/>
              </a:solidFill>
              <a:round/>
            </a:ln>
            <a:effectLst/>
          </c:spPr>
          <c:marker>
            <c:symbol val="none"/>
          </c:marker>
          <c:dPt>
            <c:idx val="4"/>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06-7ABB-4E4C-B12E-436134C1AAFA}"/>
              </c:ext>
            </c:extLst>
          </c:dPt>
          <c:dPt>
            <c:idx val="5"/>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08-7ABB-4E4C-B12E-436134C1AAFA}"/>
              </c:ext>
            </c:extLst>
          </c:dPt>
          <c:dPt>
            <c:idx val="6"/>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0A-7ABB-4E4C-B12E-436134C1AAFA}"/>
              </c:ext>
            </c:extLst>
          </c:dPt>
          <c:dPt>
            <c:idx val="7"/>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0C-7ABB-4E4C-B12E-436134C1AAFA}"/>
              </c:ext>
            </c:extLst>
          </c:dPt>
          <c:dPt>
            <c:idx val="8"/>
            <c:marker>
              <c:symbol val="none"/>
            </c:marker>
            <c:bubble3D val="0"/>
            <c:spPr>
              <a:ln w="28575" cap="rnd">
                <a:solidFill>
                  <a:schemeClr val="accent6"/>
                </a:solidFill>
                <a:prstDash val="dash"/>
                <a:round/>
                <a:headEnd w="med" len="sm"/>
                <a:tailEnd type="arrow"/>
              </a:ln>
              <a:effectLst/>
            </c:spPr>
            <c:extLst>
              <c:ext xmlns:c16="http://schemas.microsoft.com/office/drawing/2014/chart" uri="{C3380CC4-5D6E-409C-BE32-E72D297353CC}">
                <c16:uniqueId val="{0000000E-7ABB-4E4C-B12E-436134C1AAFA}"/>
              </c:ext>
            </c:extLst>
          </c:dPt>
          <c:cat>
            <c:strRef>
              <c:f>Graphs!$D$189:$L$189</c:f>
              <c:strCache>
                <c:ptCount val="9"/>
                <c:pt idx="0">
                  <c:v>2015-16</c:v>
                </c:pt>
                <c:pt idx="1">
                  <c:v>2016-17</c:v>
                </c:pt>
                <c:pt idx="2">
                  <c:v>2017-18</c:v>
                </c:pt>
                <c:pt idx="3">
                  <c:v>2018-19</c:v>
                </c:pt>
                <c:pt idx="4">
                  <c:v>2019-20</c:v>
                </c:pt>
                <c:pt idx="5">
                  <c:v>2020-21</c:v>
                </c:pt>
                <c:pt idx="6">
                  <c:v>2021-22</c:v>
                </c:pt>
                <c:pt idx="7">
                  <c:v>2022-23</c:v>
                </c:pt>
                <c:pt idx="8">
                  <c:v>2023-24</c:v>
                </c:pt>
              </c:strCache>
            </c:strRef>
          </c:cat>
          <c:val>
            <c:numRef>
              <c:f>Graphs!$D$195:$L$195</c:f>
              <c:numCache>
                <c:formatCode>_-* #,##0_-;\-* #,##0_-;_-* "-"??_-;_-@_-</c:formatCode>
                <c:ptCount val="9"/>
                <c:pt idx="0">
                  <c:v>5207816000</c:v>
                </c:pt>
                <c:pt idx="1">
                  <c:v>5454899000</c:v>
                </c:pt>
                <c:pt idx="2">
                  <c:v>5714151970</c:v>
                </c:pt>
                <c:pt idx="3">
                  <c:v>5984040619.0999994</c:v>
                </c:pt>
                <c:pt idx="4">
                  <c:v>6266676546.0630026</c:v>
                </c:pt>
                <c:pt idx="5">
                  <c:v>6562661825.461092</c:v>
                </c:pt>
                <c:pt idx="6">
                  <c:v>6872626968.823184</c:v>
                </c:pt>
                <c:pt idx="7">
                  <c:v>7197232267.7585411</c:v>
                </c:pt>
                <c:pt idx="8" formatCode="_(* #,##0.00_);_(* \(#,##0.00\);_(* &quot;-&quot;??_);_(@_)">
                  <c:v>7537169200.5181847</c:v>
                </c:pt>
              </c:numCache>
            </c:numRef>
          </c:val>
          <c:smooth val="0"/>
          <c:extLst>
            <c:ext xmlns:c16="http://schemas.microsoft.com/office/drawing/2014/chart" uri="{C3380CC4-5D6E-409C-BE32-E72D297353CC}">
              <c16:uniqueId val="{0000000F-7ABB-4E4C-B12E-436134C1AAFA}"/>
            </c:ext>
          </c:extLst>
        </c:ser>
        <c:dLbls>
          <c:showLegendKey val="0"/>
          <c:showVal val="0"/>
          <c:showCatName val="0"/>
          <c:showSerName val="0"/>
          <c:showPercent val="0"/>
          <c:showBubbleSize val="0"/>
        </c:dLbls>
        <c:smooth val="0"/>
        <c:axId val="1180627736"/>
        <c:axId val="1180628064"/>
      </c:lineChart>
      <c:catAx>
        <c:axId val="1180627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628064"/>
        <c:crosses val="autoZero"/>
        <c:auto val="1"/>
        <c:lblAlgn val="ctr"/>
        <c:lblOffset val="100"/>
        <c:noMultiLvlLbl val="0"/>
      </c:catAx>
      <c:valAx>
        <c:axId val="1180628064"/>
        <c:scaling>
          <c:orientation val="minMax"/>
          <c:min val="520000000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0627736"/>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Billions ($)</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Statutory fees and fines budgeted revenue 2016-17 to 2020-21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8961-413F-A402-F36DAC16683F}"/>
              </c:ext>
            </c:extLst>
          </c:dPt>
          <c:dPt>
            <c:idx val="5"/>
            <c:invertIfNegative val="0"/>
            <c:bubble3D val="0"/>
            <c:spPr>
              <a:solidFill>
                <a:srgbClr val="FFFF00"/>
              </a:solidFill>
              <a:ln>
                <a:noFill/>
              </a:ln>
              <a:effectLst/>
            </c:spPr>
            <c:extLst>
              <c:ext xmlns:c16="http://schemas.microsoft.com/office/drawing/2014/chart" uri="{C3380CC4-5D6E-409C-BE32-E72D297353CC}">
                <c16:uniqueId val="{00000003-8961-413F-A402-F36DAC1668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Graphs'!$B$53:$B$58</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Graphs'!$C$53:$C$58</c:f>
              <c:numCache>
                <c:formatCode>_-* #,##0_-;\-* #,##0_-;_-* "-"??_-;_-@_-</c:formatCode>
                <c:ptCount val="6"/>
                <c:pt idx="0">
                  <c:v>326649</c:v>
                </c:pt>
                <c:pt idx="1">
                  <c:v>366066</c:v>
                </c:pt>
                <c:pt idx="2">
                  <c:v>419155</c:v>
                </c:pt>
                <c:pt idx="3">
                  <c:v>451073</c:v>
                </c:pt>
                <c:pt idx="4">
                  <c:v>414694</c:v>
                </c:pt>
                <c:pt idx="5">
                  <c:v>386772</c:v>
                </c:pt>
              </c:numCache>
            </c:numRef>
          </c:val>
          <c:extLst>
            <c:ext xmlns:c16="http://schemas.microsoft.com/office/drawing/2014/chart" uri="{C3380CC4-5D6E-409C-BE32-E72D297353CC}">
              <c16:uniqueId val="{00000004-8961-413F-A402-F36DAC16683F}"/>
            </c:ext>
          </c:extLst>
        </c:ser>
        <c:dLbls>
          <c:showLegendKey val="0"/>
          <c:showVal val="0"/>
          <c:showCatName val="0"/>
          <c:showSerName val="0"/>
          <c:showPercent val="0"/>
          <c:showBubbleSize val="0"/>
        </c:dLbls>
        <c:gapWidth val="219"/>
        <c:overlap val="-27"/>
        <c:axId val="1281048944"/>
        <c:axId val="1281052880"/>
      </c:barChart>
      <c:catAx>
        <c:axId val="128104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81052880"/>
        <c:crosses val="autoZero"/>
        <c:auto val="1"/>
        <c:lblAlgn val="ctr"/>
        <c:lblOffset val="100"/>
        <c:noMultiLvlLbl val="0"/>
      </c:catAx>
      <c:valAx>
        <c:axId val="128105288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48944"/>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Percentage change in statutory fees and fines revenue over last 5 years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A1E8-4880-A9A2-B467F9B481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Graphs'!$B$62:$B$64,'More Graphs'!$B$66)</c:f>
              <c:strCache>
                <c:ptCount val="4"/>
                <c:pt idx="0">
                  <c:v>Adopted Budget 
2017-18</c:v>
                </c:pt>
                <c:pt idx="1">
                  <c:v>Adopted Budget 
2018-19</c:v>
                </c:pt>
                <c:pt idx="2">
                  <c:v>Adopted Budget 
2019-20</c:v>
                </c:pt>
                <c:pt idx="3">
                  <c:v>Adopted Budget 
2020-21</c:v>
                </c:pt>
              </c:strCache>
            </c:strRef>
          </c:cat>
          <c:val>
            <c:numRef>
              <c:f>('More Graphs'!$C$62:$C$64,'More Graphs'!$C$66)</c:f>
              <c:numCache>
                <c:formatCode>0.00%</c:formatCode>
                <c:ptCount val="4"/>
                <c:pt idx="0">
                  <c:v>0.12067081178880082</c:v>
                </c:pt>
                <c:pt idx="1">
                  <c:v>0.14502576038200762</c:v>
                </c:pt>
                <c:pt idx="2">
                  <c:v>7.6148441507318296E-2</c:v>
                </c:pt>
                <c:pt idx="3">
                  <c:v>-0.14255120568067697</c:v>
                </c:pt>
              </c:numCache>
            </c:numRef>
          </c:val>
          <c:extLst>
            <c:ext xmlns:c16="http://schemas.microsoft.com/office/drawing/2014/chart" uri="{C3380CC4-5D6E-409C-BE32-E72D297353CC}">
              <c16:uniqueId val="{00000002-A1E8-4880-A9A2-B467F9B481C6}"/>
            </c:ext>
          </c:extLst>
        </c:ser>
        <c:dLbls>
          <c:showLegendKey val="0"/>
          <c:showVal val="0"/>
          <c:showCatName val="0"/>
          <c:showSerName val="0"/>
          <c:showPercent val="0"/>
          <c:showBubbleSize val="0"/>
        </c:dLbls>
        <c:gapWidth val="219"/>
        <c:overlap val="-27"/>
        <c:axId val="1281070592"/>
        <c:axId val="1281073872"/>
      </c:barChart>
      <c:catAx>
        <c:axId val="128107059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73872"/>
        <c:crosses val="autoZero"/>
        <c:auto val="1"/>
        <c:lblAlgn val="ctr"/>
        <c:lblOffset val="100"/>
        <c:noMultiLvlLbl val="0"/>
      </c:catAx>
      <c:valAx>
        <c:axId val="1281073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7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User fees budgeted revenue 2016-17 to 2020-21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3DAC-4948-99B0-3925A18AE6E4}"/>
              </c:ext>
            </c:extLst>
          </c:dPt>
          <c:dPt>
            <c:idx val="5"/>
            <c:invertIfNegative val="0"/>
            <c:bubble3D val="0"/>
            <c:spPr>
              <a:solidFill>
                <a:srgbClr val="FFFF00"/>
              </a:solidFill>
              <a:ln>
                <a:noFill/>
              </a:ln>
              <a:effectLst/>
            </c:spPr>
            <c:extLst>
              <c:ext xmlns:c16="http://schemas.microsoft.com/office/drawing/2014/chart" uri="{C3380CC4-5D6E-409C-BE32-E72D297353CC}">
                <c16:uniqueId val="{00000003-3DAC-4948-99B0-3925A18AE6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Graphs'!$B$76:$B$81</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Graphs'!$C$76:$C$81</c:f>
              <c:numCache>
                <c:formatCode>_-* #,##0_-;\-* #,##0_-;_-* "-"??_-;_-@_-</c:formatCode>
                <c:ptCount val="6"/>
                <c:pt idx="0">
                  <c:v>958737</c:v>
                </c:pt>
                <c:pt idx="1">
                  <c:v>990877</c:v>
                </c:pt>
                <c:pt idx="2">
                  <c:v>970318</c:v>
                </c:pt>
                <c:pt idx="3">
                  <c:v>1003959</c:v>
                </c:pt>
                <c:pt idx="4">
                  <c:v>881590</c:v>
                </c:pt>
                <c:pt idx="5">
                  <c:v>829356</c:v>
                </c:pt>
              </c:numCache>
            </c:numRef>
          </c:val>
          <c:extLst>
            <c:ext xmlns:c16="http://schemas.microsoft.com/office/drawing/2014/chart" uri="{C3380CC4-5D6E-409C-BE32-E72D297353CC}">
              <c16:uniqueId val="{00000004-3DAC-4948-99B0-3925A18AE6E4}"/>
            </c:ext>
          </c:extLst>
        </c:ser>
        <c:dLbls>
          <c:showLegendKey val="0"/>
          <c:showVal val="0"/>
          <c:showCatName val="0"/>
          <c:showSerName val="0"/>
          <c:showPercent val="0"/>
          <c:showBubbleSize val="0"/>
        </c:dLbls>
        <c:gapWidth val="219"/>
        <c:overlap val="-27"/>
        <c:axId val="1281087320"/>
        <c:axId val="1281087648"/>
      </c:barChart>
      <c:catAx>
        <c:axId val="128108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81087648"/>
        <c:crosses val="autoZero"/>
        <c:auto val="1"/>
        <c:lblAlgn val="ctr"/>
        <c:lblOffset val="100"/>
        <c:noMultiLvlLbl val="0"/>
      </c:catAx>
      <c:valAx>
        <c:axId val="12810876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87320"/>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Percentage change in user fees budgeted revenue over the last 5 years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653D-40F3-9A49-8EB78BDA219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Graphs'!$B$85:$B$87,'More Graphs'!$B$89)</c:f>
              <c:strCache>
                <c:ptCount val="4"/>
                <c:pt idx="0">
                  <c:v>Adopted Budget 
2017-18</c:v>
                </c:pt>
                <c:pt idx="1">
                  <c:v>Adopted Budget 
2018-19</c:v>
                </c:pt>
                <c:pt idx="2">
                  <c:v>Adopted Budget 
2019-20</c:v>
                </c:pt>
                <c:pt idx="3">
                  <c:v>Adopted Budget 
2020-21</c:v>
                </c:pt>
              </c:strCache>
            </c:strRef>
          </c:cat>
          <c:val>
            <c:numRef>
              <c:f>('More Graphs'!$C$85:$C$87,'More Graphs'!$C$89)</c:f>
              <c:numCache>
                <c:formatCode>0.00%</c:formatCode>
                <c:ptCount val="4"/>
                <c:pt idx="0">
                  <c:v>3.3523270719707281E-2</c:v>
                </c:pt>
                <c:pt idx="1">
                  <c:v>-2.0748286618823528E-2</c:v>
                </c:pt>
                <c:pt idx="2">
                  <c:v>3.4670077232412465E-2</c:v>
                </c:pt>
                <c:pt idx="3">
                  <c:v>-0.17391447260296486</c:v>
                </c:pt>
              </c:numCache>
            </c:numRef>
          </c:val>
          <c:extLst>
            <c:ext xmlns:c16="http://schemas.microsoft.com/office/drawing/2014/chart" uri="{C3380CC4-5D6E-409C-BE32-E72D297353CC}">
              <c16:uniqueId val="{00000002-653D-40F3-9A49-8EB78BDA2192}"/>
            </c:ext>
          </c:extLst>
        </c:ser>
        <c:dLbls>
          <c:showLegendKey val="0"/>
          <c:showVal val="0"/>
          <c:showCatName val="0"/>
          <c:showSerName val="0"/>
          <c:showPercent val="0"/>
          <c:showBubbleSize val="0"/>
        </c:dLbls>
        <c:gapWidth val="219"/>
        <c:overlap val="-27"/>
        <c:axId val="676442832"/>
        <c:axId val="2108240616"/>
      </c:barChart>
      <c:catAx>
        <c:axId val="6764428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08240616"/>
        <c:crosses val="autoZero"/>
        <c:auto val="1"/>
        <c:lblAlgn val="ctr"/>
        <c:lblOffset val="100"/>
        <c:noMultiLvlLbl val="0"/>
      </c:catAx>
      <c:valAx>
        <c:axId val="2108240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44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50" baseline="0">
                <a:solidFill>
                  <a:schemeClr val="tx1">
                    <a:lumMod val="65000"/>
                    <a:lumOff val="35000"/>
                  </a:schemeClr>
                </a:solidFill>
                <a:latin typeface="+mn-lt"/>
                <a:ea typeface="+mn-ea"/>
                <a:cs typeface="+mn-cs"/>
              </a:defRPr>
            </a:pPr>
            <a:r>
              <a:rPr lang="en-AU" sz="1400" b="0" cap="none"/>
              <a:t>Composition of revenue by cohort, 2020-21</a:t>
            </a:r>
          </a:p>
        </c:rich>
      </c:tx>
      <c:overlay val="0"/>
      <c:spPr>
        <a:noFill/>
        <a:ln>
          <a:noFill/>
        </a:ln>
        <a:effectLst/>
      </c:spPr>
      <c:txPr>
        <a:bodyPr rot="0" spcFirstLastPara="1" vertOverflow="ellipsis" vert="horz" wrap="square" anchor="ctr" anchorCtr="1"/>
        <a:lstStyle/>
        <a:p>
          <a:pPr>
            <a:defRPr sz="11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26803900070942"/>
          <c:y val="0.19079563350035791"/>
          <c:w val="0.86686229560098738"/>
          <c:h val="0.542828162415953"/>
        </c:manualLayout>
      </c:layout>
      <c:barChart>
        <c:barDir val="bar"/>
        <c:grouping val="stacked"/>
        <c:varyColors val="0"/>
        <c:ser>
          <c:idx val="0"/>
          <c:order val="0"/>
          <c:tx>
            <c:strRef>
              <c:f>Graphs!$D$135</c:f>
              <c:strCache>
                <c:ptCount val="1"/>
                <c:pt idx="0">
                  <c:v>Rates and charges</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Graphs!$D$144:$D$148</c:f>
              <c:numCache>
                <c:formatCode>0%</c:formatCode>
                <c:ptCount val="5"/>
                <c:pt idx="0">
                  <c:v>0.68663262222940202</c:v>
                </c:pt>
                <c:pt idx="1">
                  <c:v>0.49137417988290666</c:v>
                </c:pt>
                <c:pt idx="2">
                  <c:v>0.56035213382075721</c:v>
                </c:pt>
                <c:pt idx="3">
                  <c:v>0.55953238283851015</c:v>
                </c:pt>
                <c:pt idx="4">
                  <c:v>0.51160066212135158</c:v>
                </c:pt>
              </c:numCache>
            </c:numRef>
          </c:val>
          <c:extLst>
            <c:ext xmlns:c16="http://schemas.microsoft.com/office/drawing/2014/chart" uri="{C3380CC4-5D6E-409C-BE32-E72D297353CC}">
              <c16:uniqueId val="{00000000-0072-4F07-B596-13957591B2F1}"/>
            </c:ext>
          </c:extLst>
        </c:ser>
        <c:ser>
          <c:idx val="1"/>
          <c:order val="1"/>
          <c:tx>
            <c:strRef>
              <c:f>Graphs!$E$135</c:f>
              <c:strCache>
                <c:ptCount val="1"/>
                <c:pt idx="0">
                  <c:v>Statutory fees and fines</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Graphs!$E$144:$E$148</c:f>
              <c:numCache>
                <c:formatCode>0%</c:formatCode>
                <c:ptCount val="5"/>
                <c:pt idx="0">
                  <c:v>5.313868586262975E-2</c:v>
                </c:pt>
                <c:pt idx="1">
                  <c:v>2.7932150825920467E-2</c:v>
                </c:pt>
                <c:pt idx="2">
                  <c:v>2.2834838218405925E-2</c:v>
                </c:pt>
                <c:pt idx="3">
                  <c:v>1.8832000182897379E-2</c:v>
                </c:pt>
                <c:pt idx="4">
                  <c:v>1.3832704245844141E-2</c:v>
                </c:pt>
              </c:numCache>
            </c:numRef>
          </c:val>
          <c:extLst>
            <c:ext xmlns:c16="http://schemas.microsoft.com/office/drawing/2014/chart" uri="{C3380CC4-5D6E-409C-BE32-E72D297353CC}">
              <c16:uniqueId val="{00000001-0072-4F07-B596-13957591B2F1}"/>
            </c:ext>
          </c:extLst>
        </c:ser>
        <c:ser>
          <c:idx val="2"/>
          <c:order val="2"/>
          <c:tx>
            <c:strRef>
              <c:f>Graphs!$F$135</c:f>
              <c:strCache>
                <c:ptCount val="1"/>
                <c:pt idx="0">
                  <c:v>User fees</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Graphs!$F$144:$F$148</c:f>
              <c:numCache>
                <c:formatCode>0%</c:formatCode>
                <c:ptCount val="5"/>
                <c:pt idx="0">
                  <c:v>8.5437868211622289E-2</c:v>
                </c:pt>
                <c:pt idx="1">
                  <c:v>5.1159787119731015E-2</c:v>
                </c:pt>
                <c:pt idx="2">
                  <c:v>0.10101560396088641</c:v>
                </c:pt>
                <c:pt idx="3">
                  <c:v>7.9810415434252685E-2</c:v>
                </c:pt>
                <c:pt idx="4">
                  <c:v>4.9843224538202849E-2</c:v>
                </c:pt>
              </c:numCache>
            </c:numRef>
          </c:val>
          <c:extLst>
            <c:ext xmlns:c16="http://schemas.microsoft.com/office/drawing/2014/chart" uri="{C3380CC4-5D6E-409C-BE32-E72D297353CC}">
              <c16:uniqueId val="{00000002-0072-4F07-B596-13957591B2F1}"/>
            </c:ext>
          </c:extLst>
        </c:ser>
        <c:ser>
          <c:idx val="3"/>
          <c:order val="3"/>
          <c:tx>
            <c:strRef>
              <c:f>Graphs!$G$135</c:f>
              <c:strCache>
                <c:ptCount val="1"/>
                <c:pt idx="0">
                  <c:v>Contributions</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Graphs!$G$144:$G$148</c:f>
              <c:numCache>
                <c:formatCode>0%</c:formatCode>
                <c:ptCount val="5"/>
                <c:pt idx="0">
                  <c:v>3.7137524200338883E-2</c:v>
                </c:pt>
                <c:pt idx="1">
                  <c:v>0.28096355086287794</c:v>
                </c:pt>
                <c:pt idx="2">
                  <c:v>0.10955274423557307</c:v>
                </c:pt>
                <c:pt idx="3">
                  <c:v>5.4211212180965529E-2</c:v>
                </c:pt>
                <c:pt idx="4">
                  <c:v>7.9479834000328528E-3</c:v>
                </c:pt>
              </c:numCache>
            </c:numRef>
          </c:val>
          <c:extLst>
            <c:ext xmlns:c16="http://schemas.microsoft.com/office/drawing/2014/chart" uri="{C3380CC4-5D6E-409C-BE32-E72D297353CC}">
              <c16:uniqueId val="{00000003-0072-4F07-B596-13957591B2F1}"/>
            </c:ext>
          </c:extLst>
        </c:ser>
        <c:ser>
          <c:idx val="4"/>
          <c:order val="4"/>
          <c:tx>
            <c:strRef>
              <c:f>Graphs!$H$135</c:f>
              <c:strCache>
                <c:ptCount val="1"/>
                <c:pt idx="0">
                  <c:v>Grants</c:v>
                </c:pt>
              </c:strCache>
            </c:strRef>
          </c:tx>
          <c:spPr>
            <a:solidFill>
              <a:schemeClr val="accent5">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Graphs!$H$144:$H$148</c:f>
              <c:numCache>
                <c:formatCode>0%</c:formatCode>
                <c:ptCount val="5"/>
                <c:pt idx="0">
                  <c:v>0.12025367869313913</c:v>
                </c:pt>
                <c:pt idx="1">
                  <c:v>0.13262206650108144</c:v>
                </c:pt>
                <c:pt idx="2">
                  <c:v>0.19168634831408504</c:v>
                </c:pt>
                <c:pt idx="3">
                  <c:v>0.26089096744140855</c:v>
                </c:pt>
                <c:pt idx="4">
                  <c:v>0.38942230453610888</c:v>
                </c:pt>
              </c:numCache>
            </c:numRef>
          </c:val>
          <c:extLst>
            <c:ext xmlns:c16="http://schemas.microsoft.com/office/drawing/2014/chart" uri="{C3380CC4-5D6E-409C-BE32-E72D297353CC}">
              <c16:uniqueId val="{00000004-0072-4F07-B596-13957591B2F1}"/>
            </c:ext>
          </c:extLst>
        </c:ser>
        <c:ser>
          <c:idx val="5"/>
          <c:order val="5"/>
          <c:tx>
            <c:strRef>
              <c:f>Graphs!$I$135</c:f>
              <c:strCache>
                <c:ptCount val="1"/>
                <c:pt idx="0">
                  <c:v>Interest</c:v>
                </c:pt>
              </c:strCache>
            </c:strRef>
          </c:tx>
          <c:spPr>
            <a:solidFill>
              <a:schemeClr val="accent4">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Graphs!$I$144:$I$148</c:f>
              <c:numCache>
                <c:formatCode>0%</c:formatCode>
                <c:ptCount val="5"/>
                <c:pt idx="0">
                  <c:v>5.8099223172861474E-3</c:v>
                </c:pt>
                <c:pt idx="1">
                  <c:v>7.5210417533884801E-3</c:v>
                </c:pt>
                <c:pt idx="2">
                  <c:v>5.5209729492136112E-3</c:v>
                </c:pt>
                <c:pt idx="3">
                  <c:v>5.9670270316612515E-3</c:v>
                </c:pt>
                <c:pt idx="4">
                  <c:v>5.3215205685434594E-3</c:v>
                </c:pt>
              </c:numCache>
            </c:numRef>
          </c:val>
          <c:extLst>
            <c:ext xmlns:c16="http://schemas.microsoft.com/office/drawing/2014/chart" uri="{C3380CC4-5D6E-409C-BE32-E72D297353CC}">
              <c16:uniqueId val="{00000005-0072-4F07-B596-13957591B2F1}"/>
            </c:ext>
          </c:extLst>
        </c:ser>
        <c:ser>
          <c:idx val="6"/>
          <c:order val="6"/>
          <c:tx>
            <c:strRef>
              <c:f>Graphs!$J$135</c:f>
              <c:strCache>
                <c:ptCount val="1"/>
                <c:pt idx="0">
                  <c:v>Other income</c:v>
                </c:pt>
              </c:strCache>
            </c:strRef>
          </c:tx>
          <c:spPr>
            <a:solidFill>
              <a:schemeClr val="accent6">
                <a:lumMod val="80000"/>
                <a:lumOff val="2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Graphs!$C$144:$C$148</c:f>
              <c:strCache>
                <c:ptCount val="5"/>
                <c:pt idx="0">
                  <c:v>Metro</c:v>
                </c:pt>
                <c:pt idx="1">
                  <c:v>Interface</c:v>
                </c:pt>
                <c:pt idx="2">
                  <c:v>Regional Cities</c:v>
                </c:pt>
                <c:pt idx="3">
                  <c:v>Large Shire</c:v>
                </c:pt>
                <c:pt idx="4">
                  <c:v>Small Shire</c:v>
                </c:pt>
              </c:strCache>
            </c:strRef>
          </c:cat>
          <c:val>
            <c:numRef>
              <c:f>Graphs!$J$144:$J$148</c:f>
              <c:numCache>
                <c:formatCode>0%</c:formatCode>
                <c:ptCount val="5"/>
                <c:pt idx="0">
                  <c:v>1.158969848558174E-2</c:v>
                </c:pt>
                <c:pt idx="1">
                  <c:v>8.4272230540940254E-3</c:v>
                </c:pt>
                <c:pt idx="2">
                  <c:v>9.0373585010787502E-3</c:v>
                </c:pt>
                <c:pt idx="3">
                  <c:v>2.0755994890304438E-2</c:v>
                </c:pt>
                <c:pt idx="4">
                  <c:v>2.2031600589916187E-2</c:v>
                </c:pt>
              </c:numCache>
            </c:numRef>
          </c:val>
          <c:extLst>
            <c:ext xmlns:c16="http://schemas.microsoft.com/office/drawing/2014/chart" uri="{C3380CC4-5D6E-409C-BE32-E72D297353CC}">
              <c16:uniqueId val="{00000006-0072-4F07-B596-13957591B2F1}"/>
            </c:ext>
          </c:extLst>
        </c:ser>
        <c:dLbls>
          <c:dLblPos val="ctr"/>
          <c:showLegendKey val="0"/>
          <c:showVal val="1"/>
          <c:showCatName val="0"/>
          <c:showSerName val="0"/>
          <c:showPercent val="0"/>
          <c:showBubbleSize val="0"/>
        </c:dLbls>
        <c:gapWidth val="50"/>
        <c:overlap val="100"/>
        <c:axId val="1897384936"/>
        <c:axId val="1897383952"/>
      </c:barChart>
      <c:catAx>
        <c:axId val="1897384936"/>
        <c:scaling>
          <c:orientation val="minMax"/>
        </c:scaling>
        <c:delete val="0"/>
        <c:axPos val="l"/>
        <c:numFmt formatCode="0.00%" sourceLinked="0"/>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83952"/>
        <c:crosses val="autoZero"/>
        <c:auto val="1"/>
        <c:lblAlgn val="ctr"/>
        <c:lblOffset val="100"/>
        <c:noMultiLvlLbl val="0"/>
      </c:catAx>
      <c:valAx>
        <c:axId val="1897383952"/>
        <c:scaling>
          <c:orientation val="minMax"/>
          <c:max val="1"/>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84936"/>
        <c:crosses val="autoZero"/>
        <c:crossBetween val="between"/>
      </c:valAx>
      <c:spPr>
        <a:noFill/>
        <a:ln>
          <a:noFill/>
        </a:ln>
        <a:effectLst/>
      </c:spPr>
    </c:plotArea>
    <c:legend>
      <c:legendPos val="b"/>
      <c:layout>
        <c:manualLayout>
          <c:xMode val="edge"/>
          <c:yMode val="edge"/>
          <c:x val="1.1865797119313343E-2"/>
          <c:y val="0.82380860385016952"/>
          <c:w val="0.96744909146306002"/>
          <c:h val="0.1189551786795881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Budgeted revenue from statutory fees and fines and</a:t>
            </a:r>
            <a:r>
              <a:rPr lang="en-AU" baseline="0"/>
              <a:t> user fees by cohort</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'Master Data PB2021'!$I$16</c:f>
              <c:strCache>
                <c:ptCount val="1"/>
                <c:pt idx="0">
                  <c:v>Adopted Budget FY 2019-20</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'Master Data PB2021'!$H$17:$H$21</c:f>
              <c:strCache>
                <c:ptCount val="5"/>
                <c:pt idx="0">
                  <c:v>Metropolitan</c:v>
                </c:pt>
                <c:pt idx="1">
                  <c:v>Interface</c:v>
                </c:pt>
                <c:pt idx="2">
                  <c:v>Regional City</c:v>
                </c:pt>
                <c:pt idx="3">
                  <c:v>Large Shire</c:v>
                </c:pt>
                <c:pt idx="4">
                  <c:v>Small Shire</c:v>
                </c:pt>
              </c:strCache>
            </c:strRef>
          </c:cat>
          <c:val>
            <c:numRef>
              <c:f>'Master Data PB2021'!$I$17:$I$21</c:f>
              <c:numCache>
                <c:formatCode>_-"$"* #,##0_-;\-"$"* #,##0_-;_-"$"* "-"??_-;_-@_-</c:formatCode>
                <c:ptCount val="5"/>
                <c:pt idx="0">
                  <c:v>784660</c:v>
                </c:pt>
                <c:pt idx="1">
                  <c:v>276563</c:v>
                </c:pt>
                <c:pt idx="2">
                  <c:v>219170</c:v>
                </c:pt>
                <c:pt idx="3">
                  <c:v>136271</c:v>
                </c:pt>
                <c:pt idx="4">
                  <c:v>38368</c:v>
                </c:pt>
              </c:numCache>
            </c:numRef>
          </c:val>
          <c:extLst>
            <c:ext xmlns:c16="http://schemas.microsoft.com/office/drawing/2014/chart" uri="{C3380CC4-5D6E-409C-BE32-E72D297353CC}">
              <c16:uniqueId val="{00000000-7F82-4AD2-8B94-DA89D53776BA}"/>
            </c:ext>
          </c:extLst>
        </c:ser>
        <c:ser>
          <c:idx val="1"/>
          <c:order val="1"/>
          <c:tx>
            <c:strRef>
              <c:f>'Master Data PB2021'!$J$16</c:f>
              <c:strCache>
                <c:ptCount val="1"/>
                <c:pt idx="0">
                  <c:v>Adopted Budget FY 2020-21</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'Master Data PB2021'!$H$17:$H$21</c:f>
              <c:strCache>
                <c:ptCount val="5"/>
                <c:pt idx="0">
                  <c:v>Metropolitan</c:v>
                </c:pt>
                <c:pt idx="1">
                  <c:v>Interface</c:v>
                </c:pt>
                <c:pt idx="2">
                  <c:v>Regional City</c:v>
                </c:pt>
                <c:pt idx="3">
                  <c:v>Large Shire</c:v>
                </c:pt>
                <c:pt idx="4">
                  <c:v>Small Shire</c:v>
                </c:pt>
              </c:strCache>
            </c:strRef>
          </c:cat>
          <c:val>
            <c:numRef>
              <c:f>'Master Data PB2021'!$J$17:$J$21</c:f>
              <c:numCache>
                <c:formatCode>_-"$"* #,##0_-;\-"$"* #,##0_-;_-"$"* "-"??_-;_-@_-</c:formatCode>
                <c:ptCount val="5"/>
                <c:pt idx="0">
                  <c:v>602184</c:v>
                </c:pt>
                <c:pt idx="1">
                  <c:v>240545</c:v>
                </c:pt>
                <c:pt idx="2">
                  <c:v>200055</c:v>
                </c:pt>
                <c:pt idx="3">
                  <c:v>138069</c:v>
                </c:pt>
                <c:pt idx="4">
                  <c:v>35275</c:v>
                </c:pt>
              </c:numCache>
            </c:numRef>
          </c:val>
          <c:extLst>
            <c:ext xmlns:c16="http://schemas.microsoft.com/office/drawing/2014/chart" uri="{C3380CC4-5D6E-409C-BE32-E72D297353CC}">
              <c16:uniqueId val="{00000001-7F82-4AD2-8B94-DA89D53776BA}"/>
            </c:ext>
          </c:extLst>
        </c:ser>
        <c:dLbls>
          <c:showLegendKey val="0"/>
          <c:showVal val="0"/>
          <c:showCatName val="0"/>
          <c:showSerName val="0"/>
          <c:showPercent val="0"/>
          <c:showBubbleSize val="0"/>
        </c:dLbls>
        <c:gapWidth val="219"/>
        <c:overlap val="-27"/>
        <c:axId val="1232711247"/>
        <c:axId val="1232708623"/>
      </c:barChart>
      <c:catAx>
        <c:axId val="1232711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08623"/>
        <c:crosses val="autoZero"/>
        <c:auto val="1"/>
        <c:lblAlgn val="ctr"/>
        <c:lblOffset val="100"/>
        <c:noMultiLvlLbl val="0"/>
      </c:catAx>
      <c:valAx>
        <c:axId val="1232708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11247"/>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a:t>Average rates and charges compared to average statutory fees, fines and user charges per capita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'More Graphs'!$I$565</c:f>
              <c:strCache>
                <c:ptCount val="1"/>
                <c:pt idx="0">
                  <c:v>Per Capita Rates and Charges</c:v>
                </c:pt>
              </c:strCache>
            </c:strRef>
          </c:tx>
          <c:spPr>
            <a:solidFill>
              <a:schemeClr val="accent3"/>
            </a:solidFill>
            <a:ln>
              <a:noFill/>
            </a:ln>
            <a:effectLst>
              <a:softEdge rad="0"/>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Graphs'!$G$566:$G$570</c:f>
              <c:strCache>
                <c:ptCount val="5"/>
                <c:pt idx="0">
                  <c:v>Small Shire Councils</c:v>
                </c:pt>
                <c:pt idx="1">
                  <c:v>Large Shire Councils</c:v>
                </c:pt>
                <c:pt idx="2">
                  <c:v>Regional Cities Councils</c:v>
                </c:pt>
                <c:pt idx="3">
                  <c:v>Interface Councils</c:v>
                </c:pt>
                <c:pt idx="4">
                  <c:v>Metropolitan Councils</c:v>
                </c:pt>
              </c:strCache>
            </c:strRef>
          </c:cat>
          <c:val>
            <c:numRef>
              <c:f>'More Graphs'!$I$566:$I$570</c:f>
              <c:numCache>
                <c:formatCode>_("$"* #,##0.00_);_("$"* \(#,##0.00\);_("$"* "-"??_);_(@_)</c:formatCode>
                <c:ptCount val="5"/>
                <c:pt idx="0">
                  <c:v>1504.5814575724114</c:v>
                </c:pt>
                <c:pt idx="1">
                  <c:v>1289.5472597822579</c:v>
                </c:pt>
                <c:pt idx="2">
                  <c:v>1100.4146915830131</c:v>
                </c:pt>
                <c:pt idx="3">
                  <c:v>826.40694555810546</c:v>
                </c:pt>
                <c:pt idx="4">
                  <c:v>912.68951530881452</c:v>
                </c:pt>
              </c:numCache>
            </c:numRef>
          </c:val>
          <c:extLst>
            <c:ext xmlns:c16="http://schemas.microsoft.com/office/drawing/2014/chart" uri="{C3380CC4-5D6E-409C-BE32-E72D297353CC}">
              <c16:uniqueId val="{00000000-EB79-44B3-ACED-F5484E8426DF}"/>
            </c:ext>
          </c:extLst>
        </c:ser>
        <c:ser>
          <c:idx val="0"/>
          <c:order val="1"/>
          <c:tx>
            <c:strRef>
              <c:f>'More Graphs'!$H$565</c:f>
              <c:strCache>
                <c:ptCount val="1"/>
                <c:pt idx="0">
                  <c:v>Per Capita statutory fees, fines and user charges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Graphs'!$G$566:$G$570</c:f>
              <c:strCache>
                <c:ptCount val="5"/>
                <c:pt idx="0">
                  <c:v>Small Shire Councils</c:v>
                </c:pt>
                <c:pt idx="1">
                  <c:v>Large Shire Councils</c:v>
                </c:pt>
                <c:pt idx="2">
                  <c:v>Regional Cities Councils</c:v>
                </c:pt>
                <c:pt idx="3">
                  <c:v>Interface Councils</c:v>
                </c:pt>
                <c:pt idx="4">
                  <c:v>Metropolitan Councils</c:v>
                </c:pt>
              </c:strCache>
            </c:strRef>
          </c:cat>
          <c:val>
            <c:numRef>
              <c:f>'More Graphs'!$H$566:$H$570</c:f>
              <c:numCache>
                <c:formatCode>_("$"* #,##0.00_);_("$"* \(#,##0.00\);_("$"* "-"??_);_(@_)</c:formatCode>
                <c:ptCount val="5"/>
                <c:pt idx="0">
                  <c:v>187.26641467765225</c:v>
                </c:pt>
                <c:pt idx="1">
                  <c:v>227.33993716698171</c:v>
                </c:pt>
                <c:pt idx="2">
                  <c:v>243.21643107500071</c:v>
                </c:pt>
                <c:pt idx="3">
                  <c:v>133.01905051566345</c:v>
                </c:pt>
                <c:pt idx="4">
                  <c:v>184.19947418248222</c:v>
                </c:pt>
              </c:numCache>
            </c:numRef>
          </c:val>
          <c:extLst>
            <c:ext xmlns:c16="http://schemas.microsoft.com/office/drawing/2014/chart" uri="{C3380CC4-5D6E-409C-BE32-E72D297353CC}">
              <c16:uniqueId val="{00000001-EB79-44B3-ACED-F5484E8426DF}"/>
            </c:ext>
          </c:extLst>
        </c:ser>
        <c:dLbls>
          <c:dLblPos val="outEnd"/>
          <c:showLegendKey val="0"/>
          <c:showVal val="1"/>
          <c:showCatName val="0"/>
          <c:showSerName val="0"/>
          <c:showPercent val="0"/>
          <c:showBubbleSize val="0"/>
        </c:dLbls>
        <c:gapWidth val="190"/>
        <c:overlap val="-15"/>
        <c:axId val="992205952"/>
        <c:axId val="992203328"/>
      </c:barChart>
      <c:catAx>
        <c:axId val="992205952"/>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92203328"/>
        <c:crosses val="autoZero"/>
        <c:auto val="1"/>
        <c:lblAlgn val="ctr"/>
        <c:lblOffset val="100"/>
        <c:noMultiLvlLbl val="0"/>
      </c:catAx>
      <c:valAx>
        <c:axId val="992203328"/>
        <c:scaling>
          <c:orientation val="minMax"/>
        </c:scaling>
        <c:delete val="0"/>
        <c:axPos val="b"/>
        <c:majorGridlines>
          <c:spPr>
            <a:ln w="9525" cap="flat" cmpd="sng" algn="ctr">
              <a:no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9220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Budgeted revenue from grants by type 2016-17</a:t>
            </a:r>
            <a:r>
              <a:rPr lang="en-US" sz="1200" baseline="0"/>
              <a:t> to 2020-21</a:t>
            </a:r>
            <a:r>
              <a:rPr lang="en-US" sz="1200"/>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Grants - operating recurrent</c:v>
          </c:tx>
          <c:spPr>
            <a:solidFill>
              <a:schemeClr val="accent6"/>
            </a:solidFill>
            <a:ln>
              <a:noFill/>
            </a:ln>
            <a:effectLst/>
          </c:spPr>
          <c:invertIfNegative val="0"/>
          <c:cat>
            <c:strRef>
              <c:f>'More Graphs'!$B$109:$B$114</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Graphs'!$D$109:$D$114</c:f>
              <c:numCache>
                <c:formatCode>_-* #,##0_-;\-* #,##0_-;_-* "-"??_-;_-@_-</c:formatCode>
                <c:ptCount val="6"/>
                <c:pt idx="0">
                  <c:v>1093213</c:v>
                </c:pt>
                <c:pt idx="1">
                  <c:v>998933</c:v>
                </c:pt>
                <c:pt idx="2">
                  <c:v>1035860</c:v>
                </c:pt>
                <c:pt idx="3">
                  <c:v>1115962</c:v>
                </c:pt>
                <c:pt idx="4">
                  <c:v>1131066</c:v>
                </c:pt>
                <c:pt idx="5">
                  <c:v>1127546</c:v>
                </c:pt>
              </c:numCache>
            </c:numRef>
          </c:val>
          <c:extLst>
            <c:ext xmlns:c16="http://schemas.microsoft.com/office/drawing/2014/chart" uri="{C3380CC4-5D6E-409C-BE32-E72D297353CC}">
              <c16:uniqueId val="{00000000-22DB-42AB-AD8F-07445CB54530}"/>
            </c:ext>
          </c:extLst>
        </c:ser>
        <c:ser>
          <c:idx val="1"/>
          <c:order val="1"/>
          <c:tx>
            <c:v>Grants - operating non-recurrent</c:v>
          </c:tx>
          <c:spPr>
            <a:solidFill>
              <a:schemeClr val="accent5"/>
            </a:solidFill>
            <a:ln>
              <a:noFill/>
            </a:ln>
            <a:effectLst/>
          </c:spPr>
          <c:invertIfNegative val="0"/>
          <c:cat>
            <c:strRef>
              <c:f>'More Graphs'!$B$109:$B$114</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Graphs'!$E$109:$E$114</c:f>
              <c:numCache>
                <c:formatCode>_-* #,##0_-;\-* #,##0_-;_-* "-"??_-;_-@_-</c:formatCode>
                <c:ptCount val="6"/>
                <c:pt idx="0">
                  <c:v>32897</c:v>
                </c:pt>
                <c:pt idx="1">
                  <c:v>44835</c:v>
                </c:pt>
                <c:pt idx="2">
                  <c:v>50605</c:v>
                </c:pt>
                <c:pt idx="3">
                  <c:v>45229</c:v>
                </c:pt>
                <c:pt idx="4">
                  <c:v>112292</c:v>
                </c:pt>
                <c:pt idx="5">
                  <c:v>100450</c:v>
                </c:pt>
              </c:numCache>
            </c:numRef>
          </c:val>
          <c:extLst>
            <c:ext xmlns:c16="http://schemas.microsoft.com/office/drawing/2014/chart" uri="{C3380CC4-5D6E-409C-BE32-E72D297353CC}">
              <c16:uniqueId val="{00000001-22DB-42AB-AD8F-07445CB54530}"/>
            </c:ext>
          </c:extLst>
        </c:ser>
        <c:ser>
          <c:idx val="2"/>
          <c:order val="2"/>
          <c:tx>
            <c:v>Grants - capital recurrent</c:v>
          </c:tx>
          <c:spPr>
            <a:solidFill>
              <a:schemeClr val="accent4"/>
            </a:solidFill>
            <a:ln>
              <a:noFill/>
            </a:ln>
            <a:effectLst/>
          </c:spPr>
          <c:invertIfNegative val="0"/>
          <c:cat>
            <c:strRef>
              <c:f>'More Graphs'!$B$109:$B$114</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Graphs'!$F$109:$F$114</c:f>
              <c:numCache>
                <c:formatCode>_-* #,##0_-;\-* #,##0_-;_-* "-"??_-;_-@_-</c:formatCode>
                <c:ptCount val="6"/>
                <c:pt idx="0">
                  <c:v>202770</c:v>
                </c:pt>
                <c:pt idx="1">
                  <c:v>123492</c:v>
                </c:pt>
                <c:pt idx="2">
                  <c:v>85048</c:v>
                </c:pt>
                <c:pt idx="3">
                  <c:v>95998</c:v>
                </c:pt>
                <c:pt idx="4">
                  <c:v>114721</c:v>
                </c:pt>
                <c:pt idx="5">
                  <c:v>116923</c:v>
                </c:pt>
              </c:numCache>
            </c:numRef>
          </c:val>
          <c:extLst>
            <c:ext xmlns:c16="http://schemas.microsoft.com/office/drawing/2014/chart" uri="{C3380CC4-5D6E-409C-BE32-E72D297353CC}">
              <c16:uniqueId val="{00000002-22DB-42AB-AD8F-07445CB54530}"/>
            </c:ext>
          </c:extLst>
        </c:ser>
        <c:ser>
          <c:idx val="3"/>
          <c:order val="3"/>
          <c:tx>
            <c:v>Grants - capital non-recurrent</c:v>
          </c:tx>
          <c:spPr>
            <a:solidFill>
              <a:schemeClr val="accent6">
                <a:lumMod val="60000"/>
              </a:schemeClr>
            </a:solidFill>
            <a:ln>
              <a:noFill/>
            </a:ln>
            <a:effectLst/>
          </c:spPr>
          <c:invertIfNegative val="0"/>
          <c:cat>
            <c:strRef>
              <c:f>'More Graphs'!$B$109:$B$114</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Graphs'!$G$109:$G$114</c:f>
              <c:numCache>
                <c:formatCode>_-* #,##0_-;\-* #,##0_-;_-* "-"??_-;_-@_-</c:formatCode>
                <c:ptCount val="6"/>
                <c:pt idx="0">
                  <c:v>222036</c:v>
                </c:pt>
                <c:pt idx="1">
                  <c:v>302261</c:v>
                </c:pt>
                <c:pt idx="2">
                  <c:v>339916</c:v>
                </c:pt>
                <c:pt idx="3">
                  <c:v>410612</c:v>
                </c:pt>
                <c:pt idx="4">
                  <c:v>444188</c:v>
                </c:pt>
                <c:pt idx="5">
                  <c:v>471519</c:v>
                </c:pt>
              </c:numCache>
            </c:numRef>
          </c:val>
          <c:extLst>
            <c:ext xmlns:c16="http://schemas.microsoft.com/office/drawing/2014/chart" uri="{C3380CC4-5D6E-409C-BE32-E72D297353CC}">
              <c16:uniqueId val="{00000003-22DB-42AB-AD8F-07445CB54530}"/>
            </c:ext>
          </c:extLst>
        </c:ser>
        <c:dLbls>
          <c:showLegendKey val="0"/>
          <c:showVal val="0"/>
          <c:showCatName val="0"/>
          <c:showSerName val="0"/>
          <c:showPercent val="0"/>
          <c:showBubbleSize val="0"/>
        </c:dLbls>
        <c:gapWidth val="219"/>
        <c:overlap val="-27"/>
        <c:axId val="603393320"/>
        <c:axId val="603396600"/>
      </c:barChart>
      <c:catAx>
        <c:axId val="60339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396600"/>
        <c:crosses val="autoZero"/>
        <c:auto val="1"/>
        <c:lblAlgn val="ctr"/>
        <c:lblOffset val="100"/>
        <c:noMultiLvlLbl val="0"/>
      </c:catAx>
      <c:valAx>
        <c:axId val="603396600"/>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393320"/>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revenue from contributions by type 2016-17 to 2020-21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Contributions - monetary</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Graphs'!$B$98:$B$103</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Graphs'!$D$98:$D$103</c:f>
              <c:numCache>
                <c:formatCode>_-* #,##0_-;\-* #,##0_-;_-* "-"??_-;_-@_-</c:formatCode>
                <c:ptCount val="6"/>
                <c:pt idx="0">
                  <c:v>216648</c:v>
                </c:pt>
                <c:pt idx="1">
                  <c:v>303260</c:v>
                </c:pt>
                <c:pt idx="2">
                  <c:v>342875</c:v>
                </c:pt>
                <c:pt idx="3">
                  <c:v>363386</c:v>
                </c:pt>
                <c:pt idx="4">
                  <c:v>470206</c:v>
                </c:pt>
                <c:pt idx="5">
                  <c:v>388917</c:v>
                </c:pt>
              </c:numCache>
            </c:numRef>
          </c:val>
          <c:extLst>
            <c:ext xmlns:c16="http://schemas.microsoft.com/office/drawing/2014/chart" uri="{C3380CC4-5D6E-409C-BE32-E72D297353CC}">
              <c16:uniqueId val="{00000000-04C7-49EF-984B-5FC888F9934C}"/>
            </c:ext>
          </c:extLst>
        </c:ser>
        <c:ser>
          <c:idx val="1"/>
          <c:order val="1"/>
          <c:tx>
            <c:v>Contributions - non-monetary</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Graphs'!$B$98:$B$103</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Graphs'!$E$98:$E$103</c:f>
              <c:numCache>
                <c:formatCode>_-* #,##0_-;\-* #,##0_-;_-* "-"??_-;_-@_-</c:formatCode>
                <c:ptCount val="6"/>
                <c:pt idx="0">
                  <c:v>428666</c:v>
                </c:pt>
                <c:pt idx="1">
                  <c:v>559312</c:v>
                </c:pt>
                <c:pt idx="2">
                  <c:v>602099</c:v>
                </c:pt>
                <c:pt idx="3">
                  <c:v>732657</c:v>
                </c:pt>
                <c:pt idx="4">
                  <c:v>813242</c:v>
                </c:pt>
                <c:pt idx="5">
                  <c:v>884210</c:v>
                </c:pt>
              </c:numCache>
            </c:numRef>
          </c:val>
          <c:extLst>
            <c:ext xmlns:c16="http://schemas.microsoft.com/office/drawing/2014/chart" uri="{C3380CC4-5D6E-409C-BE32-E72D297353CC}">
              <c16:uniqueId val="{00000001-04C7-49EF-984B-5FC888F9934C}"/>
            </c:ext>
          </c:extLst>
        </c:ser>
        <c:dLbls>
          <c:showLegendKey val="0"/>
          <c:showVal val="0"/>
          <c:showCatName val="0"/>
          <c:showSerName val="0"/>
          <c:showPercent val="0"/>
          <c:showBubbleSize val="0"/>
        </c:dLbls>
        <c:gapWidth val="219"/>
        <c:overlap val="-27"/>
        <c:axId val="649751832"/>
        <c:axId val="649749864"/>
      </c:barChart>
      <c:catAx>
        <c:axId val="649751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749864"/>
        <c:crosses val="autoZero"/>
        <c:auto val="1"/>
        <c:lblAlgn val="ctr"/>
        <c:lblOffset val="100"/>
        <c:noMultiLvlLbl val="0"/>
      </c:catAx>
      <c:valAx>
        <c:axId val="64974986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751832"/>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75608048993875"/>
          <c:y val="0.10519874204913575"/>
          <c:w val="0.27106719160104986"/>
          <c:h val="0.73261403135418879"/>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84C-4049-A480-205020198A4B}"/>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84C-4049-A480-205020198A4B}"/>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84C-4049-A480-205020198A4B}"/>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84C-4049-A480-205020198A4B}"/>
              </c:ext>
            </c:extLst>
          </c:dPt>
          <c:dLbls>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3-F84C-4049-A480-205020198A4B}"/>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2"/>
                      </a:solidFill>
                      <a:latin typeface="+mn-lt"/>
                      <a:ea typeface="+mn-ea"/>
                      <a:cs typeface="+mn-cs"/>
                    </a:defRPr>
                  </a:pPr>
                  <a:endParaRPr lang="en-US"/>
                </a:p>
              </c:txPr>
              <c:showLegendKey val="0"/>
              <c:showVal val="0"/>
              <c:showCatName val="0"/>
              <c:showSerName val="0"/>
              <c:showPercent val="1"/>
              <c:showBubbleSize val="0"/>
              <c:extLst>
                <c:ext xmlns:c16="http://schemas.microsoft.com/office/drawing/2014/chart" uri="{C3380CC4-5D6E-409C-BE32-E72D297353CC}">
                  <c16:uniqueId val="{00000005-F84C-4049-A480-205020198A4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Graphs!$C$229:$C$232</c:f>
              <c:strCache>
                <c:ptCount val="4"/>
                <c:pt idx="0">
                  <c:v>Employee costs</c:v>
                </c:pt>
                <c:pt idx="1">
                  <c:v>Materials and services</c:v>
                </c:pt>
                <c:pt idx="2">
                  <c:v>Depreciation and amortisation</c:v>
                </c:pt>
                <c:pt idx="3">
                  <c:v>Other expenses</c:v>
                </c:pt>
              </c:strCache>
            </c:strRef>
          </c:cat>
          <c:val>
            <c:numRef>
              <c:f>Graphs!$D$229:$D$232</c:f>
              <c:numCache>
                <c:formatCode>_("$"* #,##0.00_);_("$"* \(#,##0.00\);_("$"* "-"??_);_(@_)</c:formatCode>
                <c:ptCount val="4"/>
                <c:pt idx="0">
                  <c:v>3.9302769999999998</c:v>
                </c:pt>
                <c:pt idx="1">
                  <c:v>3.5290170000000001</c:v>
                </c:pt>
                <c:pt idx="2">
                  <c:v>1.7280899999999999</c:v>
                </c:pt>
                <c:pt idx="3">
                  <c:v>0.38898700000000003</c:v>
                </c:pt>
              </c:numCache>
            </c:numRef>
          </c:val>
          <c:extLst>
            <c:ext xmlns:c16="http://schemas.microsoft.com/office/drawing/2014/chart" uri="{C3380CC4-5D6E-409C-BE32-E72D297353CC}">
              <c16:uniqueId val="{00000008-F84C-4049-A480-205020198A4B}"/>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AU" sz="1400" b="0" i="0" cap="none" baseline="0">
                <a:effectLst/>
              </a:rPr>
              <a:t>Composition of expenditure by cohort, 2020-21</a:t>
            </a:r>
            <a:endParaRPr lang="en-AU" sz="1400" b="0" cap="none">
              <a:effectLst/>
            </a:endParaRP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26803900070942"/>
          <c:y val="0.19079563350035791"/>
          <c:w val="0.86686229560098738"/>
          <c:h val="0.38813981585635127"/>
        </c:manualLayout>
      </c:layout>
      <c:barChart>
        <c:barDir val="bar"/>
        <c:grouping val="stacked"/>
        <c:varyColors val="0"/>
        <c:ser>
          <c:idx val="0"/>
          <c:order val="0"/>
          <c:tx>
            <c:strRef>
              <c:f>Graphs!$O$281</c:f>
              <c:strCache>
                <c:ptCount val="1"/>
                <c:pt idx="0">
                  <c:v>Asset Write Offs</c:v>
                </c:pt>
              </c:strCache>
            </c:strRef>
          </c:tx>
          <c:spPr>
            <a:solidFill>
              <a:schemeClr val="accent6">
                <a:alpha val="70000"/>
              </a:schemeClr>
            </a:solidFill>
            <a:ln>
              <a:noFill/>
            </a:ln>
            <a:effectLst/>
          </c:spPr>
          <c:invertIfNegative val="0"/>
          <c:dLbls>
            <c:delete val="1"/>
          </c:dLbls>
          <c:cat>
            <c:strRef>
              <c:f>Graphs!$N$282:$N$286</c:f>
              <c:strCache>
                <c:ptCount val="5"/>
                <c:pt idx="0">
                  <c:v>Metropolitan Council</c:v>
                </c:pt>
                <c:pt idx="1">
                  <c:v>Interface Council</c:v>
                </c:pt>
                <c:pt idx="2">
                  <c:v>Regional City</c:v>
                </c:pt>
                <c:pt idx="3">
                  <c:v>Large Shire</c:v>
                </c:pt>
                <c:pt idx="4">
                  <c:v>Small Shire</c:v>
                </c:pt>
              </c:strCache>
            </c:strRef>
          </c:cat>
          <c:val>
            <c:numRef>
              <c:f>Graphs!$O$282:$O$286</c:f>
              <c:numCache>
                <c:formatCode>0%</c:formatCode>
                <c:ptCount val="5"/>
                <c:pt idx="0">
                  <c:v>0</c:v>
                </c:pt>
                <c:pt idx="1">
                  <c:v>0</c:v>
                </c:pt>
                <c:pt idx="2">
                  <c:v>5.5656394119623677E-4</c:v>
                </c:pt>
                <c:pt idx="3">
                  <c:v>0</c:v>
                </c:pt>
                <c:pt idx="4">
                  <c:v>0</c:v>
                </c:pt>
              </c:numCache>
            </c:numRef>
          </c:val>
          <c:extLst>
            <c:ext xmlns:c16="http://schemas.microsoft.com/office/drawing/2014/chart" uri="{C3380CC4-5D6E-409C-BE32-E72D297353CC}">
              <c16:uniqueId val="{00000000-3D53-4D58-8385-9530CB808B0A}"/>
            </c:ext>
          </c:extLst>
        </c:ser>
        <c:ser>
          <c:idx val="1"/>
          <c:order val="1"/>
          <c:tx>
            <c:strRef>
              <c:f>Graphs!$P$281</c:f>
              <c:strCache>
                <c:ptCount val="1"/>
                <c:pt idx="0">
                  <c:v>Bad and doubtful debts</c:v>
                </c:pt>
              </c:strCache>
            </c:strRef>
          </c:tx>
          <c:spPr>
            <a:solidFill>
              <a:schemeClr val="accent5">
                <a:alpha val="70000"/>
              </a:schemeClr>
            </a:solidFill>
            <a:ln>
              <a:noFill/>
            </a:ln>
            <a:effectLst/>
          </c:spPr>
          <c:invertIfNegative val="0"/>
          <c:dLbls>
            <c:delete val="1"/>
          </c:dLbls>
          <c:cat>
            <c:strRef>
              <c:f>Graphs!$N$282:$N$286</c:f>
              <c:strCache>
                <c:ptCount val="5"/>
                <c:pt idx="0">
                  <c:v>Metropolitan Council</c:v>
                </c:pt>
                <c:pt idx="1">
                  <c:v>Interface Council</c:v>
                </c:pt>
                <c:pt idx="2">
                  <c:v>Regional City</c:v>
                </c:pt>
                <c:pt idx="3">
                  <c:v>Large Shire</c:v>
                </c:pt>
                <c:pt idx="4">
                  <c:v>Small Shire</c:v>
                </c:pt>
              </c:strCache>
            </c:strRef>
          </c:cat>
          <c:val>
            <c:numRef>
              <c:f>Graphs!$P$282:$P$286</c:f>
              <c:numCache>
                <c:formatCode>0%</c:formatCode>
                <c:ptCount val="5"/>
                <c:pt idx="0">
                  <c:v>6.8748343424229214E-3</c:v>
                </c:pt>
                <c:pt idx="1">
                  <c:v>6.580012261291141E-4</c:v>
                </c:pt>
                <c:pt idx="2">
                  <c:v>1.9883246799235559E-3</c:v>
                </c:pt>
                <c:pt idx="3">
                  <c:v>3.6671588030902776E-4</c:v>
                </c:pt>
                <c:pt idx="4">
                  <c:v>6.6921897760118367E-4</c:v>
                </c:pt>
              </c:numCache>
            </c:numRef>
          </c:val>
          <c:extLst>
            <c:ext xmlns:c16="http://schemas.microsoft.com/office/drawing/2014/chart" uri="{C3380CC4-5D6E-409C-BE32-E72D297353CC}">
              <c16:uniqueId val="{00000001-3D53-4D58-8385-9530CB808B0A}"/>
            </c:ext>
          </c:extLst>
        </c:ser>
        <c:ser>
          <c:idx val="2"/>
          <c:order val="2"/>
          <c:tx>
            <c:strRef>
              <c:f>Graphs!$Q$281</c:f>
              <c:strCache>
                <c:ptCount val="1"/>
                <c:pt idx="0">
                  <c:v>Borrowing costs</c:v>
                </c:pt>
              </c:strCache>
            </c:strRef>
          </c:tx>
          <c:spPr>
            <a:solidFill>
              <a:schemeClr val="accent4">
                <a:alpha val="70000"/>
              </a:schemeClr>
            </a:solidFill>
            <a:ln>
              <a:noFill/>
            </a:ln>
            <a:effectLst/>
          </c:spPr>
          <c:invertIfNegative val="0"/>
          <c:dLbls>
            <c:delete val="1"/>
          </c:dLbls>
          <c:cat>
            <c:strRef>
              <c:f>Graphs!$N$282:$N$286</c:f>
              <c:strCache>
                <c:ptCount val="5"/>
                <c:pt idx="0">
                  <c:v>Metropolitan Council</c:v>
                </c:pt>
                <c:pt idx="1">
                  <c:v>Interface Council</c:v>
                </c:pt>
                <c:pt idx="2">
                  <c:v>Regional City</c:v>
                </c:pt>
                <c:pt idx="3">
                  <c:v>Large Shire</c:v>
                </c:pt>
                <c:pt idx="4">
                  <c:v>Small Shire</c:v>
                </c:pt>
              </c:strCache>
            </c:strRef>
          </c:cat>
          <c:val>
            <c:numRef>
              <c:f>Graphs!$Q$282:$Q$286</c:f>
              <c:numCache>
                <c:formatCode>0%</c:formatCode>
                <c:ptCount val="5"/>
                <c:pt idx="0">
                  <c:v>4.8964010135669816E-3</c:v>
                </c:pt>
                <c:pt idx="1">
                  <c:v>6.7258271671511117E-3</c:v>
                </c:pt>
                <c:pt idx="2">
                  <c:v>9.4490643116591101E-3</c:v>
                </c:pt>
                <c:pt idx="3">
                  <c:v>4.5000254553322558E-3</c:v>
                </c:pt>
                <c:pt idx="4">
                  <c:v>1.9885908650656256E-3</c:v>
                </c:pt>
              </c:numCache>
            </c:numRef>
          </c:val>
          <c:extLst>
            <c:ext xmlns:c16="http://schemas.microsoft.com/office/drawing/2014/chart" uri="{C3380CC4-5D6E-409C-BE32-E72D297353CC}">
              <c16:uniqueId val="{00000002-3D53-4D58-8385-9530CB808B0A}"/>
            </c:ext>
          </c:extLst>
        </c:ser>
        <c:ser>
          <c:idx val="3"/>
          <c:order val="3"/>
          <c:tx>
            <c:strRef>
              <c:f>Graphs!$R$281</c:f>
              <c:strCache>
                <c:ptCount val="1"/>
                <c:pt idx="0">
                  <c:v>Depreciation and amortisation</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Graphs!$N$282:$N$286</c:f>
              <c:strCache>
                <c:ptCount val="5"/>
                <c:pt idx="0">
                  <c:v>Metropolitan Council</c:v>
                </c:pt>
                <c:pt idx="1">
                  <c:v>Interface Council</c:v>
                </c:pt>
                <c:pt idx="2">
                  <c:v>Regional City</c:v>
                </c:pt>
                <c:pt idx="3">
                  <c:v>Large Shire</c:v>
                </c:pt>
                <c:pt idx="4">
                  <c:v>Small Shire</c:v>
                </c:pt>
              </c:strCache>
            </c:strRef>
          </c:cat>
          <c:val>
            <c:numRef>
              <c:f>Graphs!$R$282:$R$286</c:f>
              <c:numCache>
                <c:formatCode>0%</c:formatCode>
                <c:ptCount val="5"/>
                <c:pt idx="0">
                  <c:v>0.15514815264416429</c:v>
                </c:pt>
                <c:pt idx="1">
                  <c:v>0.18279274061866788</c:v>
                </c:pt>
                <c:pt idx="2">
                  <c:v>0.20064756214558183</c:v>
                </c:pt>
                <c:pt idx="3">
                  <c:v>0.21561620995558045</c:v>
                </c:pt>
                <c:pt idx="4">
                  <c:v>0.23261365282978577</c:v>
                </c:pt>
              </c:numCache>
            </c:numRef>
          </c:val>
          <c:extLst>
            <c:ext xmlns:c16="http://schemas.microsoft.com/office/drawing/2014/chart" uri="{C3380CC4-5D6E-409C-BE32-E72D297353CC}">
              <c16:uniqueId val="{00000003-3D53-4D58-8385-9530CB808B0A}"/>
            </c:ext>
          </c:extLst>
        </c:ser>
        <c:ser>
          <c:idx val="4"/>
          <c:order val="4"/>
          <c:tx>
            <c:strRef>
              <c:f>Graphs!$S$281</c:f>
              <c:strCache>
                <c:ptCount val="1"/>
                <c:pt idx="0">
                  <c:v>Employee costs</c:v>
                </c:pt>
              </c:strCache>
            </c:strRef>
          </c:tx>
          <c:spPr>
            <a:solidFill>
              <a:schemeClr val="accent5">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Graphs!$N$282:$N$286</c:f>
              <c:strCache>
                <c:ptCount val="5"/>
                <c:pt idx="0">
                  <c:v>Metropolitan Council</c:v>
                </c:pt>
                <c:pt idx="1">
                  <c:v>Interface Council</c:v>
                </c:pt>
                <c:pt idx="2">
                  <c:v>Regional City</c:v>
                </c:pt>
                <c:pt idx="3">
                  <c:v>Large Shire</c:v>
                </c:pt>
                <c:pt idx="4">
                  <c:v>Small Shire</c:v>
                </c:pt>
              </c:strCache>
            </c:strRef>
          </c:cat>
          <c:val>
            <c:numRef>
              <c:f>Graphs!$S$282:$S$286</c:f>
              <c:numCache>
                <c:formatCode>0%</c:formatCode>
                <c:ptCount val="5"/>
                <c:pt idx="0">
                  <c:v>0.43620492288228263</c:v>
                </c:pt>
                <c:pt idx="1">
                  <c:v>0.37694161947170068</c:v>
                </c:pt>
                <c:pt idx="2">
                  <c:v>0.40849567028038997</c:v>
                </c:pt>
                <c:pt idx="3">
                  <c:v>0.38545816416143774</c:v>
                </c:pt>
                <c:pt idx="4">
                  <c:v>0.40929127613004584</c:v>
                </c:pt>
              </c:numCache>
            </c:numRef>
          </c:val>
          <c:extLst>
            <c:ext xmlns:c16="http://schemas.microsoft.com/office/drawing/2014/chart" uri="{C3380CC4-5D6E-409C-BE32-E72D297353CC}">
              <c16:uniqueId val="{00000004-3D53-4D58-8385-9530CB808B0A}"/>
            </c:ext>
          </c:extLst>
        </c:ser>
        <c:ser>
          <c:idx val="5"/>
          <c:order val="5"/>
          <c:tx>
            <c:strRef>
              <c:f>Graphs!$T$281</c:f>
              <c:strCache>
                <c:ptCount val="1"/>
                <c:pt idx="0">
                  <c:v>Materials and services</c:v>
                </c:pt>
              </c:strCache>
            </c:strRef>
          </c:tx>
          <c:spPr>
            <a:solidFill>
              <a:schemeClr val="accent4">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Graphs!$N$282:$N$286</c:f>
              <c:strCache>
                <c:ptCount val="5"/>
                <c:pt idx="0">
                  <c:v>Metropolitan Council</c:v>
                </c:pt>
                <c:pt idx="1">
                  <c:v>Interface Council</c:v>
                </c:pt>
                <c:pt idx="2">
                  <c:v>Regional City</c:v>
                </c:pt>
                <c:pt idx="3">
                  <c:v>Large Shire</c:v>
                </c:pt>
                <c:pt idx="4">
                  <c:v>Small Shire</c:v>
                </c:pt>
              </c:strCache>
            </c:strRef>
          </c:cat>
          <c:val>
            <c:numRef>
              <c:f>Graphs!$T$282:$T$286</c:f>
              <c:numCache>
                <c:formatCode>0%</c:formatCode>
                <c:ptCount val="5"/>
                <c:pt idx="0">
                  <c:v>0.36659246643810411</c:v>
                </c:pt>
                <c:pt idx="1">
                  <c:v>0.39880101630238157</c:v>
                </c:pt>
                <c:pt idx="2">
                  <c:v>0.34967103592550669</c:v>
                </c:pt>
                <c:pt idx="3">
                  <c:v>0.36041011722180505</c:v>
                </c:pt>
                <c:pt idx="4">
                  <c:v>0.32892589400791622</c:v>
                </c:pt>
              </c:numCache>
            </c:numRef>
          </c:val>
          <c:extLst>
            <c:ext xmlns:c16="http://schemas.microsoft.com/office/drawing/2014/chart" uri="{C3380CC4-5D6E-409C-BE32-E72D297353CC}">
              <c16:uniqueId val="{00000005-3D53-4D58-8385-9530CB808B0A}"/>
            </c:ext>
          </c:extLst>
        </c:ser>
        <c:ser>
          <c:idx val="6"/>
          <c:order val="6"/>
          <c:tx>
            <c:strRef>
              <c:f>Graphs!$U$281</c:f>
              <c:strCache>
                <c:ptCount val="1"/>
                <c:pt idx="0">
                  <c:v>Other expenses</c:v>
                </c:pt>
              </c:strCache>
            </c:strRef>
          </c:tx>
          <c:spPr>
            <a:solidFill>
              <a:schemeClr val="accent6">
                <a:lumMod val="80000"/>
                <a:lumOff val="2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Graphs!$N$282:$N$286</c:f>
              <c:strCache>
                <c:ptCount val="5"/>
                <c:pt idx="0">
                  <c:v>Metropolitan Council</c:v>
                </c:pt>
                <c:pt idx="1">
                  <c:v>Interface Council</c:v>
                </c:pt>
                <c:pt idx="2">
                  <c:v>Regional City</c:v>
                </c:pt>
                <c:pt idx="3">
                  <c:v>Large Shire</c:v>
                </c:pt>
                <c:pt idx="4">
                  <c:v>Small Shire</c:v>
                </c:pt>
              </c:strCache>
            </c:strRef>
          </c:cat>
          <c:val>
            <c:numRef>
              <c:f>Graphs!$U$282:$U$286</c:f>
              <c:numCache>
                <c:formatCode>0%</c:formatCode>
                <c:ptCount val="5"/>
                <c:pt idx="0">
                  <c:v>3.0283222679459081E-2</c:v>
                </c:pt>
                <c:pt idx="1">
                  <c:v>3.4080795213969617E-2</c:v>
                </c:pt>
                <c:pt idx="2">
                  <c:v>2.919177871574262E-2</c:v>
                </c:pt>
                <c:pt idx="3">
                  <c:v>3.3648767325535518E-2</c:v>
                </c:pt>
                <c:pt idx="4">
                  <c:v>2.6511367189585352E-2</c:v>
                </c:pt>
              </c:numCache>
            </c:numRef>
          </c:val>
          <c:extLst>
            <c:ext xmlns:c16="http://schemas.microsoft.com/office/drawing/2014/chart" uri="{C3380CC4-5D6E-409C-BE32-E72D297353CC}">
              <c16:uniqueId val="{00000006-3D53-4D58-8385-9530CB808B0A}"/>
            </c:ext>
          </c:extLst>
        </c:ser>
        <c:dLbls>
          <c:dLblPos val="ctr"/>
          <c:showLegendKey val="0"/>
          <c:showVal val="1"/>
          <c:showCatName val="0"/>
          <c:showSerName val="0"/>
          <c:showPercent val="0"/>
          <c:showBubbleSize val="0"/>
        </c:dLbls>
        <c:gapWidth val="50"/>
        <c:overlap val="100"/>
        <c:axId val="1897384936"/>
        <c:axId val="1897383952"/>
      </c:barChart>
      <c:catAx>
        <c:axId val="1897384936"/>
        <c:scaling>
          <c:orientation val="minMax"/>
        </c:scaling>
        <c:delete val="0"/>
        <c:axPos val="l"/>
        <c:numFmt formatCode="0.00%" sourceLinked="0"/>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83952"/>
        <c:crosses val="autoZero"/>
        <c:auto val="1"/>
        <c:lblAlgn val="ctr"/>
        <c:lblOffset val="100"/>
        <c:noMultiLvlLbl val="0"/>
      </c:catAx>
      <c:valAx>
        <c:axId val="1897383952"/>
        <c:scaling>
          <c:orientation val="minMax"/>
          <c:max val="1"/>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84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total operating expenditure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FF00"/>
              </a:solidFill>
              <a:ln>
                <a:noFill/>
              </a:ln>
              <a:effectLst/>
            </c:spPr>
            <c:extLst>
              <c:ext xmlns:c16="http://schemas.microsoft.com/office/drawing/2014/chart" uri="{C3380CC4-5D6E-409C-BE32-E72D297353CC}">
                <c16:uniqueId val="{00000001-2C15-4A54-A043-F2F43CF24731}"/>
              </c:ext>
            </c:extLst>
          </c:dPt>
          <c:dLbls>
            <c:numFmt formatCode="#,##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strRef>
              <c:f>('More Graphs'!$B$139:$B$142,'More Graphs'!$B$144)</c:f>
              <c:strCache>
                <c:ptCount val="5"/>
                <c:pt idx="0">
                  <c:v>Adopted Budget 
2016-17</c:v>
                </c:pt>
                <c:pt idx="1">
                  <c:v>Adopted Budget 
2017-18</c:v>
                </c:pt>
                <c:pt idx="2">
                  <c:v>Adopted Budget 
2018-19</c:v>
                </c:pt>
                <c:pt idx="3">
                  <c:v>Adopted Budget 
2019-20</c:v>
                </c:pt>
                <c:pt idx="4">
                  <c:v>Adopted Budget 
2020-21</c:v>
                </c:pt>
              </c:strCache>
            </c:strRef>
          </c:cat>
          <c:val>
            <c:numRef>
              <c:f>('More Graphs'!$C$139:$C$142,'More Graphs'!$C$144)</c:f>
              <c:numCache>
                <c:formatCode>_-* #,##0_-;\-* #,##0_-;_-* "-"??_-;_-@_-</c:formatCode>
                <c:ptCount val="5"/>
                <c:pt idx="0">
                  <c:v>7897438</c:v>
                </c:pt>
                <c:pt idx="1">
                  <c:v>8195136</c:v>
                </c:pt>
                <c:pt idx="2">
                  <c:v>8586835</c:v>
                </c:pt>
                <c:pt idx="3">
                  <c:v>9006748</c:v>
                </c:pt>
                <c:pt idx="4">
                  <c:v>9576371</c:v>
                </c:pt>
              </c:numCache>
            </c:numRef>
          </c:val>
          <c:extLst>
            <c:ext xmlns:c16="http://schemas.microsoft.com/office/drawing/2014/chart" uri="{C3380CC4-5D6E-409C-BE32-E72D297353CC}">
              <c16:uniqueId val="{00000003-2C15-4A54-A043-F2F43CF24731}"/>
            </c:ext>
          </c:extLst>
        </c:ser>
        <c:dLbls>
          <c:showLegendKey val="0"/>
          <c:showVal val="0"/>
          <c:showCatName val="0"/>
          <c:showSerName val="0"/>
          <c:showPercent val="0"/>
          <c:showBubbleSize val="0"/>
        </c:dLbls>
        <c:gapWidth val="219"/>
        <c:overlap val="-27"/>
        <c:axId val="984860295"/>
        <c:axId val="984856359"/>
      </c:barChart>
      <c:catAx>
        <c:axId val="984860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56359"/>
        <c:crosses val="autoZero"/>
        <c:auto val="1"/>
        <c:lblAlgn val="ctr"/>
        <c:lblOffset val="100"/>
        <c:noMultiLvlLbl val="0"/>
      </c:catAx>
      <c:valAx>
        <c:axId val="98485635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60295"/>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change in budgeted total operating expenditure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D2BA-4C0D-9B8A-E550042D73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Graphs'!$B$148:$B$150,'More Graphs'!$B$152)</c:f>
              <c:strCache>
                <c:ptCount val="4"/>
                <c:pt idx="0">
                  <c:v>Adopted Budget 
2017-18</c:v>
                </c:pt>
                <c:pt idx="1">
                  <c:v>Adopted Budget 
2018-19</c:v>
                </c:pt>
                <c:pt idx="2">
                  <c:v>Adopted Budget 
2019-20</c:v>
                </c:pt>
                <c:pt idx="3">
                  <c:v>Adopted Budget 
2020-21</c:v>
                </c:pt>
              </c:strCache>
            </c:strRef>
          </c:cat>
          <c:val>
            <c:numRef>
              <c:f>('More Graphs'!$C$148:$C$150,'More Graphs'!$C$152)</c:f>
              <c:numCache>
                <c:formatCode>0.00%</c:formatCode>
                <c:ptCount val="4"/>
                <c:pt idx="0">
                  <c:v>3.7695515938206796E-2</c:v>
                </c:pt>
                <c:pt idx="1">
                  <c:v>4.7796522229771418E-2</c:v>
                </c:pt>
                <c:pt idx="2">
                  <c:v>4.8901952814977813E-2</c:v>
                </c:pt>
                <c:pt idx="3">
                  <c:v>6.3244025479562663E-2</c:v>
                </c:pt>
              </c:numCache>
            </c:numRef>
          </c:val>
          <c:extLst>
            <c:ext xmlns:c16="http://schemas.microsoft.com/office/drawing/2014/chart" uri="{C3380CC4-5D6E-409C-BE32-E72D297353CC}">
              <c16:uniqueId val="{00000002-D2BA-4C0D-9B8A-E550042D73A7}"/>
            </c:ext>
          </c:extLst>
        </c:ser>
        <c:dLbls>
          <c:showLegendKey val="0"/>
          <c:showVal val="0"/>
          <c:showCatName val="0"/>
          <c:showSerName val="0"/>
          <c:showPercent val="0"/>
          <c:showBubbleSize val="0"/>
        </c:dLbls>
        <c:gapWidth val="219"/>
        <c:overlap val="-27"/>
        <c:axId val="243349671"/>
        <c:axId val="243349999"/>
      </c:barChart>
      <c:catAx>
        <c:axId val="243349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349999"/>
        <c:crosses val="autoZero"/>
        <c:auto val="1"/>
        <c:lblAlgn val="ctr"/>
        <c:lblOffset val="100"/>
        <c:noMultiLvlLbl val="0"/>
      </c:catAx>
      <c:valAx>
        <c:axId val="2433499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349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Total</a:t>
            </a:r>
            <a:r>
              <a:rPr lang="en-AU" baseline="0"/>
              <a:t> expenditure, forecasted to 2023-24</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67812801373588"/>
          <c:y val="0.16583747927031509"/>
          <c:w val="0.57885501154460961"/>
          <c:h val="0.54737468621224483"/>
        </c:manualLayout>
      </c:layout>
      <c:lineChart>
        <c:grouping val="standard"/>
        <c:varyColors val="0"/>
        <c:ser>
          <c:idx val="0"/>
          <c:order val="0"/>
          <c:tx>
            <c:strRef>
              <c:f>Graphs!$C$319</c:f>
              <c:strCache>
                <c:ptCount val="1"/>
                <c:pt idx="0">
                  <c:v>Employee costs</c:v>
                </c:pt>
              </c:strCache>
            </c:strRef>
          </c:tx>
          <c:spPr>
            <a:ln w="28575" cap="rnd">
              <a:solidFill>
                <a:schemeClr val="accent1"/>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Graphs!$D$319:$I$319</c:f>
              <c:numCache>
                <c:formatCode>_-"$"* #,##0_-;\-"$"* #,##0_-;_-"$"* "-"??_-;_-@_-</c:formatCode>
                <c:ptCount val="6"/>
                <c:pt idx="0">
                  <c:v>3778836000</c:v>
                </c:pt>
                <c:pt idx="1">
                  <c:v>3701657000</c:v>
                </c:pt>
                <c:pt idx="2">
                  <c:v>3930277000</c:v>
                </c:pt>
                <c:pt idx="3">
                  <c:v>4028766000</c:v>
                </c:pt>
                <c:pt idx="4">
                  <c:v>4159983000</c:v>
                </c:pt>
                <c:pt idx="5">
                  <c:v>4289546000</c:v>
                </c:pt>
              </c:numCache>
            </c:numRef>
          </c:val>
          <c:smooth val="0"/>
          <c:extLst>
            <c:ext xmlns:c16="http://schemas.microsoft.com/office/drawing/2014/chart" uri="{C3380CC4-5D6E-409C-BE32-E72D297353CC}">
              <c16:uniqueId val="{00000000-7010-46E2-8E0C-794B5A3F261F}"/>
            </c:ext>
          </c:extLst>
        </c:ser>
        <c:ser>
          <c:idx val="1"/>
          <c:order val="1"/>
          <c:tx>
            <c:strRef>
              <c:f>Graphs!$C$320</c:f>
              <c:strCache>
                <c:ptCount val="1"/>
                <c:pt idx="0">
                  <c:v>Materials and services</c:v>
                </c:pt>
              </c:strCache>
            </c:strRef>
          </c:tx>
          <c:spPr>
            <a:ln w="28575" cap="rnd">
              <a:solidFill>
                <a:schemeClr val="accent2"/>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Graphs!$D$320:$I$320</c:f>
              <c:numCache>
                <c:formatCode>_-"$"* #,##0_-;\-"$"* #,##0_-;_-"$"* "-"??_-;_-@_-</c:formatCode>
                <c:ptCount val="6"/>
                <c:pt idx="0">
                  <c:v>3288732000</c:v>
                </c:pt>
                <c:pt idx="1">
                  <c:v>3470728000</c:v>
                </c:pt>
                <c:pt idx="2">
                  <c:v>3529017000</c:v>
                </c:pt>
                <c:pt idx="3">
                  <c:v>3500689000</c:v>
                </c:pt>
                <c:pt idx="4">
                  <c:v>3596220000</c:v>
                </c:pt>
                <c:pt idx="5">
                  <c:v>3691599000</c:v>
                </c:pt>
              </c:numCache>
            </c:numRef>
          </c:val>
          <c:smooth val="0"/>
          <c:extLst>
            <c:ext xmlns:c16="http://schemas.microsoft.com/office/drawing/2014/chart" uri="{C3380CC4-5D6E-409C-BE32-E72D297353CC}">
              <c16:uniqueId val="{00000001-7010-46E2-8E0C-794B5A3F261F}"/>
            </c:ext>
          </c:extLst>
        </c:ser>
        <c:ser>
          <c:idx val="2"/>
          <c:order val="2"/>
          <c:tx>
            <c:strRef>
              <c:f>Graphs!$C$321</c:f>
              <c:strCache>
                <c:ptCount val="1"/>
                <c:pt idx="0">
                  <c:v>Bad and doubtful debts</c:v>
                </c:pt>
              </c:strCache>
            </c:strRef>
          </c:tx>
          <c:spPr>
            <a:ln w="28575" cap="rnd">
              <a:solidFill>
                <a:schemeClr val="accent3"/>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Graphs!$D$321:$I$321</c:f>
              <c:numCache>
                <c:formatCode>_-"$"* #,##0_-;\-"$"* #,##0_-;_-"$"* "-"??_-;_-@_-</c:formatCode>
                <c:ptCount val="6"/>
                <c:pt idx="0">
                  <c:v>31218000</c:v>
                </c:pt>
                <c:pt idx="1">
                  <c:v>40826000</c:v>
                </c:pt>
                <c:pt idx="2">
                  <c:v>33818000</c:v>
                </c:pt>
                <c:pt idx="3">
                  <c:v>34267000</c:v>
                </c:pt>
                <c:pt idx="4">
                  <c:v>34552000</c:v>
                </c:pt>
                <c:pt idx="5">
                  <c:v>34318000</c:v>
                </c:pt>
              </c:numCache>
            </c:numRef>
          </c:val>
          <c:smooth val="0"/>
          <c:extLst>
            <c:ext xmlns:c16="http://schemas.microsoft.com/office/drawing/2014/chart" uri="{C3380CC4-5D6E-409C-BE32-E72D297353CC}">
              <c16:uniqueId val="{00000002-7010-46E2-8E0C-794B5A3F261F}"/>
            </c:ext>
          </c:extLst>
        </c:ser>
        <c:ser>
          <c:idx val="3"/>
          <c:order val="3"/>
          <c:tx>
            <c:strRef>
              <c:f>Graphs!$C$322</c:f>
              <c:strCache>
                <c:ptCount val="1"/>
                <c:pt idx="0">
                  <c:v>Depreciation and amortisation</c:v>
                </c:pt>
              </c:strCache>
            </c:strRef>
          </c:tx>
          <c:spPr>
            <a:ln w="28575" cap="rnd">
              <a:solidFill>
                <a:schemeClr val="accent4"/>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Graphs!$D$322:$I$322</c:f>
              <c:numCache>
                <c:formatCode>_-"$"* #,##0_-;\-"$"* #,##0_-;_-"$"* "-"??_-;_-@_-</c:formatCode>
                <c:ptCount val="6"/>
                <c:pt idx="0">
                  <c:v>1599154000</c:v>
                </c:pt>
                <c:pt idx="1">
                  <c:v>1654788000</c:v>
                </c:pt>
                <c:pt idx="2">
                  <c:v>1728090000</c:v>
                </c:pt>
                <c:pt idx="3">
                  <c:v>1790763000</c:v>
                </c:pt>
                <c:pt idx="4">
                  <c:v>1847283000</c:v>
                </c:pt>
                <c:pt idx="5">
                  <c:v>1906295000</c:v>
                </c:pt>
              </c:numCache>
            </c:numRef>
          </c:val>
          <c:smooth val="0"/>
          <c:extLst>
            <c:ext xmlns:c16="http://schemas.microsoft.com/office/drawing/2014/chart" uri="{C3380CC4-5D6E-409C-BE32-E72D297353CC}">
              <c16:uniqueId val="{00000003-7010-46E2-8E0C-794B5A3F261F}"/>
            </c:ext>
          </c:extLst>
        </c:ser>
        <c:ser>
          <c:idx val="4"/>
          <c:order val="4"/>
          <c:tx>
            <c:strRef>
              <c:f>Graphs!$C$323</c:f>
              <c:strCache>
                <c:ptCount val="1"/>
                <c:pt idx="0">
                  <c:v>Borrowing costs</c:v>
                </c:pt>
              </c:strCache>
            </c:strRef>
          </c:tx>
          <c:spPr>
            <a:ln w="28575" cap="rnd">
              <a:solidFill>
                <a:schemeClr val="accent5"/>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Graphs!$D$323:$I$323</c:f>
              <c:numCache>
                <c:formatCode>_-"$"* #,##0_-;\-"$"* #,##0_-;_-"$"* "-"??_-;_-@_-</c:formatCode>
                <c:ptCount val="6"/>
                <c:pt idx="0">
                  <c:v>55332000</c:v>
                </c:pt>
                <c:pt idx="1">
                  <c:v>53979000</c:v>
                </c:pt>
                <c:pt idx="2">
                  <c:v>55400000</c:v>
                </c:pt>
                <c:pt idx="3">
                  <c:v>57564000</c:v>
                </c:pt>
                <c:pt idx="4">
                  <c:v>59097000</c:v>
                </c:pt>
                <c:pt idx="5">
                  <c:v>60510000</c:v>
                </c:pt>
              </c:numCache>
            </c:numRef>
          </c:val>
          <c:smooth val="0"/>
          <c:extLst>
            <c:ext xmlns:c16="http://schemas.microsoft.com/office/drawing/2014/chart" uri="{C3380CC4-5D6E-409C-BE32-E72D297353CC}">
              <c16:uniqueId val="{00000004-7010-46E2-8E0C-794B5A3F261F}"/>
            </c:ext>
          </c:extLst>
        </c:ser>
        <c:ser>
          <c:idx val="5"/>
          <c:order val="5"/>
          <c:tx>
            <c:strRef>
              <c:f>Graphs!$C$324</c:f>
              <c:strCache>
                <c:ptCount val="1"/>
                <c:pt idx="0">
                  <c:v>Asset Write Offs</c:v>
                </c:pt>
              </c:strCache>
            </c:strRef>
          </c:tx>
          <c:spPr>
            <a:ln w="28575" cap="rnd">
              <a:solidFill>
                <a:schemeClr val="accent6"/>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Graphs!$D$324:$I$324</c:f>
              <c:numCache>
                <c:formatCode>_-"$"* #,##0_-;\-"$"* #,##0_-;_-"$"* "-"??_-;_-@_-</c:formatCode>
                <c:ptCount val="6"/>
                <c:pt idx="0">
                  <c:v>1673000</c:v>
                </c:pt>
                <c:pt idx="1">
                  <c:v>700000</c:v>
                </c:pt>
                <c:pt idx="2">
                  <c:v>800000</c:v>
                </c:pt>
                <c:pt idx="3">
                  <c:v>743000</c:v>
                </c:pt>
                <c:pt idx="4">
                  <c:v>738000</c:v>
                </c:pt>
                <c:pt idx="5">
                  <c:v>734000</c:v>
                </c:pt>
              </c:numCache>
            </c:numRef>
          </c:val>
          <c:smooth val="0"/>
          <c:extLst>
            <c:ext xmlns:c16="http://schemas.microsoft.com/office/drawing/2014/chart" uri="{C3380CC4-5D6E-409C-BE32-E72D297353CC}">
              <c16:uniqueId val="{00000005-7010-46E2-8E0C-794B5A3F261F}"/>
            </c:ext>
          </c:extLst>
        </c:ser>
        <c:ser>
          <c:idx val="6"/>
          <c:order val="6"/>
          <c:tx>
            <c:strRef>
              <c:f>Graphs!$C$325</c:f>
              <c:strCache>
                <c:ptCount val="1"/>
                <c:pt idx="0">
                  <c:v>Other expenses</c:v>
                </c:pt>
              </c:strCache>
            </c:strRef>
          </c:tx>
          <c:spPr>
            <a:ln w="28575" cap="rnd">
              <a:solidFill>
                <a:schemeClr val="accent1">
                  <a:lumMod val="60000"/>
                </a:schemeClr>
              </a:solidFill>
              <a:round/>
            </a:ln>
            <a:effectLst/>
          </c:spPr>
          <c:marker>
            <c:symbol val="none"/>
          </c:marker>
          <c:cat>
            <c:strRef>
              <c:f>Graphs!$D$318:$I$318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Graphs!$D$325:$I$325</c:f>
              <c:numCache>
                <c:formatCode>_-"$"* #,##0_-;\-"$"* #,##0_-;_-"$"* "-"??_-;_-@_-</c:formatCode>
                <c:ptCount val="6"/>
                <c:pt idx="0">
                  <c:v>251803000</c:v>
                </c:pt>
                <c:pt idx="1">
                  <c:v>297960000</c:v>
                </c:pt>
                <c:pt idx="2">
                  <c:v>298969000</c:v>
                </c:pt>
                <c:pt idx="3">
                  <c:v>290202000</c:v>
                </c:pt>
                <c:pt idx="4">
                  <c:v>284284000</c:v>
                </c:pt>
                <c:pt idx="5">
                  <c:v>293301000</c:v>
                </c:pt>
              </c:numCache>
            </c:numRef>
          </c:val>
          <c:smooth val="0"/>
          <c:extLst>
            <c:ext xmlns:c16="http://schemas.microsoft.com/office/drawing/2014/chart" uri="{C3380CC4-5D6E-409C-BE32-E72D297353CC}">
              <c16:uniqueId val="{00000006-7010-46E2-8E0C-794B5A3F261F}"/>
            </c:ext>
          </c:extLst>
        </c:ser>
        <c:dLbls>
          <c:showLegendKey val="0"/>
          <c:showVal val="0"/>
          <c:showCatName val="0"/>
          <c:showSerName val="0"/>
          <c:showPercent val="0"/>
          <c:showBubbleSize val="0"/>
        </c:dLbls>
        <c:smooth val="0"/>
        <c:axId val="1263662248"/>
        <c:axId val="1341435632"/>
      </c:lineChart>
      <c:catAx>
        <c:axId val="12636622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435632"/>
        <c:crosses val="autoZero"/>
        <c:auto val="1"/>
        <c:lblAlgn val="ctr"/>
        <c:lblOffset val="100"/>
        <c:noMultiLvlLbl val="0"/>
      </c:catAx>
      <c:valAx>
        <c:axId val="13414356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3662248"/>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69829816385733734"/>
          <c:y val="0.14751718173956577"/>
          <c:w val="0.28847281307881623"/>
          <c:h val="0.71874919036632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employee costs 2016-17 to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6F13-4DD2-8741-04732EDB121E}"/>
              </c:ext>
            </c:extLst>
          </c:dPt>
          <c:dPt>
            <c:idx val="5"/>
            <c:invertIfNegative val="0"/>
            <c:bubble3D val="0"/>
            <c:spPr>
              <a:solidFill>
                <a:srgbClr val="FFFF00"/>
              </a:solidFill>
              <a:ln>
                <a:noFill/>
              </a:ln>
              <a:effectLst/>
            </c:spPr>
            <c:extLst>
              <c:ext xmlns:c16="http://schemas.microsoft.com/office/drawing/2014/chart" uri="{C3380CC4-5D6E-409C-BE32-E72D297353CC}">
                <c16:uniqueId val="{00000003-6F13-4DD2-8741-04732EDB121E}"/>
              </c:ext>
            </c:extLst>
          </c:dPt>
          <c:dLbls>
            <c:numFmt formatCode="#,##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Graphs'!$B$159:$B$164</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Graphs'!$C$159:$C$164</c:f>
              <c:numCache>
                <c:formatCode>_-* #,##0_-;\-* #,##0_-;_-* "-"??_-;_-@_-</c:formatCode>
                <c:ptCount val="6"/>
                <c:pt idx="0">
                  <c:v>3332530</c:v>
                </c:pt>
                <c:pt idx="1">
                  <c:v>3473574</c:v>
                </c:pt>
                <c:pt idx="2">
                  <c:v>3614696</c:v>
                </c:pt>
                <c:pt idx="3">
                  <c:v>3778836</c:v>
                </c:pt>
                <c:pt idx="4">
                  <c:v>3701657</c:v>
                </c:pt>
                <c:pt idx="5">
                  <c:v>3930277</c:v>
                </c:pt>
              </c:numCache>
            </c:numRef>
          </c:val>
          <c:extLst>
            <c:ext xmlns:c16="http://schemas.microsoft.com/office/drawing/2014/chart" uri="{C3380CC4-5D6E-409C-BE32-E72D297353CC}">
              <c16:uniqueId val="{00000004-6F13-4DD2-8741-04732EDB121E}"/>
            </c:ext>
          </c:extLst>
        </c:ser>
        <c:dLbls>
          <c:showLegendKey val="0"/>
          <c:showVal val="0"/>
          <c:showCatName val="0"/>
          <c:showSerName val="0"/>
          <c:showPercent val="0"/>
          <c:showBubbleSize val="0"/>
        </c:dLbls>
        <c:gapWidth val="219"/>
        <c:overlap val="-27"/>
        <c:axId val="322911008"/>
        <c:axId val="322910680"/>
      </c:barChart>
      <c:catAx>
        <c:axId val="3229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22910680"/>
        <c:crosses val="autoZero"/>
        <c:auto val="1"/>
        <c:lblAlgn val="ctr"/>
        <c:lblOffset val="100"/>
        <c:noMultiLvlLbl val="0"/>
      </c:catAx>
      <c:valAx>
        <c:axId val="3229106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911008"/>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total revenue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FF00"/>
              </a:solidFill>
              <a:ln>
                <a:noFill/>
              </a:ln>
              <a:effectLst/>
            </c:spPr>
            <c:extLst>
              <c:ext xmlns:c16="http://schemas.microsoft.com/office/drawing/2014/chart" uri="{C3380CC4-5D6E-409C-BE32-E72D297353CC}">
                <c16:uniqueId val="{00000001-9419-4459-8C02-62BBCB801DF5}"/>
              </c:ext>
            </c:extLst>
          </c:dPt>
          <c:dLbls>
            <c:numFmt formatCode="#,##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FF0000"/>
                </a:solidFill>
                <a:prstDash val="sysDot"/>
              </a:ln>
              <a:effectLst/>
            </c:spPr>
            <c:trendlineType val="linear"/>
            <c:dispRSqr val="0"/>
            <c:dispEq val="0"/>
          </c:trendline>
          <c:cat>
            <c:strRef>
              <c:f>('More Graphs'!$B$4:$B$7,'More Graphs'!$B$9)</c:f>
              <c:strCache>
                <c:ptCount val="5"/>
                <c:pt idx="0">
                  <c:v>Adopted Budget 
2016-17</c:v>
                </c:pt>
                <c:pt idx="1">
                  <c:v>Adopted Budget 
2017-18</c:v>
                </c:pt>
                <c:pt idx="2">
                  <c:v>Adopted Budget 
2018-19</c:v>
                </c:pt>
                <c:pt idx="3">
                  <c:v>Adopted Budget 
2019-20</c:v>
                </c:pt>
                <c:pt idx="4">
                  <c:v>Adopted Budget 
2020-21</c:v>
                </c:pt>
              </c:strCache>
            </c:strRef>
          </c:cat>
          <c:val>
            <c:numRef>
              <c:f>('More Graphs'!$C$4:$C$7,'More Graphs'!$C$9)</c:f>
              <c:numCache>
                <c:formatCode>_-* #,##0_-;\-* #,##0_-;_-* "-"??_-;_-@_-</c:formatCode>
                <c:ptCount val="5"/>
                <c:pt idx="0">
                  <c:v>9163081</c:v>
                </c:pt>
                <c:pt idx="1">
                  <c:v>9574144</c:v>
                </c:pt>
                <c:pt idx="2">
                  <c:v>10124020</c:v>
                </c:pt>
                <c:pt idx="3">
                  <c:v>10717883</c:v>
                </c:pt>
                <c:pt idx="4">
                  <c:v>10955795</c:v>
                </c:pt>
              </c:numCache>
            </c:numRef>
          </c:val>
          <c:extLst>
            <c:ext xmlns:c16="http://schemas.microsoft.com/office/drawing/2014/chart" uri="{C3380CC4-5D6E-409C-BE32-E72D297353CC}">
              <c16:uniqueId val="{00000003-9419-4459-8C02-62BBCB801DF5}"/>
            </c:ext>
          </c:extLst>
        </c:ser>
        <c:dLbls>
          <c:showLegendKey val="0"/>
          <c:showVal val="0"/>
          <c:showCatName val="0"/>
          <c:showSerName val="0"/>
          <c:showPercent val="0"/>
          <c:showBubbleSize val="0"/>
        </c:dLbls>
        <c:gapWidth val="219"/>
        <c:overlap val="-27"/>
        <c:axId val="984813063"/>
        <c:axId val="984820607"/>
      </c:barChart>
      <c:catAx>
        <c:axId val="984813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20607"/>
        <c:crosses val="autoZero"/>
        <c:auto val="1"/>
        <c:lblAlgn val="ctr"/>
        <c:lblOffset val="100"/>
        <c:noMultiLvlLbl val="0"/>
      </c:catAx>
      <c:valAx>
        <c:axId val="98482060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13063"/>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change in employee costs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3942-48FD-8FB4-EB5ADB2353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Graphs'!$B$168:$B$170,'More Graphs'!$B$172)</c:f>
              <c:strCache>
                <c:ptCount val="4"/>
                <c:pt idx="0">
                  <c:v>Adopted Budget 
2017-18</c:v>
                </c:pt>
                <c:pt idx="1">
                  <c:v>Adopted Budget 
2018-19</c:v>
                </c:pt>
                <c:pt idx="2">
                  <c:v>Adopted Budget 
2019-20</c:v>
                </c:pt>
                <c:pt idx="3">
                  <c:v>Adopted Budget 
2020-21</c:v>
                </c:pt>
              </c:strCache>
            </c:strRef>
          </c:cat>
          <c:val>
            <c:numRef>
              <c:f>('More Graphs'!$C$168:$C$170,'More Graphs'!$C$172)</c:f>
              <c:numCache>
                <c:formatCode>0.00%</c:formatCode>
                <c:ptCount val="4"/>
                <c:pt idx="0">
                  <c:v>4.2323399939385394E-2</c:v>
                </c:pt>
                <c:pt idx="1">
                  <c:v>4.0627319297069822E-2</c:v>
                </c:pt>
                <c:pt idx="2">
                  <c:v>4.5409074511383526E-2</c:v>
                </c:pt>
                <c:pt idx="3">
                  <c:v>4.0076097507274727E-2</c:v>
                </c:pt>
              </c:numCache>
            </c:numRef>
          </c:val>
          <c:extLst>
            <c:ext xmlns:c16="http://schemas.microsoft.com/office/drawing/2014/chart" uri="{C3380CC4-5D6E-409C-BE32-E72D297353CC}">
              <c16:uniqueId val="{00000002-3942-48FD-8FB4-EB5ADB235337}"/>
            </c:ext>
          </c:extLst>
        </c:ser>
        <c:dLbls>
          <c:showLegendKey val="0"/>
          <c:showVal val="0"/>
          <c:showCatName val="0"/>
          <c:showSerName val="0"/>
          <c:showPercent val="0"/>
          <c:showBubbleSize val="0"/>
        </c:dLbls>
        <c:gapWidth val="219"/>
        <c:overlap val="-27"/>
        <c:axId val="688592072"/>
        <c:axId val="688588136"/>
      </c:barChart>
      <c:catAx>
        <c:axId val="68859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88136"/>
        <c:crosses val="autoZero"/>
        <c:auto val="1"/>
        <c:lblAlgn val="ctr"/>
        <c:lblOffset val="100"/>
        <c:noMultiLvlLbl val="0"/>
      </c:catAx>
      <c:valAx>
        <c:axId val="688588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592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materials and services expenses 2016-17 to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17832375737511"/>
          <c:y val="0.27839999999999998"/>
          <c:w val="0.87156856192226329"/>
          <c:h val="0.47986603674540684"/>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8B47-47D5-9015-711F656F6CD3}"/>
              </c:ext>
            </c:extLst>
          </c:dPt>
          <c:dPt>
            <c:idx val="5"/>
            <c:invertIfNegative val="0"/>
            <c:bubble3D val="0"/>
            <c:spPr>
              <a:solidFill>
                <a:srgbClr val="FFFF00"/>
              </a:solidFill>
              <a:ln>
                <a:noFill/>
              </a:ln>
              <a:effectLst/>
            </c:spPr>
            <c:extLst>
              <c:ext xmlns:c16="http://schemas.microsoft.com/office/drawing/2014/chart" uri="{C3380CC4-5D6E-409C-BE32-E72D297353CC}">
                <c16:uniqueId val="{00000003-8B47-47D5-9015-711F656F6CD3}"/>
              </c:ext>
            </c:extLst>
          </c:dPt>
          <c:dLbls>
            <c:numFmt formatCode="#,##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Graphs'!$B$183:$B$188</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Graphs'!$C$183:$C$188</c:f>
              <c:numCache>
                <c:formatCode>_-* #,##0_-;\-* #,##0_-;_-* "-"??_-;_-@_-</c:formatCode>
                <c:ptCount val="6"/>
                <c:pt idx="0">
                  <c:v>2841617</c:v>
                </c:pt>
                <c:pt idx="1">
                  <c:v>2969202</c:v>
                </c:pt>
                <c:pt idx="2">
                  <c:v>3114453</c:v>
                </c:pt>
                <c:pt idx="3">
                  <c:v>3288732</c:v>
                </c:pt>
                <c:pt idx="4">
                  <c:v>3470728</c:v>
                </c:pt>
                <c:pt idx="5">
                  <c:v>3529017</c:v>
                </c:pt>
              </c:numCache>
            </c:numRef>
          </c:val>
          <c:extLst>
            <c:ext xmlns:c16="http://schemas.microsoft.com/office/drawing/2014/chart" uri="{C3380CC4-5D6E-409C-BE32-E72D297353CC}">
              <c16:uniqueId val="{00000004-8B47-47D5-9015-711F656F6CD3}"/>
            </c:ext>
          </c:extLst>
        </c:ser>
        <c:dLbls>
          <c:showLegendKey val="0"/>
          <c:showVal val="0"/>
          <c:showCatName val="0"/>
          <c:showSerName val="0"/>
          <c:showPercent val="0"/>
          <c:showBubbleSize val="0"/>
        </c:dLbls>
        <c:gapWidth val="219"/>
        <c:overlap val="-27"/>
        <c:axId val="708586624"/>
        <c:axId val="708583344"/>
      </c:barChart>
      <c:catAx>
        <c:axId val="70858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83344"/>
        <c:crosses val="autoZero"/>
        <c:auto val="1"/>
        <c:lblAlgn val="ctr"/>
        <c:lblOffset val="100"/>
        <c:noMultiLvlLbl val="0"/>
      </c:catAx>
      <c:valAx>
        <c:axId val="708583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86624"/>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change in materials and services expenses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C000"/>
              </a:solidFill>
              <a:ln>
                <a:noFill/>
              </a:ln>
              <a:effectLst/>
            </c:spPr>
            <c:extLst>
              <c:ext xmlns:c16="http://schemas.microsoft.com/office/drawing/2014/chart" uri="{C3380CC4-5D6E-409C-BE32-E72D297353CC}">
                <c16:uniqueId val="{00000001-22D7-4606-A46C-28905F75A8DA}"/>
              </c:ext>
            </c:extLst>
          </c:dPt>
          <c:dPt>
            <c:idx val="4"/>
            <c:invertIfNegative val="0"/>
            <c:bubble3D val="0"/>
            <c:spPr>
              <a:solidFill>
                <a:srgbClr val="FFFF00"/>
              </a:solidFill>
              <a:ln>
                <a:noFill/>
              </a:ln>
              <a:effectLst/>
            </c:spPr>
            <c:extLst>
              <c:ext xmlns:c16="http://schemas.microsoft.com/office/drawing/2014/chart" uri="{C3380CC4-5D6E-409C-BE32-E72D297353CC}">
                <c16:uniqueId val="{00000003-22D7-4606-A46C-28905F75A8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Graphs'!$B$192:$B$196</c:f>
              <c:strCache>
                <c:ptCount val="5"/>
                <c:pt idx="0">
                  <c:v>Adopted Budget 
2017-18</c:v>
                </c:pt>
                <c:pt idx="1">
                  <c:v>Adopted Budget 
2018-19</c:v>
                </c:pt>
                <c:pt idx="2">
                  <c:v>Adopted Budget 
2019-20</c:v>
                </c:pt>
                <c:pt idx="3">
                  <c:v>Forecast Actual 
2019-20</c:v>
                </c:pt>
                <c:pt idx="4">
                  <c:v>Adopted Budget 
2020-21</c:v>
                </c:pt>
              </c:strCache>
            </c:strRef>
          </c:cat>
          <c:val>
            <c:numRef>
              <c:f>'More Graphs'!$C$192:$C$196</c:f>
              <c:numCache>
                <c:formatCode>0.00%</c:formatCode>
                <c:ptCount val="5"/>
                <c:pt idx="0">
                  <c:v>4.4898731954376679E-2</c:v>
                </c:pt>
                <c:pt idx="1">
                  <c:v>4.8919204553950858E-2</c:v>
                </c:pt>
                <c:pt idx="2">
                  <c:v>5.595814096407941E-2</c:v>
                </c:pt>
                <c:pt idx="3">
                  <c:v>5.5339261453958545E-2</c:v>
                </c:pt>
                <c:pt idx="4">
                  <c:v>7.3063113686369099E-2</c:v>
                </c:pt>
              </c:numCache>
            </c:numRef>
          </c:val>
          <c:extLst>
            <c:ext xmlns:c16="http://schemas.microsoft.com/office/drawing/2014/chart" uri="{C3380CC4-5D6E-409C-BE32-E72D297353CC}">
              <c16:uniqueId val="{00000004-22D7-4606-A46C-28905F75A8DA}"/>
            </c:ext>
          </c:extLst>
        </c:ser>
        <c:dLbls>
          <c:showLegendKey val="0"/>
          <c:showVal val="0"/>
          <c:showCatName val="0"/>
          <c:showSerName val="0"/>
          <c:showPercent val="0"/>
          <c:showBubbleSize val="0"/>
        </c:dLbls>
        <c:gapWidth val="219"/>
        <c:overlap val="-27"/>
        <c:axId val="322204192"/>
        <c:axId val="322204520"/>
      </c:barChart>
      <c:catAx>
        <c:axId val="32220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204520"/>
        <c:crosses val="autoZero"/>
        <c:auto val="1"/>
        <c:lblAlgn val="ctr"/>
        <c:lblOffset val="100"/>
        <c:noMultiLvlLbl val="0"/>
      </c:catAx>
      <c:valAx>
        <c:axId val="322204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20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Non-current Assets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AACB-41D9-90AF-C733724A56AA}"/>
              </c:ext>
            </c:extLst>
          </c:dPt>
          <c:dPt>
            <c:idx val="5"/>
            <c:invertIfNegative val="0"/>
            <c:bubble3D val="0"/>
            <c:spPr>
              <a:solidFill>
                <a:srgbClr val="FFFF00"/>
              </a:solidFill>
              <a:ln>
                <a:noFill/>
              </a:ln>
              <a:effectLst/>
            </c:spPr>
            <c:extLst>
              <c:ext xmlns:c16="http://schemas.microsoft.com/office/drawing/2014/chart" uri="{C3380CC4-5D6E-409C-BE32-E72D297353CC}">
                <c16:uniqueId val="{00000003-AACB-41D9-90AF-C733724A56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Graphs'!$B$353:$B$358</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Graphs'!$C$353:$C$358</c:f>
              <c:numCache>
                <c:formatCode>_-* #,##0_-;\-* #,##0_-;_-* "-"??_-;_-@_-</c:formatCode>
                <c:ptCount val="6"/>
                <c:pt idx="0">
                  <c:v>79310295</c:v>
                </c:pt>
                <c:pt idx="1">
                  <c:v>89598949</c:v>
                </c:pt>
                <c:pt idx="2">
                  <c:v>96651689</c:v>
                </c:pt>
                <c:pt idx="3">
                  <c:v>108704579</c:v>
                </c:pt>
                <c:pt idx="4">
                  <c:v>107236170</c:v>
                </c:pt>
                <c:pt idx="5">
                  <c:v>110387548</c:v>
                </c:pt>
              </c:numCache>
            </c:numRef>
          </c:val>
          <c:extLst>
            <c:ext xmlns:c16="http://schemas.microsoft.com/office/drawing/2014/chart" uri="{C3380CC4-5D6E-409C-BE32-E72D297353CC}">
              <c16:uniqueId val="{00000004-AACB-41D9-90AF-C733724A56AA}"/>
            </c:ext>
          </c:extLst>
        </c:ser>
        <c:dLbls>
          <c:showLegendKey val="0"/>
          <c:showVal val="0"/>
          <c:showCatName val="0"/>
          <c:showSerName val="0"/>
          <c:showPercent val="0"/>
          <c:showBubbleSize val="0"/>
        </c:dLbls>
        <c:gapWidth val="219"/>
        <c:overlap val="-27"/>
        <c:axId val="984833399"/>
        <c:axId val="984839631"/>
      </c:barChart>
      <c:catAx>
        <c:axId val="984833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9631"/>
        <c:crosses val="autoZero"/>
        <c:auto val="1"/>
        <c:lblAlgn val="ctr"/>
        <c:lblOffset val="100"/>
        <c:noMultiLvlLbl val="0"/>
      </c:catAx>
      <c:valAx>
        <c:axId val="9848396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3399"/>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total depreciation and</a:t>
            </a:r>
            <a:r>
              <a:rPr lang="en-US" baseline="0"/>
              <a:t> amortisation </a:t>
            </a:r>
            <a:r>
              <a:rPr lang="en-US"/>
              <a:t>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15F9-4487-9D94-74AB5F8F23F1}"/>
              </c:ext>
            </c:extLst>
          </c:dPt>
          <c:dPt>
            <c:idx val="5"/>
            <c:invertIfNegative val="0"/>
            <c:bubble3D val="0"/>
            <c:spPr>
              <a:solidFill>
                <a:srgbClr val="FFFF00"/>
              </a:solidFill>
              <a:ln>
                <a:noFill/>
              </a:ln>
              <a:effectLst/>
            </c:spPr>
            <c:extLst>
              <c:ext xmlns:c16="http://schemas.microsoft.com/office/drawing/2014/chart" uri="{C3380CC4-5D6E-409C-BE32-E72D297353CC}">
                <c16:uniqueId val="{00000003-15F9-4487-9D94-74AB5F8F23F1}"/>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Graphs'!$B$334:$B$339</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Graphs'!$C$334:$C$339</c:f>
              <c:numCache>
                <c:formatCode>_-* #,##0_-;\-* #,##0_-;_-* "-"??_-;_-@_-</c:formatCode>
                <c:ptCount val="6"/>
                <c:pt idx="0">
                  <c:v>1392080</c:v>
                </c:pt>
                <c:pt idx="1">
                  <c:v>1449636</c:v>
                </c:pt>
                <c:pt idx="2">
                  <c:v>1519148</c:v>
                </c:pt>
                <c:pt idx="3">
                  <c:v>1599154</c:v>
                </c:pt>
                <c:pt idx="4">
                  <c:v>1654788</c:v>
                </c:pt>
                <c:pt idx="5">
                  <c:v>1728090</c:v>
                </c:pt>
              </c:numCache>
            </c:numRef>
          </c:val>
          <c:extLst>
            <c:ext xmlns:c16="http://schemas.microsoft.com/office/drawing/2014/chart" uri="{C3380CC4-5D6E-409C-BE32-E72D297353CC}">
              <c16:uniqueId val="{00000004-15F9-4487-9D94-74AB5F8F23F1}"/>
            </c:ext>
          </c:extLst>
        </c:ser>
        <c:dLbls>
          <c:showLegendKey val="0"/>
          <c:showVal val="0"/>
          <c:showCatName val="0"/>
          <c:showSerName val="0"/>
          <c:showPercent val="0"/>
          <c:showBubbleSize val="0"/>
        </c:dLbls>
        <c:gapWidth val="219"/>
        <c:overlap val="-27"/>
        <c:axId val="984833399"/>
        <c:axId val="984839631"/>
      </c:barChart>
      <c:catAx>
        <c:axId val="984833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9631"/>
        <c:crosses val="autoZero"/>
        <c:auto val="1"/>
        <c:lblAlgn val="ctr"/>
        <c:lblOffset val="100"/>
        <c:noMultiLvlLbl val="0"/>
      </c:catAx>
      <c:valAx>
        <c:axId val="9848396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3399"/>
        <c:crosses val="autoZero"/>
        <c:crossBetween val="between"/>
        <c:majorUnit val="500000"/>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bad and doubtful debts 2016-17 to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96A3-4175-8977-AF4FA0A35607}"/>
              </c:ext>
            </c:extLst>
          </c:dPt>
          <c:dPt>
            <c:idx val="5"/>
            <c:invertIfNegative val="0"/>
            <c:bubble3D val="0"/>
            <c:spPr>
              <a:solidFill>
                <a:srgbClr val="FFFF00"/>
              </a:solidFill>
              <a:ln>
                <a:noFill/>
              </a:ln>
              <a:effectLst/>
            </c:spPr>
            <c:extLst>
              <c:ext xmlns:c16="http://schemas.microsoft.com/office/drawing/2014/chart" uri="{C3380CC4-5D6E-409C-BE32-E72D297353CC}">
                <c16:uniqueId val="{00000003-96A3-4175-8977-AF4FA0A35607}"/>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Graphs'!$B$202:$B$207</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Graphs'!$C$202:$C$207</c:f>
              <c:numCache>
                <c:formatCode>_-* #,##0_-;\-* #,##0_-;_-* "-"??_-;_-@_-</c:formatCode>
                <c:ptCount val="6"/>
                <c:pt idx="0">
                  <c:v>22244</c:v>
                </c:pt>
                <c:pt idx="1">
                  <c:v>21473</c:v>
                </c:pt>
                <c:pt idx="2">
                  <c:v>24042</c:v>
                </c:pt>
                <c:pt idx="3">
                  <c:v>31218</c:v>
                </c:pt>
                <c:pt idx="4">
                  <c:v>40826</c:v>
                </c:pt>
                <c:pt idx="5">
                  <c:v>33818</c:v>
                </c:pt>
              </c:numCache>
            </c:numRef>
          </c:val>
          <c:extLst>
            <c:ext xmlns:c16="http://schemas.microsoft.com/office/drawing/2014/chart" uri="{C3380CC4-5D6E-409C-BE32-E72D297353CC}">
              <c16:uniqueId val="{00000004-96A3-4175-8977-AF4FA0A35607}"/>
            </c:ext>
          </c:extLst>
        </c:ser>
        <c:dLbls>
          <c:showLegendKey val="0"/>
          <c:showVal val="0"/>
          <c:showCatName val="0"/>
          <c:showSerName val="0"/>
          <c:showPercent val="0"/>
          <c:showBubbleSize val="0"/>
        </c:dLbls>
        <c:gapWidth val="219"/>
        <c:overlap val="-27"/>
        <c:axId val="641709096"/>
        <c:axId val="641709752"/>
      </c:barChart>
      <c:catAx>
        <c:axId val="64170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09752"/>
        <c:crosses val="autoZero"/>
        <c:auto val="1"/>
        <c:lblAlgn val="ctr"/>
        <c:lblOffset val="100"/>
        <c:noMultiLvlLbl val="0"/>
      </c:catAx>
      <c:valAx>
        <c:axId val="641709752"/>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709096"/>
        <c:crosses val="autoZero"/>
        <c:crossBetween val="between"/>
        <c:dispUnits>
          <c:builtInUnit val="thousand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AU" sz="1100" b="0" i="0" baseline="0">
                <a:effectLst/>
              </a:rPr>
              <a:t>Accounting operating result vs adjusted underlying operating result by cohort</a:t>
            </a:r>
            <a:endParaRPr lang="en-AU"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'Underlying result'!$D$160</c:f>
              <c:strCache>
                <c:ptCount val="1"/>
                <c:pt idx="0">
                  <c:v>Accounting operating surplus</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'Underlying result'!$C$161:$C$165</c:f>
              <c:strCache>
                <c:ptCount val="5"/>
                <c:pt idx="0">
                  <c:v>Metropolitan</c:v>
                </c:pt>
                <c:pt idx="1">
                  <c:v>Interface</c:v>
                </c:pt>
                <c:pt idx="2">
                  <c:v>Regional Cities</c:v>
                </c:pt>
                <c:pt idx="3">
                  <c:v>Large Rural</c:v>
                </c:pt>
                <c:pt idx="4">
                  <c:v>Small Rural</c:v>
                </c:pt>
              </c:strCache>
            </c:strRef>
          </c:cat>
          <c:val>
            <c:numRef>
              <c:f>'Underlying result'!$D$161:$D$165</c:f>
              <c:numCache>
                <c:formatCode>"$"#,##0_);[Red]\("$"#,##0\)</c:formatCode>
                <c:ptCount val="5"/>
                <c:pt idx="0">
                  <c:v>168960000</c:v>
                </c:pt>
                <c:pt idx="1">
                  <c:v>860487000</c:v>
                </c:pt>
                <c:pt idx="2">
                  <c:v>177904000</c:v>
                </c:pt>
                <c:pt idx="3">
                  <c:v>142588000</c:v>
                </c:pt>
                <c:pt idx="4">
                  <c:v>29485000</c:v>
                </c:pt>
              </c:numCache>
            </c:numRef>
          </c:val>
          <c:extLst>
            <c:ext xmlns:c16="http://schemas.microsoft.com/office/drawing/2014/chart" uri="{C3380CC4-5D6E-409C-BE32-E72D297353CC}">
              <c16:uniqueId val="{00000000-67D4-4ED1-9B80-EAF65CA5EDB9}"/>
            </c:ext>
          </c:extLst>
        </c:ser>
        <c:ser>
          <c:idx val="1"/>
          <c:order val="1"/>
          <c:tx>
            <c:strRef>
              <c:f>'Underlying result'!$E$160</c:f>
              <c:strCache>
                <c:ptCount val="1"/>
                <c:pt idx="0">
                  <c:v>Adjusted underlying operating deficit</c:v>
                </c:pt>
              </c:strCache>
            </c:strRef>
          </c:tx>
          <c:spPr>
            <a:solidFill>
              <a:schemeClr val="accent3"/>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'Underlying result'!$C$161:$C$165</c:f>
              <c:strCache>
                <c:ptCount val="5"/>
                <c:pt idx="0">
                  <c:v>Metropolitan</c:v>
                </c:pt>
                <c:pt idx="1">
                  <c:v>Interface</c:v>
                </c:pt>
                <c:pt idx="2">
                  <c:v>Regional Cities</c:v>
                </c:pt>
                <c:pt idx="3">
                  <c:v>Large Rural</c:v>
                </c:pt>
                <c:pt idx="4">
                  <c:v>Small Rural</c:v>
                </c:pt>
              </c:strCache>
            </c:strRef>
          </c:cat>
          <c:val>
            <c:numRef>
              <c:f>'Underlying result'!$E$161:$E$165</c:f>
              <c:numCache>
                <c:formatCode>"$"#,##0_);[Red]\("$"#,##0\)</c:formatCode>
                <c:ptCount val="5"/>
                <c:pt idx="0">
                  <c:v>-116919000</c:v>
                </c:pt>
                <c:pt idx="1">
                  <c:v>-121487000</c:v>
                </c:pt>
                <c:pt idx="2">
                  <c:v>-62997000</c:v>
                </c:pt>
                <c:pt idx="3">
                  <c:v>-33196000</c:v>
                </c:pt>
                <c:pt idx="4">
                  <c:v>-30623000</c:v>
                </c:pt>
              </c:numCache>
            </c:numRef>
          </c:val>
          <c:extLst>
            <c:ext xmlns:c16="http://schemas.microsoft.com/office/drawing/2014/chart" uri="{C3380CC4-5D6E-409C-BE32-E72D297353CC}">
              <c16:uniqueId val="{00000001-67D4-4ED1-9B80-EAF65CA5EDB9}"/>
            </c:ext>
          </c:extLst>
        </c:ser>
        <c:dLbls>
          <c:showLegendKey val="0"/>
          <c:showVal val="0"/>
          <c:showCatName val="0"/>
          <c:showSerName val="0"/>
          <c:showPercent val="0"/>
          <c:showBubbleSize val="0"/>
        </c:dLbls>
        <c:gapWidth val="219"/>
        <c:overlap val="-27"/>
        <c:axId val="191138535"/>
        <c:axId val="191137879"/>
      </c:barChart>
      <c:catAx>
        <c:axId val="19113853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37879"/>
        <c:crosses val="autoZero"/>
        <c:auto val="1"/>
        <c:lblAlgn val="ctr"/>
        <c:lblOffset val="100"/>
        <c:noMultiLvlLbl val="0"/>
      </c:catAx>
      <c:valAx>
        <c:axId val="1911378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138535"/>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AU" sz="1200" baseline="0"/>
              <a:t>Number of councils budgeting deficit operating results by cohort</a:t>
            </a:r>
            <a:endParaRPr lang="en-AU"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'Underlying result'!$D$146</c:f>
              <c:strCache>
                <c:ptCount val="1"/>
                <c:pt idx="0">
                  <c:v>No of Councils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'Underlying result'!$C$147:$C$151</c:f>
              <c:strCache>
                <c:ptCount val="5"/>
                <c:pt idx="0">
                  <c:v>Metropolitan</c:v>
                </c:pt>
                <c:pt idx="1">
                  <c:v>Interface</c:v>
                </c:pt>
                <c:pt idx="2">
                  <c:v>Regional Cities</c:v>
                </c:pt>
                <c:pt idx="3">
                  <c:v>Large Rural</c:v>
                </c:pt>
                <c:pt idx="4">
                  <c:v>Small Rural</c:v>
                </c:pt>
              </c:strCache>
            </c:strRef>
          </c:cat>
          <c:val>
            <c:numRef>
              <c:f>'Underlying result'!$D$147:$D$151</c:f>
              <c:numCache>
                <c:formatCode>General</c:formatCode>
                <c:ptCount val="5"/>
                <c:pt idx="0">
                  <c:v>22</c:v>
                </c:pt>
                <c:pt idx="1">
                  <c:v>9</c:v>
                </c:pt>
                <c:pt idx="2">
                  <c:v>10</c:v>
                </c:pt>
                <c:pt idx="3">
                  <c:v>19</c:v>
                </c:pt>
                <c:pt idx="4">
                  <c:v>19</c:v>
                </c:pt>
              </c:numCache>
            </c:numRef>
          </c:val>
          <c:extLst>
            <c:ext xmlns:c16="http://schemas.microsoft.com/office/drawing/2014/chart" uri="{C3380CC4-5D6E-409C-BE32-E72D297353CC}">
              <c16:uniqueId val="{00000000-3258-4CEA-99A9-E83AE4463BEC}"/>
            </c:ext>
          </c:extLst>
        </c:ser>
        <c:ser>
          <c:idx val="1"/>
          <c:order val="1"/>
          <c:tx>
            <c:strRef>
              <c:f>'Underlying result'!$E$146</c:f>
              <c:strCache>
                <c:ptCount val="1"/>
                <c:pt idx="0">
                  <c:v>Accounting operating deficit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'Underlying result'!$C$147:$C$151</c:f>
              <c:strCache>
                <c:ptCount val="5"/>
                <c:pt idx="0">
                  <c:v>Metropolitan</c:v>
                </c:pt>
                <c:pt idx="1">
                  <c:v>Interface</c:v>
                </c:pt>
                <c:pt idx="2">
                  <c:v>Regional Cities</c:v>
                </c:pt>
                <c:pt idx="3">
                  <c:v>Large Rural</c:v>
                </c:pt>
                <c:pt idx="4">
                  <c:v>Small Rural</c:v>
                </c:pt>
              </c:strCache>
            </c:strRef>
          </c:cat>
          <c:val>
            <c:numRef>
              <c:f>'Underlying result'!$E$147:$E$151</c:f>
              <c:numCache>
                <c:formatCode>General</c:formatCode>
                <c:ptCount val="5"/>
                <c:pt idx="0">
                  <c:v>7</c:v>
                </c:pt>
                <c:pt idx="1">
                  <c:v>0</c:v>
                </c:pt>
                <c:pt idx="2">
                  <c:v>1</c:v>
                </c:pt>
                <c:pt idx="3">
                  <c:v>5</c:v>
                </c:pt>
                <c:pt idx="4">
                  <c:v>7</c:v>
                </c:pt>
              </c:numCache>
            </c:numRef>
          </c:val>
          <c:extLst>
            <c:ext xmlns:c16="http://schemas.microsoft.com/office/drawing/2014/chart" uri="{C3380CC4-5D6E-409C-BE32-E72D297353CC}">
              <c16:uniqueId val="{00000001-3258-4CEA-99A9-E83AE4463BEC}"/>
            </c:ext>
          </c:extLst>
        </c:ser>
        <c:ser>
          <c:idx val="2"/>
          <c:order val="2"/>
          <c:tx>
            <c:strRef>
              <c:f>'Underlying result'!$F$146</c:f>
              <c:strCache>
                <c:ptCount val="1"/>
                <c:pt idx="0">
                  <c:v>Adjusted underlying operating deficit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'Underlying result'!$C$147:$C$151</c:f>
              <c:strCache>
                <c:ptCount val="5"/>
                <c:pt idx="0">
                  <c:v>Metropolitan</c:v>
                </c:pt>
                <c:pt idx="1">
                  <c:v>Interface</c:v>
                </c:pt>
                <c:pt idx="2">
                  <c:v>Regional Cities</c:v>
                </c:pt>
                <c:pt idx="3">
                  <c:v>Large Rural</c:v>
                </c:pt>
                <c:pt idx="4">
                  <c:v>Small Rural</c:v>
                </c:pt>
              </c:strCache>
            </c:strRef>
          </c:cat>
          <c:val>
            <c:numRef>
              <c:f>'Underlying result'!$F$147:$F$151</c:f>
              <c:numCache>
                <c:formatCode>General</c:formatCode>
                <c:ptCount val="5"/>
                <c:pt idx="0">
                  <c:v>12</c:v>
                </c:pt>
                <c:pt idx="1">
                  <c:v>8</c:v>
                </c:pt>
                <c:pt idx="2">
                  <c:v>8</c:v>
                </c:pt>
                <c:pt idx="3">
                  <c:v>12</c:v>
                </c:pt>
                <c:pt idx="4">
                  <c:v>11</c:v>
                </c:pt>
              </c:numCache>
            </c:numRef>
          </c:val>
          <c:extLst>
            <c:ext xmlns:c16="http://schemas.microsoft.com/office/drawing/2014/chart" uri="{C3380CC4-5D6E-409C-BE32-E72D297353CC}">
              <c16:uniqueId val="{00000002-3258-4CEA-99A9-E83AE4463BEC}"/>
            </c:ext>
          </c:extLst>
        </c:ser>
        <c:dLbls>
          <c:dLblPos val="outEnd"/>
          <c:showLegendKey val="0"/>
          <c:showVal val="1"/>
          <c:showCatName val="0"/>
          <c:showSerName val="0"/>
          <c:showPercent val="0"/>
          <c:showBubbleSize val="0"/>
        </c:dLbls>
        <c:gapWidth val="219"/>
        <c:overlap val="-27"/>
        <c:axId val="903449568"/>
        <c:axId val="903449240"/>
      </c:barChart>
      <c:catAx>
        <c:axId val="90344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449240"/>
        <c:crosses val="autoZero"/>
        <c:auto val="1"/>
        <c:lblAlgn val="ctr"/>
        <c:lblOffset val="100"/>
        <c:noMultiLvlLbl val="0"/>
      </c:catAx>
      <c:valAx>
        <c:axId val="903449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44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total capital expenditure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244E-4032-A7FC-111408E4D303}"/>
              </c:ext>
            </c:extLst>
          </c:dPt>
          <c:dPt>
            <c:idx val="5"/>
            <c:invertIfNegative val="0"/>
            <c:bubble3D val="0"/>
            <c:spPr>
              <a:solidFill>
                <a:srgbClr val="FFFF00"/>
              </a:solidFill>
              <a:ln>
                <a:noFill/>
              </a:ln>
              <a:effectLst/>
            </c:spPr>
            <c:extLst>
              <c:ext xmlns:c16="http://schemas.microsoft.com/office/drawing/2014/chart" uri="{C3380CC4-5D6E-409C-BE32-E72D297353CC}">
                <c16:uniqueId val="{00000003-244E-4032-A7FC-111408E4D303}"/>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Graphs'!$B$303:$B$308</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Graphs'!$C$303:$C$308</c:f>
              <c:numCache>
                <c:formatCode>_-* #,##0_-;\-* #,##0_-;_-* "-"??_-;_-@_-</c:formatCode>
                <c:ptCount val="6"/>
                <c:pt idx="0">
                  <c:v>2679883</c:v>
                </c:pt>
                <c:pt idx="1">
                  <c:v>2801047</c:v>
                </c:pt>
                <c:pt idx="2">
                  <c:v>3127797</c:v>
                </c:pt>
                <c:pt idx="3">
                  <c:v>3475282</c:v>
                </c:pt>
                <c:pt idx="4">
                  <c:v>3419003</c:v>
                </c:pt>
                <c:pt idx="5">
                  <c:v>3502787</c:v>
                </c:pt>
              </c:numCache>
            </c:numRef>
          </c:val>
          <c:extLst>
            <c:ext xmlns:c16="http://schemas.microsoft.com/office/drawing/2014/chart" uri="{C3380CC4-5D6E-409C-BE32-E72D297353CC}">
              <c16:uniqueId val="{00000004-244E-4032-A7FC-111408E4D303}"/>
            </c:ext>
          </c:extLst>
        </c:ser>
        <c:dLbls>
          <c:showLegendKey val="0"/>
          <c:showVal val="0"/>
          <c:showCatName val="0"/>
          <c:showSerName val="0"/>
          <c:showPercent val="0"/>
          <c:showBubbleSize val="0"/>
        </c:dLbls>
        <c:gapWidth val="219"/>
        <c:overlap val="-27"/>
        <c:axId val="984833399"/>
        <c:axId val="984839631"/>
      </c:barChart>
      <c:catAx>
        <c:axId val="9848333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9631"/>
        <c:crosses val="autoZero"/>
        <c:auto val="1"/>
        <c:lblAlgn val="ctr"/>
        <c:lblOffset val="100"/>
        <c:noMultiLvlLbl val="0"/>
      </c:catAx>
      <c:valAx>
        <c:axId val="9848396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3399"/>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 change in budgeted capital works expenditure over 5 years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3C4B-46D3-804E-6A1DD96309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Graphs'!$B$315:$B$317,'More Graphs'!$B$319)</c:f>
              <c:strCache>
                <c:ptCount val="4"/>
                <c:pt idx="0">
                  <c:v>Adopted Budget 
2017-18</c:v>
                </c:pt>
                <c:pt idx="1">
                  <c:v>Adopted Budget 
2018-19</c:v>
                </c:pt>
                <c:pt idx="2">
                  <c:v>Adopted Budget 
2019-20</c:v>
                </c:pt>
                <c:pt idx="3">
                  <c:v>Adopted Budget 
2020-21</c:v>
                </c:pt>
              </c:strCache>
            </c:strRef>
          </c:cat>
          <c:val>
            <c:numRef>
              <c:f>('More Graphs'!$C$315:$C$317,'More Graphs'!$C$319)</c:f>
              <c:numCache>
                <c:formatCode>0.00%</c:formatCode>
                <c:ptCount val="4"/>
                <c:pt idx="0">
                  <c:v>4.5212421587061825E-2</c:v>
                </c:pt>
                <c:pt idx="1">
                  <c:v>0.11665280875329832</c:v>
                </c:pt>
                <c:pt idx="2">
                  <c:v>0.11109576484663167</c:v>
                </c:pt>
                <c:pt idx="3">
                  <c:v>7.9144656462410822E-3</c:v>
                </c:pt>
              </c:numCache>
            </c:numRef>
          </c:val>
          <c:extLst>
            <c:ext xmlns:c16="http://schemas.microsoft.com/office/drawing/2014/chart" uri="{C3380CC4-5D6E-409C-BE32-E72D297353CC}">
              <c16:uniqueId val="{00000002-3C4B-46D3-804E-6A1DD96309C1}"/>
            </c:ext>
          </c:extLst>
        </c:ser>
        <c:dLbls>
          <c:showLegendKey val="0"/>
          <c:showVal val="0"/>
          <c:showCatName val="0"/>
          <c:showSerName val="0"/>
          <c:showPercent val="0"/>
          <c:showBubbleSize val="0"/>
        </c:dLbls>
        <c:gapWidth val="219"/>
        <c:overlap val="-27"/>
        <c:axId val="984853079"/>
        <c:axId val="984853735"/>
      </c:barChart>
      <c:catAx>
        <c:axId val="984853079"/>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53735"/>
        <c:crosses val="autoZero"/>
        <c:auto val="1"/>
        <c:lblAlgn val="ctr"/>
        <c:lblOffset val="100"/>
        <c:noMultiLvlLbl val="0"/>
      </c:catAx>
      <c:valAx>
        <c:axId val="9848537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53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Change in budgeted total revenue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FE20-4557-82CA-009C7C45E6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Graphs'!$B$12:$B$14,'More Graphs'!$B$16)</c:f>
              <c:strCache>
                <c:ptCount val="4"/>
                <c:pt idx="0">
                  <c:v>Adopted Budget 
2017-18</c:v>
                </c:pt>
                <c:pt idx="1">
                  <c:v>Adopted Budget 
2018-19</c:v>
                </c:pt>
                <c:pt idx="2">
                  <c:v>Adopted Budget 
2019-20</c:v>
                </c:pt>
                <c:pt idx="3">
                  <c:v>Adopted Budget 
2020-21</c:v>
                </c:pt>
              </c:strCache>
            </c:strRef>
          </c:cat>
          <c:val>
            <c:numRef>
              <c:f>('More Graphs'!$C$12:$C$14,'More Graphs'!$C$16)</c:f>
              <c:numCache>
                <c:formatCode>0.00%</c:formatCode>
                <c:ptCount val="4"/>
                <c:pt idx="0">
                  <c:v>4.4860784271141992E-2</c:v>
                </c:pt>
                <c:pt idx="1">
                  <c:v>5.7433437391374104E-2</c:v>
                </c:pt>
                <c:pt idx="2">
                  <c:v>5.8658813396259592E-2</c:v>
                </c:pt>
                <c:pt idx="3">
                  <c:v>2.2197667207227396E-2</c:v>
                </c:pt>
              </c:numCache>
            </c:numRef>
          </c:val>
          <c:extLst>
            <c:ext xmlns:c16="http://schemas.microsoft.com/office/drawing/2014/chart" uri="{C3380CC4-5D6E-409C-BE32-E72D297353CC}">
              <c16:uniqueId val="{00000002-FE20-4557-82CA-009C7C45E665}"/>
            </c:ext>
          </c:extLst>
        </c:ser>
        <c:dLbls>
          <c:showLegendKey val="0"/>
          <c:showVal val="0"/>
          <c:showCatName val="0"/>
          <c:showSerName val="0"/>
          <c:showPercent val="0"/>
          <c:showBubbleSize val="0"/>
        </c:dLbls>
        <c:gapWidth val="219"/>
        <c:overlap val="-27"/>
        <c:axId val="984840615"/>
        <c:axId val="984836351"/>
      </c:barChart>
      <c:catAx>
        <c:axId val="984840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36351"/>
        <c:crosses val="autoZero"/>
        <c:auto val="1"/>
        <c:lblAlgn val="ctr"/>
        <c:lblOffset val="100"/>
        <c:noMultiLvlLbl val="0"/>
      </c:catAx>
      <c:valAx>
        <c:axId val="9848363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406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 change in budgeted capital works by cohort</a:t>
            </a:r>
            <a:endParaRPr lang="en-AU"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'More Graphs'!$C$379</c:f>
              <c:strCache>
                <c:ptCount val="1"/>
                <c:pt idx="0">
                  <c:v>2019-20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Graphs'!$B$380:$B$384</c:f>
              <c:strCache>
                <c:ptCount val="5"/>
                <c:pt idx="0">
                  <c:v>Metropolitan Council</c:v>
                </c:pt>
                <c:pt idx="1">
                  <c:v>Interface Council</c:v>
                </c:pt>
                <c:pt idx="2">
                  <c:v>Regional City</c:v>
                </c:pt>
                <c:pt idx="3">
                  <c:v>Large Shire</c:v>
                </c:pt>
                <c:pt idx="4">
                  <c:v>Small Shire</c:v>
                </c:pt>
              </c:strCache>
            </c:strRef>
          </c:cat>
          <c:val>
            <c:numRef>
              <c:f>'More Graphs'!$C$380:$C$384</c:f>
              <c:numCache>
                <c:formatCode>0.00%</c:formatCode>
                <c:ptCount val="5"/>
                <c:pt idx="0">
                  <c:v>0.1154075110742758</c:v>
                </c:pt>
                <c:pt idx="1">
                  <c:v>5.9719199260165716E-2</c:v>
                </c:pt>
                <c:pt idx="2">
                  <c:v>0.14477272584129544</c:v>
                </c:pt>
                <c:pt idx="3">
                  <c:v>0.11086588077556782</c:v>
                </c:pt>
                <c:pt idx="4">
                  <c:v>0.22388736729080896</c:v>
                </c:pt>
              </c:numCache>
            </c:numRef>
          </c:val>
          <c:extLst>
            <c:ext xmlns:c16="http://schemas.microsoft.com/office/drawing/2014/chart" uri="{C3380CC4-5D6E-409C-BE32-E72D297353CC}">
              <c16:uniqueId val="{00000000-9797-459F-9376-E35B9B091FE4}"/>
            </c:ext>
          </c:extLst>
        </c:ser>
        <c:ser>
          <c:idx val="1"/>
          <c:order val="1"/>
          <c:tx>
            <c:strRef>
              <c:f>'More Graphs'!$D$379</c:f>
              <c:strCache>
                <c:ptCount val="1"/>
                <c:pt idx="0">
                  <c:v>2020-21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Graphs'!$B$380:$B$384</c:f>
              <c:strCache>
                <c:ptCount val="5"/>
                <c:pt idx="0">
                  <c:v>Metropolitan Council</c:v>
                </c:pt>
                <c:pt idx="1">
                  <c:v>Interface Council</c:v>
                </c:pt>
                <c:pt idx="2">
                  <c:v>Regional City</c:v>
                </c:pt>
                <c:pt idx="3">
                  <c:v>Large Shire</c:v>
                </c:pt>
                <c:pt idx="4">
                  <c:v>Small Shire</c:v>
                </c:pt>
              </c:strCache>
            </c:strRef>
          </c:cat>
          <c:val>
            <c:numRef>
              <c:f>'More Graphs'!$D$380:$D$384</c:f>
              <c:numCache>
                <c:formatCode>0.00%</c:formatCode>
                <c:ptCount val="5"/>
                <c:pt idx="0">
                  <c:v>-2.8537213035391241E-2</c:v>
                </c:pt>
                <c:pt idx="1">
                  <c:v>2.9235318117938617E-2</c:v>
                </c:pt>
                <c:pt idx="2">
                  <c:v>-2.9850883129125198E-2</c:v>
                </c:pt>
                <c:pt idx="3">
                  <c:v>0.1366793807970591</c:v>
                </c:pt>
                <c:pt idx="4">
                  <c:v>-1.0856153618796065E-2</c:v>
                </c:pt>
              </c:numCache>
            </c:numRef>
          </c:val>
          <c:extLst>
            <c:ext xmlns:c16="http://schemas.microsoft.com/office/drawing/2014/chart" uri="{C3380CC4-5D6E-409C-BE32-E72D297353CC}">
              <c16:uniqueId val="{00000001-9797-459F-9376-E35B9B091FE4}"/>
            </c:ext>
          </c:extLst>
        </c:ser>
        <c:dLbls>
          <c:dLblPos val="outEnd"/>
          <c:showLegendKey val="0"/>
          <c:showVal val="1"/>
          <c:showCatName val="0"/>
          <c:showSerName val="0"/>
          <c:showPercent val="0"/>
          <c:showBubbleSize val="0"/>
        </c:dLbls>
        <c:gapWidth val="219"/>
        <c:overlap val="-27"/>
        <c:axId val="826422344"/>
        <c:axId val="826423656"/>
      </c:barChart>
      <c:catAx>
        <c:axId val="826422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423656"/>
        <c:crosses val="autoZero"/>
        <c:auto val="1"/>
        <c:lblAlgn val="ctr"/>
        <c:lblOffset val="100"/>
        <c:noMultiLvlLbl val="0"/>
      </c:catAx>
      <c:valAx>
        <c:axId val="826423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422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Composition and amount of capital works funding</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Graphs!$D$514</c:f>
              <c:strCache>
                <c:ptCount val="1"/>
                <c:pt idx="0">
                  <c:v>Grant Funding</c:v>
                </c:pt>
              </c:strCache>
            </c:strRef>
          </c:tx>
          <c:spPr>
            <a:solidFill>
              <a:schemeClr val="accent6"/>
            </a:solidFill>
            <a:ln>
              <a:noFill/>
            </a:ln>
            <a:effectLst/>
          </c:spPr>
          <c:invertIfNegative val="0"/>
          <c:dLbls>
            <c:numFmt formatCode="_-&quot;$&quot;*#.##,,&quot; M&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Graphs!$C$523:$C$527</c:f>
              <c:strCache>
                <c:ptCount val="5"/>
                <c:pt idx="0">
                  <c:v>Metropolitan</c:v>
                </c:pt>
                <c:pt idx="1">
                  <c:v>Interface</c:v>
                </c:pt>
                <c:pt idx="2">
                  <c:v>Regional City</c:v>
                </c:pt>
                <c:pt idx="3">
                  <c:v>Large Shire</c:v>
                </c:pt>
                <c:pt idx="4">
                  <c:v>Small Shire</c:v>
                </c:pt>
              </c:strCache>
            </c:strRef>
          </c:cat>
          <c:val>
            <c:numRef>
              <c:f>Graphs!$D$523:$D$527</c:f>
              <c:numCache>
                <c:formatCode>_-"$"* #,##0_-;\-"$"* #,##0_-;_-"$"* "-"??_-;_-@_-</c:formatCode>
                <c:ptCount val="5"/>
                <c:pt idx="0">
                  <c:v>134792000</c:v>
                </c:pt>
                <c:pt idx="1">
                  <c:v>137152000</c:v>
                </c:pt>
                <c:pt idx="2">
                  <c:v>91802000</c:v>
                </c:pt>
                <c:pt idx="3">
                  <c:v>145314000</c:v>
                </c:pt>
                <c:pt idx="4">
                  <c:v>75558000</c:v>
                </c:pt>
              </c:numCache>
            </c:numRef>
          </c:val>
          <c:extLst>
            <c:ext xmlns:c16="http://schemas.microsoft.com/office/drawing/2014/chart" uri="{C3380CC4-5D6E-409C-BE32-E72D297353CC}">
              <c16:uniqueId val="{00000000-1AE4-4F32-A192-6DD9438ED66A}"/>
            </c:ext>
          </c:extLst>
        </c:ser>
        <c:ser>
          <c:idx val="1"/>
          <c:order val="1"/>
          <c:tx>
            <c:strRef>
              <c:f>Graphs!$E$514</c:f>
              <c:strCache>
                <c:ptCount val="1"/>
                <c:pt idx="0">
                  <c:v>Contributions</c:v>
                </c:pt>
              </c:strCache>
            </c:strRef>
          </c:tx>
          <c:spPr>
            <a:solidFill>
              <a:schemeClr val="accent5"/>
            </a:solidFill>
            <a:ln>
              <a:noFill/>
            </a:ln>
            <a:effectLst/>
          </c:spPr>
          <c:invertIfNegative val="0"/>
          <c:cat>
            <c:strRef>
              <c:f>Graphs!$C$523:$C$527</c:f>
              <c:strCache>
                <c:ptCount val="5"/>
                <c:pt idx="0">
                  <c:v>Metropolitan</c:v>
                </c:pt>
                <c:pt idx="1">
                  <c:v>Interface</c:v>
                </c:pt>
                <c:pt idx="2">
                  <c:v>Regional City</c:v>
                </c:pt>
                <c:pt idx="3">
                  <c:v>Large Shire</c:v>
                </c:pt>
                <c:pt idx="4">
                  <c:v>Small Shire</c:v>
                </c:pt>
              </c:strCache>
            </c:strRef>
          </c:cat>
          <c:val>
            <c:numRef>
              <c:f>Graphs!$E$523:$E$527</c:f>
              <c:numCache>
                <c:formatCode>_-"$"* #,##0_-;\-"$"* #,##0_-;_-"$"* "-"??_-;_-@_-</c:formatCode>
                <c:ptCount val="5"/>
                <c:pt idx="0">
                  <c:v>61652000</c:v>
                </c:pt>
                <c:pt idx="1">
                  <c:v>98362000</c:v>
                </c:pt>
                <c:pt idx="2">
                  <c:v>30865000</c:v>
                </c:pt>
                <c:pt idx="3">
                  <c:v>13841000</c:v>
                </c:pt>
                <c:pt idx="4">
                  <c:v>2125000</c:v>
                </c:pt>
              </c:numCache>
            </c:numRef>
          </c:val>
          <c:extLst>
            <c:ext xmlns:c16="http://schemas.microsoft.com/office/drawing/2014/chart" uri="{C3380CC4-5D6E-409C-BE32-E72D297353CC}">
              <c16:uniqueId val="{00000001-1AE4-4F32-A192-6DD9438ED66A}"/>
            </c:ext>
          </c:extLst>
        </c:ser>
        <c:ser>
          <c:idx val="2"/>
          <c:order val="2"/>
          <c:tx>
            <c:strRef>
              <c:f>Graphs!$F$514</c:f>
              <c:strCache>
                <c:ptCount val="1"/>
                <c:pt idx="0">
                  <c:v>Council Operation Cashflow</c:v>
                </c:pt>
              </c:strCache>
            </c:strRef>
          </c:tx>
          <c:spPr>
            <a:solidFill>
              <a:schemeClr val="accent4"/>
            </a:solidFill>
            <a:ln>
              <a:noFill/>
            </a:ln>
            <a:effectLst/>
          </c:spPr>
          <c:invertIfNegative val="0"/>
          <c:dLbls>
            <c:numFmt formatCode="_-&quot;$&quot;*#.##,,&quot; M&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Graphs!$C$523:$C$527</c:f>
              <c:strCache>
                <c:ptCount val="5"/>
                <c:pt idx="0">
                  <c:v>Metropolitan</c:v>
                </c:pt>
                <c:pt idx="1">
                  <c:v>Interface</c:v>
                </c:pt>
                <c:pt idx="2">
                  <c:v>Regional City</c:v>
                </c:pt>
                <c:pt idx="3">
                  <c:v>Large Shire</c:v>
                </c:pt>
                <c:pt idx="4">
                  <c:v>Small Shire</c:v>
                </c:pt>
              </c:strCache>
            </c:strRef>
          </c:cat>
          <c:val>
            <c:numRef>
              <c:f>Graphs!$F$523:$F$527</c:f>
              <c:numCache>
                <c:formatCode>_-"$"* #,##0_-;\-"$"* #,##0_-;_-"$"* "-"??_-;_-@_-</c:formatCode>
                <c:ptCount val="5"/>
                <c:pt idx="0">
                  <c:v>1093144000</c:v>
                </c:pt>
                <c:pt idx="1">
                  <c:v>536107000</c:v>
                </c:pt>
                <c:pt idx="2">
                  <c:v>273841000</c:v>
                </c:pt>
                <c:pt idx="3">
                  <c:v>324005000</c:v>
                </c:pt>
                <c:pt idx="4">
                  <c:v>123706000</c:v>
                </c:pt>
              </c:numCache>
            </c:numRef>
          </c:val>
          <c:extLst>
            <c:ext xmlns:c16="http://schemas.microsoft.com/office/drawing/2014/chart" uri="{C3380CC4-5D6E-409C-BE32-E72D297353CC}">
              <c16:uniqueId val="{00000002-1AE4-4F32-A192-6DD9438ED66A}"/>
            </c:ext>
          </c:extLst>
        </c:ser>
        <c:ser>
          <c:idx val="3"/>
          <c:order val="3"/>
          <c:tx>
            <c:strRef>
              <c:f>Graphs!$G$514</c:f>
              <c:strCache>
                <c:ptCount val="1"/>
                <c:pt idx="0">
                  <c:v>Borrowings</c:v>
                </c:pt>
              </c:strCache>
            </c:strRef>
          </c:tx>
          <c:spPr>
            <a:solidFill>
              <a:schemeClr val="accent6">
                <a:lumMod val="60000"/>
              </a:schemeClr>
            </a:solidFill>
            <a:ln>
              <a:noFill/>
            </a:ln>
            <a:effectLst/>
          </c:spPr>
          <c:invertIfNegative val="0"/>
          <c:dLbls>
            <c:dLbl>
              <c:idx val="3"/>
              <c:tx>
                <c:rich>
                  <a:bodyPr/>
                  <a:lstStyle/>
                  <a:p>
                    <a:fld id="{EA60871F-2062-4312-A9FF-30738745D0D9}" type="VALUE">
                      <a:rPr lang="en-US">
                        <a:solidFill>
                          <a:schemeClr val="bg1"/>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AE4-4F32-A192-6DD9438ED66A}"/>
                </c:ext>
              </c:extLst>
            </c:dLbl>
            <c:numFmt formatCode="_-&quot;$&quot;*#.##,,&quot; M&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Graphs!$C$523:$C$527</c:f>
              <c:strCache>
                <c:ptCount val="5"/>
                <c:pt idx="0">
                  <c:v>Metropolitan</c:v>
                </c:pt>
                <c:pt idx="1">
                  <c:v>Interface</c:v>
                </c:pt>
                <c:pt idx="2">
                  <c:v>Regional City</c:v>
                </c:pt>
                <c:pt idx="3">
                  <c:v>Large Shire</c:v>
                </c:pt>
                <c:pt idx="4">
                  <c:v>Small Shire</c:v>
                </c:pt>
              </c:strCache>
            </c:strRef>
          </c:cat>
          <c:val>
            <c:numRef>
              <c:f>Graphs!$G$523:$G$527</c:f>
              <c:numCache>
                <c:formatCode>_-"$"* #,##0_-;\-"$"* #,##0_-;_-"$"* "-"??_-;_-@_-</c:formatCode>
                <c:ptCount val="5"/>
                <c:pt idx="0">
                  <c:v>104865000</c:v>
                </c:pt>
                <c:pt idx="1">
                  <c:v>45703000</c:v>
                </c:pt>
                <c:pt idx="2">
                  <c:v>132492000</c:v>
                </c:pt>
                <c:pt idx="3">
                  <c:v>49550000</c:v>
                </c:pt>
                <c:pt idx="4">
                  <c:v>7190000</c:v>
                </c:pt>
              </c:numCache>
            </c:numRef>
          </c:val>
          <c:extLst>
            <c:ext xmlns:c16="http://schemas.microsoft.com/office/drawing/2014/chart" uri="{C3380CC4-5D6E-409C-BE32-E72D297353CC}">
              <c16:uniqueId val="{00000003-1AE4-4F32-A192-6DD9438ED66A}"/>
            </c:ext>
          </c:extLst>
        </c:ser>
        <c:ser>
          <c:idx val="4"/>
          <c:order val="4"/>
          <c:tx>
            <c:strRef>
              <c:f>Graphs!$H$514</c:f>
              <c:strCache>
                <c:ptCount val="1"/>
                <c:pt idx="0">
                  <c:v>Asset Sales</c:v>
                </c:pt>
              </c:strCache>
            </c:strRef>
          </c:tx>
          <c:spPr>
            <a:solidFill>
              <a:schemeClr val="accent5">
                <a:lumMod val="60000"/>
              </a:schemeClr>
            </a:solidFill>
            <a:ln>
              <a:noFill/>
            </a:ln>
            <a:effectLst/>
          </c:spPr>
          <c:invertIfNegative val="0"/>
          <c:cat>
            <c:strRef>
              <c:f>Graphs!$C$523:$C$527</c:f>
              <c:strCache>
                <c:ptCount val="5"/>
                <c:pt idx="0">
                  <c:v>Metropolitan</c:v>
                </c:pt>
                <c:pt idx="1">
                  <c:v>Interface</c:v>
                </c:pt>
                <c:pt idx="2">
                  <c:v>Regional City</c:v>
                </c:pt>
                <c:pt idx="3">
                  <c:v>Large Shire</c:v>
                </c:pt>
                <c:pt idx="4">
                  <c:v>Small Shire</c:v>
                </c:pt>
              </c:strCache>
            </c:strRef>
          </c:cat>
          <c:val>
            <c:numRef>
              <c:f>Graphs!$H$523:$H$527</c:f>
              <c:numCache>
                <c:formatCode>_-"$"* #,##0_-;\-"$"* #,##0_-;_-"$"* "-"??_-;_-@_-</c:formatCode>
                <c:ptCount val="5"/>
                <c:pt idx="0">
                  <c:v>16246000</c:v>
                </c:pt>
                <c:pt idx="1">
                  <c:v>0</c:v>
                </c:pt>
                <c:pt idx="2">
                  <c:v>0</c:v>
                </c:pt>
                <c:pt idx="3">
                  <c:v>2217000</c:v>
                </c:pt>
                <c:pt idx="4">
                  <c:v>2258000</c:v>
                </c:pt>
              </c:numCache>
            </c:numRef>
          </c:val>
          <c:extLst>
            <c:ext xmlns:c16="http://schemas.microsoft.com/office/drawing/2014/chart" uri="{C3380CC4-5D6E-409C-BE32-E72D297353CC}">
              <c16:uniqueId val="{00000004-1AE4-4F32-A192-6DD9438ED66A}"/>
            </c:ext>
          </c:extLst>
        </c:ser>
        <c:dLbls>
          <c:showLegendKey val="0"/>
          <c:showVal val="0"/>
          <c:showCatName val="0"/>
          <c:showSerName val="0"/>
          <c:showPercent val="0"/>
          <c:showBubbleSize val="0"/>
        </c:dLbls>
        <c:gapWidth val="150"/>
        <c:overlap val="100"/>
        <c:axId val="903678512"/>
        <c:axId val="903675888"/>
      </c:barChart>
      <c:catAx>
        <c:axId val="903678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675888"/>
        <c:crosses val="autoZero"/>
        <c:auto val="1"/>
        <c:lblAlgn val="ctr"/>
        <c:lblOffset val="100"/>
        <c:noMultiLvlLbl val="0"/>
      </c:catAx>
      <c:valAx>
        <c:axId val="903675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67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Composition and amount of capital works</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Graphs!$D$612</c:f>
              <c:strCache>
                <c:ptCount val="1"/>
                <c:pt idx="0">
                  <c:v>New asset expenditure</c:v>
                </c:pt>
              </c:strCache>
            </c:strRef>
          </c:tx>
          <c:spPr>
            <a:solidFill>
              <a:schemeClr val="accent6"/>
            </a:solidFill>
            <a:ln>
              <a:noFill/>
            </a:ln>
            <a:effectLst/>
          </c:spPr>
          <c:invertIfNegative val="0"/>
          <c:dLbls>
            <c:numFmt formatCode="_-&quot;$&quot;*#.##,,&quot; M&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Graphs!$C$613:$C$617</c:f>
              <c:strCache>
                <c:ptCount val="5"/>
                <c:pt idx="0">
                  <c:v>Metropolitan</c:v>
                </c:pt>
                <c:pt idx="1">
                  <c:v>Interface</c:v>
                </c:pt>
                <c:pt idx="2">
                  <c:v>Regional City</c:v>
                </c:pt>
                <c:pt idx="3">
                  <c:v>Large Shire</c:v>
                </c:pt>
                <c:pt idx="4">
                  <c:v>Small Shire</c:v>
                </c:pt>
              </c:strCache>
            </c:strRef>
          </c:cat>
          <c:val>
            <c:numRef>
              <c:f>Graphs!$D$613:$D$617</c:f>
              <c:numCache>
                <c:formatCode>_-"$"* #,##0_-;\-"$"* #,##0_-;_-"$"* "-"??_-;_-@_-</c:formatCode>
                <c:ptCount val="5"/>
                <c:pt idx="0">
                  <c:v>391724000</c:v>
                </c:pt>
                <c:pt idx="1">
                  <c:v>389566000</c:v>
                </c:pt>
                <c:pt idx="2">
                  <c:v>253315000</c:v>
                </c:pt>
                <c:pt idx="3">
                  <c:v>114286000</c:v>
                </c:pt>
                <c:pt idx="4">
                  <c:v>48309000</c:v>
                </c:pt>
              </c:numCache>
            </c:numRef>
          </c:val>
          <c:extLst>
            <c:ext xmlns:c16="http://schemas.microsoft.com/office/drawing/2014/chart" uri="{C3380CC4-5D6E-409C-BE32-E72D297353CC}">
              <c16:uniqueId val="{00000000-F617-4C2C-861D-C15EA8EE1FC4}"/>
            </c:ext>
          </c:extLst>
        </c:ser>
        <c:ser>
          <c:idx val="1"/>
          <c:order val="1"/>
          <c:tx>
            <c:strRef>
              <c:f>Graphs!$E$612</c:f>
              <c:strCache>
                <c:ptCount val="1"/>
                <c:pt idx="0">
                  <c:v>Asset renewal expenditure</c:v>
                </c:pt>
              </c:strCache>
            </c:strRef>
          </c:tx>
          <c:spPr>
            <a:solidFill>
              <a:schemeClr val="accent5"/>
            </a:solidFill>
            <a:ln>
              <a:noFill/>
            </a:ln>
            <a:effectLst/>
          </c:spPr>
          <c:invertIfNegative val="0"/>
          <c:dLbls>
            <c:numFmt formatCode="_-&quot;$&quot;*#.##,,&quot; M&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Graphs!$C$613:$C$617</c:f>
              <c:strCache>
                <c:ptCount val="5"/>
                <c:pt idx="0">
                  <c:v>Metropolitan</c:v>
                </c:pt>
                <c:pt idx="1">
                  <c:v>Interface</c:v>
                </c:pt>
                <c:pt idx="2">
                  <c:v>Regional City</c:v>
                </c:pt>
                <c:pt idx="3">
                  <c:v>Large Shire</c:v>
                </c:pt>
                <c:pt idx="4">
                  <c:v>Small Shire</c:v>
                </c:pt>
              </c:strCache>
            </c:strRef>
          </c:cat>
          <c:val>
            <c:numRef>
              <c:f>Graphs!$E$613:$E$617</c:f>
              <c:numCache>
                <c:formatCode>_-"$"* #,##0_-;\-"$"* #,##0_-;_-"$"* "-"??_-;_-@_-</c:formatCode>
                <c:ptCount val="5"/>
                <c:pt idx="0">
                  <c:v>633763000</c:v>
                </c:pt>
                <c:pt idx="1">
                  <c:v>197197000</c:v>
                </c:pt>
                <c:pt idx="2">
                  <c:v>192096000</c:v>
                </c:pt>
                <c:pt idx="3">
                  <c:v>314392000</c:v>
                </c:pt>
                <c:pt idx="4">
                  <c:v>118860000</c:v>
                </c:pt>
              </c:numCache>
            </c:numRef>
          </c:val>
          <c:extLst>
            <c:ext xmlns:c16="http://schemas.microsoft.com/office/drawing/2014/chart" uri="{C3380CC4-5D6E-409C-BE32-E72D297353CC}">
              <c16:uniqueId val="{00000001-F617-4C2C-861D-C15EA8EE1FC4}"/>
            </c:ext>
          </c:extLst>
        </c:ser>
        <c:ser>
          <c:idx val="2"/>
          <c:order val="2"/>
          <c:tx>
            <c:strRef>
              <c:f>Graphs!$F$612</c:f>
              <c:strCache>
                <c:ptCount val="1"/>
                <c:pt idx="0">
                  <c:v>Asset expansion expenditure</c:v>
                </c:pt>
              </c:strCache>
            </c:strRef>
          </c:tx>
          <c:spPr>
            <a:solidFill>
              <a:schemeClr val="accent4"/>
            </a:solidFill>
            <a:ln>
              <a:noFill/>
            </a:ln>
            <a:effectLst/>
          </c:spPr>
          <c:invertIfNegative val="0"/>
          <c:dLbls>
            <c:numFmt formatCode="_-&quot;$&quot;*#.##,,&quot; M&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Graphs!$C$613:$C$617</c:f>
              <c:strCache>
                <c:ptCount val="5"/>
                <c:pt idx="0">
                  <c:v>Metropolitan</c:v>
                </c:pt>
                <c:pt idx="1">
                  <c:v>Interface</c:v>
                </c:pt>
                <c:pt idx="2">
                  <c:v>Regional City</c:v>
                </c:pt>
                <c:pt idx="3">
                  <c:v>Large Shire</c:v>
                </c:pt>
                <c:pt idx="4">
                  <c:v>Small Shire</c:v>
                </c:pt>
              </c:strCache>
            </c:strRef>
          </c:cat>
          <c:val>
            <c:numRef>
              <c:f>Graphs!$F$613:$F$617</c:f>
              <c:numCache>
                <c:formatCode>_-"$"* #,##0_-;\-"$"* #,##0_-;_-"$"* "-"??_-;_-@_-</c:formatCode>
                <c:ptCount val="5"/>
                <c:pt idx="0">
                  <c:v>66752000</c:v>
                </c:pt>
                <c:pt idx="1">
                  <c:v>83128000</c:v>
                </c:pt>
                <c:pt idx="2">
                  <c:v>3998000</c:v>
                </c:pt>
                <c:pt idx="3">
                  <c:v>33978000</c:v>
                </c:pt>
                <c:pt idx="4">
                  <c:v>4862000</c:v>
                </c:pt>
              </c:numCache>
            </c:numRef>
          </c:val>
          <c:extLst>
            <c:ext xmlns:c16="http://schemas.microsoft.com/office/drawing/2014/chart" uri="{C3380CC4-5D6E-409C-BE32-E72D297353CC}">
              <c16:uniqueId val="{00000002-F617-4C2C-861D-C15EA8EE1FC4}"/>
            </c:ext>
          </c:extLst>
        </c:ser>
        <c:ser>
          <c:idx val="3"/>
          <c:order val="3"/>
          <c:tx>
            <c:strRef>
              <c:f>Graphs!$G$612</c:f>
              <c:strCache>
                <c:ptCount val="1"/>
                <c:pt idx="0">
                  <c:v>Asset upgrade expenditure</c:v>
                </c:pt>
              </c:strCache>
            </c:strRef>
          </c:tx>
          <c:spPr>
            <a:solidFill>
              <a:schemeClr val="accent6">
                <a:lumMod val="60000"/>
              </a:schemeClr>
            </a:solidFill>
            <a:ln>
              <a:noFill/>
            </a:ln>
            <a:effectLst/>
          </c:spPr>
          <c:invertIfNegative val="0"/>
          <c:dLbls>
            <c:dLbl>
              <c:idx val="2"/>
              <c:layout>
                <c:manualLayout>
                  <c:x val="1.3228971447469959E-2"/>
                  <c:y val="-4.57755843883864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17-4C2C-861D-C15EA8EE1FC4}"/>
                </c:ext>
              </c:extLst>
            </c:dLbl>
            <c:dLbl>
              <c:idx val="3"/>
              <c:layout>
                <c:manualLayout>
                  <c:x val="1.5433800022048286E-2"/>
                  <c:y val="-4.57755843883864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17-4C2C-861D-C15EA8EE1FC4}"/>
                </c:ext>
              </c:extLst>
            </c:dLbl>
            <c:dLbl>
              <c:idx val="4"/>
              <c:layout>
                <c:manualLayout>
                  <c:x val="2.645794289493991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17-4C2C-861D-C15EA8EE1FC4}"/>
                </c:ext>
              </c:extLst>
            </c:dLbl>
            <c:numFmt formatCode="_-&quot;$&quot;*#.##,,&quot; M&quot;" sourceLinked="0"/>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bg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Graphs!$C$613:$C$617</c:f>
              <c:strCache>
                <c:ptCount val="5"/>
                <c:pt idx="0">
                  <c:v>Metropolitan</c:v>
                </c:pt>
                <c:pt idx="1">
                  <c:v>Interface</c:v>
                </c:pt>
                <c:pt idx="2">
                  <c:v>Regional City</c:v>
                </c:pt>
                <c:pt idx="3">
                  <c:v>Large Shire</c:v>
                </c:pt>
                <c:pt idx="4">
                  <c:v>Small Shire</c:v>
                </c:pt>
              </c:strCache>
            </c:strRef>
          </c:cat>
          <c:val>
            <c:numRef>
              <c:f>Graphs!$G$613:$G$617</c:f>
              <c:numCache>
                <c:formatCode>_-"$"* #,##0_-;\-"$"* #,##0_-;_-"$"* "-"??_-;_-@_-</c:formatCode>
                <c:ptCount val="5"/>
                <c:pt idx="0">
                  <c:v>317519000</c:v>
                </c:pt>
                <c:pt idx="1">
                  <c:v>147433000</c:v>
                </c:pt>
                <c:pt idx="2">
                  <c:v>79591000</c:v>
                </c:pt>
                <c:pt idx="3">
                  <c:v>68876000</c:v>
                </c:pt>
                <c:pt idx="4">
                  <c:v>38806000</c:v>
                </c:pt>
              </c:numCache>
            </c:numRef>
          </c:val>
          <c:extLst>
            <c:ext xmlns:c16="http://schemas.microsoft.com/office/drawing/2014/chart" uri="{C3380CC4-5D6E-409C-BE32-E72D297353CC}">
              <c16:uniqueId val="{00000003-F617-4C2C-861D-C15EA8EE1FC4}"/>
            </c:ext>
          </c:extLst>
        </c:ser>
        <c:ser>
          <c:idx val="4"/>
          <c:order val="4"/>
          <c:tx>
            <c:strRef>
              <c:f>Graphs!$H$612</c:f>
              <c:strCache>
                <c:ptCount val="1"/>
                <c:pt idx="0">
                  <c:v>Other</c:v>
                </c:pt>
              </c:strCache>
            </c:strRef>
          </c:tx>
          <c:spPr>
            <a:solidFill>
              <a:schemeClr val="accent5">
                <a:lumMod val="60000"/>
              </a:schemeClr>
            </a:solidFill>
            <a:ln>
              <a:noFill/>
            </a:ln>
            <a:effectLst/>
          </c:spPr>
          <c:invertIfNegative val="0"/>
          <c:cat>
            <c:strRef>
              <c:f>Graphs!$C$613:$C$617</c:f>
              <c:strCache>
                <c:ptCount val="5"/>
                <c:pt idx="0">
                  <c:v>Metropolitan</c:v>
                </c:pt>
                <c:pt idx="1">
                  <c:v>Interface</c:v>
                </c:pt>
                <c:pt idx="2">
                  <c:v>Regional City</c:v>
                </c:pt>
                <c:pt idx="3">
                  <c:v>Large Shire</c:v>
                </c:pt>
                <c:pt idx="4">
                  <c:v>Small Shire</c:v>
                </c:pt>
              </c:strCache>
            </c:strRef>
          </c:cat>
          <c:val>
            <c:numRef>
              <c:f>Graphs!$H$613:$H$617</c:f>
              <c:numCache>
                <c:formatCode>_-"$"* #,##0_-;\-"$"* #,##0_-;_-"$"* "-"??_-;_-@_-</c:formatCode>
                <c:ptCount val="5"/>
                <c:pt idx="0">
                  <c:v>941000</c:v>
                </c:pt>
                <c:pt idx="1">
                  <c:v>0</c:v>
                </c:pt>
                <c:pt idx="2">
                  <c:v>0</c:v>
                </c:pt>
                <c:pt idx="3">
                  <c:v>3395000</c:v>
                </c:pt>
                <c:pt idx="4">
                  <c:v>0</c:v>
                </c:pt>
              </c:numCache>
            </c:numRef>
          </c:val>
          <c:extLst>
            <c:ext xmlns:c16="http://schemas.microsoft.com/office/drawing/2014/chart" uri="{C3380CC4-5D6E-409C-BE32-E72D297353CC}">
              <c16:uniqueId val="{00000004-F617-4C2C-861D-C15EA8EE1FC4}"/>
            </c:ext>
          </c:extLst>
        </c:ser>
        <c:dLbls>
          <c:showLegendKey val="0"/>
          <c:showVal val="0"/>
          <c:showCatName val="0"/>
          <c:showSerName val="0"/>
          <c:showPercent val="0"/>
          <c:showBubbleSize val="0"/>
        </c:dLbls>
        <c:gapWidth val="150"/>
        <c:overlap val="100"/>
        <c:axId val="903678512"/>
        <c:axId val="903675888"/>
      </c:barChart>
      <c:catAx>
        <c:axId val="903678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675888"/>
        <c:crosses val="autoZero"/>
        <c:auto val="1"/>
        <c:lblAlgn val="ctr"/>
        <c:lblOffset val="100"/>
        <c:noMultiLvlLbl val="0"/>
      </c:catAx>
      <c:valAx>
        <c:axId val="903675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67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AU" sz="1400" b="0" i="0" baseline="0">
                <a:effectLst/>
              </a:rPr>
              <a:t>Capital expenditure, 2019-20 to 2023-24</a:t>
            </a:r>
            <a:endParaRPr lang="en-AU" sz="14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0417832375737511"/>
          <c:y val="0.19950980392156864"/>
          <c:w val="0.72489190697706718"/>
          <c:h val="0.59132237146827238"/>
        </c:manualLayout>
      </c:layout>
      <c:lineChart>
        <c:grouping val="standard"/>
        <c:varyColors val="0"/>
        <c:ser>
          <c:idx val="0"/>
          <c:order val="0"/>
          <c:tx>
            <c:strRef>
              <c:f>Graphs!$C$568</c:f>
              <c:strCache>
                <c:ptCount val="1"/>
                <c:pt idx="0">
                  <c:v>Metropolitan</c:v>
                </c:pt>
              </c:strCache>
            </c:strRef>
          </c:tx>
          <c:spPr>
            <a:ln w="28575" cap="rnd">
              <a:solidFill>
                <a:schemeClr val="accent6"/>
              </a:solidFill>
              <a:round/>
            </a:ln>
            <a:effectLst/>
          </c:spPr>
          <c:marker>
            <c:symbol val="none"/>
          </c:marker>
          <c:dPt>
            <c:idx val="1"/>
            <c:marker>
              <c:symbol val="none"/>
            </c:marker>
            <c:bubble3D val="0"/>
            <c:spPr>
              <a:ln w="28575" cap="rnd">
                <a:solidFill>
                  <a:schemeClr val="accent6"/>
                </a:solidFill>
                <a:round/>
              </a:ln>
              <a:effectLst/>
            </c:spPr>
            <c:extLst>
              <c:ext xmlns:c16="http://schemas.microsoft.com/office/drawing/2014/chart" uri="{C3380CC4-5D6E-409C-BE32-E72D297353CC}">
                <c16:uniqueId val="{00000001-08D4-4C7A-A67D-8EE9AA2FDD68}"/>
              </c:ext>
            </c:extLst>
          </c:dPt>
          <c:cat>
            <c:strRef>
              <c:f>Graphs!$E$567:$I$567</c:f>
              <c:strCache>
                <c:ptCount val="5"/>
                <c:pt idx="0">
                  <c:v>Forecast Actual 2019-20</c:v>
                </c:pt>
                <c:pt idx="1">
                  <c:v>Adopted Budget 2020-21</c:v>
                </c:pt>
                <c:pt idx="2">
                  <c:v>2020-21 SRP for 2021-22</c:v>
                </c:pt>
                <c:pt idx="3">
                  <c:v>2020-21 SRP for 2022-23</c:v>
                </c:pt>
                <c:pt idx="4">
                  <c:v>2020-21 SRP for 2023-24</c:v>
                </c:pt>
              </c:strCache>
            </c:strRef>
          </c:cat>
          <c:val>
            <c:numRef>
              <c:f>Graphs!$E$568:$I$568</c:f>
              <c:numCache>
                <c:formatCode>General</c:formatCode>
                <c:ptCount val="5"/>
                <c:pt idx="0">
                  <c:v>1380688000</c:v>
                </c:pt>
                <c:pt idx="1">
                  <c:v>1410699000</c:v>
                </c:pt>
                <c:pt idx="2">
                  <c:v>1546779000</c:v>
                </c:pt>
                <c:pt idx="3">
                  <c:v>1378717000</c:v>
                </c:pt>
                <c:pt idx="4">
                  <c:v>1169586000</c:v>
                </c:pt>
              </c:numCache>
            </c:numRef>
          </c:val>
          <c:smooth val="0"/>
          <c:extLst>
            <c:ext xmlns:c16="http://schemas.microsoft.com/office/drawing/2014/chart" uri="{C3380CC4-5D6E-409C-BE32-E72D297353CC}">
              <c16:uniqueId val="{00000002-08D4-4C7A-A67D-8EE9AA2FDD68}"/>
            </c:ext>
          </c:extLst>
        </c:ser>
        <c:ser>
          <c:idx val="1"/>
          <c:order val="1"/>
          <c:tx>
            <c:strRef>
              <c:f>Graphs!$C$569</c:f>
              <c:strCache>
                <c:ptCount val="1"/>
                <c:pt idx="0">
                  <c:v>Interface</c:v>
                </c:pt>
              </c:strCache>
            </c:strRef>
          </c:tx>
          <c:spPr>
            <a:ln w="28575" cap="rnd">
              <a:solidFill>
                <a:schemeClr val="accent5"/>
              </a:solidFill>
              <a:round/>
            </a:ln>
            <a:effectLst/>
          </c:spPr>
          <c:marker>
            <c:symbol val="none"/>
          </c:marker>
          <c:dPt>
            <c:idx val="1"/>
            <c:marker>
              <c:symbol val="none"/>
            </c:marker>
            <c:bubble3D val="0"/>
            <c:spPr>
              <a:ln w="28575" cap="rnd">
                <a:solidFill>
                  <a:schemeClr val="accent5"/>
                </a:solidFill>
                <a:round/>
              </a:ln>
              <a:effectLst/>
            </c:spPr>
            <c:extLst>
              <c:ext xmlns:c16="http://schemas.microsoft.com/office/drawing/2014/chart" uri="{C3380CC4-5D6E-409C-BE32-E72D297353CC}">
                <c16:uniqueId val="{00000004-08D4-4C7A-A67D-8EE9AA2FDD68}"/>
              </c:ext>
            </c:extLst>
          </c:dPt>
          <c:cat>
            <c:strRef>
              <c:f>Graphs!$E$567:$I$567</c:f>
              <c:strCache>
                <c:ptCount val="5"/>
                <c:pt idx="0">
                  <c:v>Forecast Actual 2019-20</c:v>
                </c:pt>
                <c:pt idx="1">
                  <c:v>Adopted Budget 2020-21</c:v>
                </c:pt>
                <c:pt idx="2">
                  <c:v>2020-21 SRP for 2021-22</c:v>
                </c:pt>
                <c:pt idx="3">
                  <c:v>2020-21 SRP for 2022-23</c:v>
                </c:pt>
                <c:pt idx="4">
                  <c:v>2020-21 SRP for 2023-24</c:v>
                </c:pt>
              </c:strCache>
            </c:strRef>
          </c:cat>
          <c:val>
            <c:numRef>
              <c:f>Graphs!$E$569:$I$569</c:f>
              <c:numCache>
                <c:formatCode>General</c:formatCode>
                <c:ptCount val="5"/>
                <c:pt idx="0">
                  <c:v>755507000</c:v>
                </c:pt>
                <c:pt idx="1">
                  <c:v>817324000</c:v>
                </c:pt>
                <c:pt idx="2">
                  <c:v>772232000</c:v>
                </c:pt>
                <c:pt idx="3">
                  <c:v>752648000</c:v>
                </c:pt>
                <c:pt idx="4">
                  <c:v>761195000</c:v>
                </c:pt>
              </c:numCache>
            </c:numRef>
          </c:val>
          <c:smooth val="0"/>
          <c:extLst>
            <c:ext xmlns:c16="http://schemas.microsoft.com/office/drawing/2014/chart" uri="{C3380CC4-5D6E-409C-BE32-E72D297353CC}">
              <c16:uniqueId val="{00000005-08D4-4C7A-A67D-8EE9AA2FDD68}"/>
            </c:ext>
          </c:extLst>
        </c:ser>
        <c:ser>
          <c:idx val="2"/>
          <c:order val="2"/>
          <c:tx>
            <c:strRef>
              <c:f>Graphs!$C$570</c:f>
              <c:strCache>
                <c:ptCount val="1"/>
                <c:pt idx="0">
                  <c:v>Regional City</c:v>
                </c:pt>
              </c:strCache>
            </c:strRef>
          </c:tx>
          <c:spPr>
            <a:ln w="28575" cap="rnd">
              <a:solidFill>
                <a:schemeClr val="accent4"/>
              </a:solidFill>
              <a:round/>
            </a:ln>
            <a:effectLst/>
          </c:spPr>
          <c:marker>
            <c:symbol val="none"/>
          </c:marker>
          <c:dPt>
            <c:idx val="1"/>
            <c:marker>
              <c:symbol val="none"/>
            </c:marker>
            <c:bubble3D val="0"/>
            <c:spPr>
              <a:ln w="28575" cap="rnd">
                <a:solidFill>
                  <a:schemeClr val="accent4"/>
                </a:solidFill>
                <a:round/>
              </a:ln>
              <a:effectLst/>
            </c:spPr>
            <c:extLst>
              <c:ext xmlns:c16="http://schemas.microsoft.com/office/drawing/2014/chart" uri="{C3380CC4-5D6E-409C-BE32-E72D297353CC}">
                <c16:uniqueId val="{00000007-08D4-4C7A-A67D-8EE9AA2FDD68}"/>
              </c:ext>
            </c:extLst>
          </c:dPt>
          <c:cat>
            <c:strRef>
              <c:f>Graphs!$E$567:$I$567</c:f>
              <c:strCache>
                <c:ptCount val="5"/>
                <c:pt idx="0">
                  <c:v>Forecast Actual 2019-20</c:v>
                </c:pt>
                <c:pt idx="1">
                  <c:v>Adopted Budget 2020-21</c:v>
                </c:pt>
                <c:pt idx="2">
                  <c:v>2020-21 SRP for 2021-22</c:v>
                </c:pt>
                <c:pt idx="3">
                  <c:v>2020-21 SRP for 2022-23</c:v>
                </c:pt>
                <c:pt idx="4">
                  <c:v>2020-21 SRP for 2023-24</c:v>
                </c:pt>
              </c:strCache>
            </c:strRef>
          </c:cat>
          <c:val>
            <c:numRef>
              <c:f>Graphs!$E$570:$I$570</c:f>
              <c:numCache>
                <c:formatCode>General</c:formatCode>
                <c:ptCount val="5"/>
                <c:pt idx="0">
                  <c:v>600733000</c:v>
                </c:pt>
                <c:pt idx="1">
                  <c:v>529000000</c:v>
                </c:pt>
                <c:pt idx="2">
                  <c:v>499556000</c:v>
                </c:pt>
                <c:pt idx="3">
                  <c:v>419504000</c:v>
                </c:pt>
                <c:pt idx="4">
                  <c:v>429702000</c:v>
                </c:pt>
              </c:numCache>
            </c:numRef>
          </c:val>
          <c:smooth val="0"/>
          <c:extLst>
            <c:ext xmlns:c16="http://schemas.microsoft.com/office/drawing/2014/chart" uri="{C3380CC4-5D6E-409C-BE32-E72D297353CC}">
              <c16:uniqueId val="{00000008-08D4-4C7A-A67D-8EE9AA2FDD68}"/>
            </c:ext>
          </c:extLst>
        </c:ser>
        <c:ser>
          <c:idx val="3"/>
          <c:order val="3"/>
          <c:tx>
            <c:strRef>
              <c:f>Graphs!$C$571</c:f>
              <c:strCache>
                <c:ptCount val="1"/>
                <c:pt idx="0">
                  <c:v>Large Shire</c:v>
                </c:pt>
              </c:strCache>
            </c:strRef>
          </c:tx>
          <c:spPr>
            <a:ln w="28575" cap="rnd">
              <a:solidFill>
                <a:schemeClr val="accent6">
                  <a:lumMod val="60000"/>
                </a:schemeClr>
              </a:solidFill>
              <a:round/>
            </a:ln>
            <a:effectLst/>
          </c:spPr>
          <c:marker>
            <c:symbol val="none"/>
          </c:marker>
          <c:dPt>
            <c:idx val="1"/>
            <c:marker>
              <c:symbol val="none"/>
            </c:marker>
            <c:bubble3D val="0"/>
            <c:spPr>
              <a:ln w="28575" cap="rnd">
                <a:solidFill>
                  <a:schemeClr val="accent6">
                    <a:lumMod val="60000"/>
                  </a:schemeClr>
                </a:solidFill>
                <a:round/>
              </a:ln>
              <a:effectLst/>
            </c:spPr>
            <c:extLst>
              <c:ext xmlns:c16="http://schemas.microsoft.com/office/drawing/2014/chart" uri="{C3380CC4-5D6E-409C-BE32-E72D297353CC}">
                <c16:uniqueId val="{0000000A-08D4-4C7A-A67D-8EE9AA2FDD68}"/>
              </c:ext>
            </c:extLst>
          </c:dPt>
          <c:cat>
            <c:strRef>
              <c:f>Graphs!$E$567:$I$567</c:f>
              <c:strCache>
                <c:ptCount val="5"/>
                <c:pt idx="0">
                  <c:v>Forecast Actual 2019-20</c:v>
                </c:pt>
                <c:pt idx="1">
                  <c:v>Adopted Budget 2020-21</c:v>
                </c:pt>
                <c:pt idx="2">
                  <c:v>2020-21 SRP for 2021-22</c:v>
                </c:pt>
                <c:pt idx="3">
                  <c:v>2020-21 SRP for 2022-23</c:v>
                </c:pt>
                <c:pt idx="4">
                  <c:v>2020-21 SRP for 2023-24</c:v>
                </c:pt>
              </c:strCache>
            </c:strRef>
          </c:cat>
          <c:val>
            <c:numRef>
              <c:f>Graphs!$E$571:$I$571</c:f>
              <c:numCache>
                <c:formatCode>General</c:formatCode>
                <c:ptCount val="5"/>
                <c:pt idx="0">
                  <c:v>474811000</c:v>
                </c:pt>
                <c:pt idx="1">
                  <c:v>534927000</c:v>
                </c:pt>
                <c:pt idx="2">
                  <c:v>509038000</c:v>
                </c:pt>
                <c:pt idx="3">
                  <c:v>437681000</c:v>
                </c:pt>
                <c:pt idx="4">
                  <c:v>418180000</c:v>
                </c:pt>
              </c:numCache>
            </c:numRef>
          </c:val>
          <c:smooth val="0"/>
          <c:extLst>
            <c:ext xmlns:c16="http://schemas.microsoft.com/office/drawing/2014/chart" uri="{C3380CC4-5D6E-409C-BE32-E72D297353CC}">
              <c16:uniqueId val="{0000000B-08D4-4C7A-A67D-8EE9AA2FDD68}"/>
            </c:ext>
          </c:extLst>
        </c:ser>
        <c:ser>
          <c:idx val="4"/>
          <c:order val="4"/>
          <c:tx>
            <c:strRef>
              <c:f>Graphs!$C$572</c:f>
              <c:strCache>
                <c:ptCount val="1"/>
                <c:pt idx="0">
                  <c:v>Small Shire</c:v>
                </c:pt>
              </c:strCache>
            </c:strRef>
          </c:tx>
          <c:spPr>
            <a:ln w="28575" cap="rnd">
              <a:solidFill>
                <a:schemeClr val="accent5">
                  <a:lumMod val="60000"/>
                </a:schemeClr>
              </a:solidFill>
              <a:round/>
            </a:ln>
            <a:effectLst/>
          </c:spPr>
          <c:marker>
            <c:symbol val="none"/>
          </c:marker>
          <c:dPt>
            <c:idx val="1"/>
            <c:marker>
              <c:symbol val="none"/>
            </c:marker>
            <c:bubble3D val="0"/>
            <c:spPr>
              <a:ln w="28575" cap="rnd">
                <a:solidFill>
                  <a:schemeClr val="accent5">
                    <a:lumMod val="60000"/>
                  </a:schemeClr>
                </a:solidFill>
                <a:round/>
              </a:ln>
              <a:effectLst/>
            </c:spPr>
            <c:extLst>
              <c:ext xmlns:c16="http://schemas.microsoft.com/office/drawing/2014/chart" uri="{C3380CC4-5D6E-409C-BE32-E72D297353CC}">
                <c16:uniqueId val="{0000000D-08D4-4C7A-A67D-8EE9AA2FDD68}"/>
              </c:ext>
            </c:extLst>
          </c:dPt>
          <c:cat>
            <c:strRef>
              <c:f>Graphs!$E$567:$I$567</c:f>
              <c:strCache>
                <c:ptCount val="5"/>
                <c:pt idx="0">
                  <c:v>Forecast Actual 2019-20</c:v>
                </c:pt>
                <c:pt idx="1">
                  <c:v>Adopted Budget 2020-21</c:v>
                </c:pt>
                <c:pt idx="2">
                  <c:v>2020-21 SRP for 2021-22</c:v>
                </c:pt>
                <c:pt idx="3">
                  <c:v>2020-21 SRP for 2022-23</c:v>
                </c:pt>
                <c:pt idx="4">
                  <c:v>2020-21 SRP for 2023-24</c:v>
                </c:pt>
              </c:strCache>
            </c:strRef>
          </c:cat>
          <c:val>
            <c:numRef>
              <c:f>Graphs!$E$572:$I$572</c:f>
              <c:numCache>
                <c:formatCode>General</c:formatCode>
                <c:ptCount val="5"/>
                <c:pt idx="0">
                  <c:v>207264000</c:v>
                </c:pt>
                <c:pt idx="1">
                  <c:v>210837000</c:v>
                </c:pt>
                <c:pt idx="2">
                  <c:v>157193000</c:v>
                </c:pt>
                <c:pt idx="3">
                  <c:v>138216000</c:v>
                </c:pt>
                <c:pt idx="4">
                  <c:v>137292000</c:v>
                </c:pt>
              </c:numCache>
            </c:numRef>
          </c:val>
          <c:smooth val="0"/>
          <c:extLst>
            <c:ext xmlns:c16="http://schemas.microsoft.com/office/drawing/2014/chart" uri="{C3380CC4-5D6E-409C-BE32-E72D297353CC}">
              <c16:uniqueId val="{0000000E-08D4-4C7A-A67D-8EE9AA2FDD68}"/>
            </c:ext>
          </c:extLst>
        </c:ser>
        <c:dLbls>
          <c:showLegendKey val="0"/>
          <c:showVal val="0"/>
          <c:showCatName val="0"/>
          <c:showSerName val="0"/>
          <c:showPercent val="0"/>
          <c:showBubbleSize val="0"/>
        </c:dLbls>
        <c:smooth val="0"/>
        <c:axId val="936461616"/>
        <c:axId val="936454400"/>
      </c:lineChart>
      <c:catAx>
        <c:axId val="93646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454400"/>
        <c:crosses val="autoZero"/>
        <c:auto val="1"/>
        <c:lblAlgn val="ctr"/>
        <c:lblOffset val="100"/>
        <c:noMultiLvlLbl val="0"/>
      </c:catAx>
      <c:valAx>
        <c:axId val="93645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461616"/>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total cash and financial assets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6D44-435A-A8D1-0222B6E63F28}"/>
              </c:ext>
            </c:extLst>
          </c:dPt>
          <c:dPt>
            <c:idx val="5"/>
            <c:invertIfNegative val="0"/>
            <c:bubble3D val="0"/>
            <c:spPr>
              <a:solidFill>
                <a:srgbClr val="FFFF00"/>
              </a:solidFill>
              <a:ln>
                <a:noFill/>
              </a:ln>
              <a:effectLst/>
            </c:spPr>
            <c:extLst>
              <c:ext xmlns:c16="http://schemas.microsoft.com/office/drawing/2014/chart" uri="{C3380CC4-5D6E-409C-BE32-E72D297353CC}">
                <c16:uniqueId val="{00000003-6D44-435A-A8D1-0222B6E63F28}"/>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Graphs'!$B$255:$B$260</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Graphs'!$C$255:$C$260</c:f>
              <c:numCache>
                <c:formatCode>_-* #,##0_-;\-* #,##0_-;_-* "-"??_-;_-@_-</c:formatCode>
                <c:ptCount val="6"/>
                <c:pt idx="0">
                  <c:v>2590425</c:v>
                </c:pt>
                <c:pt idx="1">
                  <c:v>3338892</c:v>
                </c:pt>
                <c:pt idx="2">
                  <c:v>3830515</c:v>
                </c:pt>
                <c:pt idx="3">
                  <c:v>4368164</c:v>
                </c:pt>
                <c:pt idx="4">
                  <c:v>5090983</c:v>
                </c:pt>
                <c:pt idx="5">
                  <c:v>4299791</c:v>
                </c:pt>
              </c:numCache>
            </c:numRef>
          </c:val>
          <c:extLst>
            <c:ext xmlns:c16="http://schemas.microsoft.com/office/drawing/2014/chart" uri="{C3380CC4-5D6E-409C-BE32-E72D297353CC}">
              <c16:uniqueId val="{00000004-6D44-435A-A8D1-0222B6E63F28}"/>
            </c:ext>
          </c:extLst>
        </c:ser>
        <c:dLbls>
          <c:showLegendKey val="0"/>
          <c:showVal val="0"/>
          <c:showCatName val="0"/>
          <c:showSerName val="0"/>
          <c:showPercent val="0"/>
          <c:showBubbleSize val="0"/>
        </c:dLbls>
        <c:gapWidth val="219"/>
        <c:overlap val="-27"/>
        <c:axId val="984844223"/>
        <c:axId val="984846519"/>
      </c:barChart>
      <c:catAx>
        <c:axId val="9848442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46519"/>
        <c:crosses val="autoZero"/>
        <c:auto val="1"/>
        <c:lblAlgn val="ctr"/>
        <c:lblOffset val="100"/>
        <c:noMultiLvlLbl val="0"/>
      </c:catAx>
      <c:valAx>
        <c:axId val="98484651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44223"/>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a:t>Cash forecast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Graphs!$C$409</c:f>
              <c:strCache>
                <c:ptCount val="1"/>
                <c:pt idx="0">
                  <c:v>Metropolitan</c:v>
                </c:pt>
              </c:strCache>
            </c:strRef>
          </c:tx>
          <c:spPr>
            <a:ln w="28575" cap="rnd">
              <a:solidFill>
                <a:schemeClr val="accent1"/>
              </a:solidFill>
              <a:round/>
            </a:ln>
            <a:effectLst/>
          </c:spPr>
          <c:marker>
            <c:symbol val="none"/>
          </c:marker>
          <c:cat>
            <c:strRef>
              <c:f>Graphs!$D$408:$I$408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Graphs!$D$409:$I$409</c:f>
              <c:numCache>
                <c:formatCode>_-"$"* #,##0_-;\-"$"* #,##0_-;_-"$"* "-"??_-;_-@_-</c:formatCode>
                <c:ptCount val="6"/>
                <c:pt idx="0">
                  <c:v>1827912000</c:v>
                </c:pt>
                <c:pt idx="1">
                  <c:v>2028629000</c:v>
                </c:pt>
                <c:pt idx="2">
                  <c:v>1634750000</c:v>
                </c:pt>
                <c:pt idx="3">
                  <c:v>1513167000</c:v>
                </c:pt>
                <c:pt idx="4">
                  <c:v>1489132000</c:v>
                </c:pt>
                <c:pt idx="5">
                  <c:v>1516150000</c:v>
                </c:pt>
              </c:numCache>
            </c:numRef>
          </c:val>
          <c:smooth val="0"/>
          <c:extLst>
            <c:ext xmlns:c16="http://schemas.microsoft.com/office/drawing/2014/chart" uri="{C3380CC4-5D6E-409C-BE32-E72D297353CC}">
              <c16:uniqueId val="{00000000-08F7-4C64-A990-0CE5B8A53DF9}"/>
            </c:ext>
          </c:extLst>
        </c:ser>
        <c:ser>
          <c:idx val="1"/>
          <c:order val="1"/>
          <c:tx>
            <c:strRef>
              <c:f>Graphs!$C$410</c:f>
              <c:strCache>
                <c:ptCount val="1"/>
                <c:pt idx="0">
                  <c:v>Interface</c:v>
                </c:pt>
              </c:strCache>
            </c:strRef>
          </c:tx>
          <c:spPr>
            <a:ln w="28575" cap="rnd">
              <a:solidFill>
                <a:schemeClr val="accent2"/>
              </a:solidFill>
              <a:round/>
            </a:ln>
            <a:effectLst/>
          </c:spPr>
          <c:marker>
            <c:symbol val="none"/>
          </c:marker>
          <c:cat>
            <c:strRef>
              <c:f>Graphs!$D$408:$I$408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Graphs!$D$410:$I$410</c:f>
              <c:numCache>
                <c:formatCode>_-"$"* #,##0_-;\-"$"* #,##0_-;_-"$"* "-"??_-;_-@_-</c:formatCode>
                <c:ptCount val="6"/>
                <c:pt idx="0">
                  <c:v>1484717000</c:v>
                </c:pt>
                <c:pt idx="1">
                  <c:v>1699246000</c:v>
                </c:pt>
                <c:pt idx="2">
                  <c:v>1547471000</c:v>
                </c:pt>
                <c:pt idx="3">
                  <c:v>1456681000</c:v>
                </c:pt>
                <c:pt idx="4">
                  <c:v>1411035000</c:v>
                </c:pt>
                <c:pt idx="5">
                  <c:v>1397565000</c:v>
                </c:pt>
              </c:numCache>
            </c:numRef>
          </c:val>
          <c:smooth val="0"/>
          <c:extLst>
            <c:ext xmlns:c16="http://schemas.microsoft.com/office/drawing/2014/chart" uri="{C3380CC4-5D6E-409C-BE32-E72D297353CC}">
              <c16:uniqueId val="{00000001-08F7-4C64-A990-0CE5B8A53DF9}"/>
            </c:ext>
          </c:extLst>
        </c:ser>
        <c:ser>
          <c:idx val="2"/>
          <c:order val="2"/>
          <c:tx>
            <c:strRef>
              <c:f>Graphs!$C$411</c:f>
              <c:strCache>
                <c:ptCount val="1"/>
                <c:pt idx="0">
                  <c:v>Regional City</c:v>
                </c:pt>
              </c:strCache>
            </c:strRef>
          </c:tx>
          <c:spPr>
            <a:ln w="28575" cap="rnd">
              <a:solidFill>
                <a:schemeClr val="accent3"/>
              </a:solidFill>
              <a:round/>
            </a:ln>
            <a:effectLst/>
          </c:spPr>
          <c:marker>
            <c:symbol val="none"/>
          </c:marker>
          <c:cat>
            <c:strRef>
              <c:f>Graphs!$D$408:$I$408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Graphs!$D$411:$I$411</c:f>
              <c:numCache>
                <c:formatCode>_-"$"* #,##0_-;\-"$"* #,##0_-;_-"$"* "-"??_-;_-@_-</c:formatCode>
                <c:ptCount val="6"/>
                <c:pt idx="0">
                  <c:v>405179000</c:v>
                </c:pt>
                <c:pt idx="1">
                  <c:v>476978000</c:v>
                </c:pt>
                <c:pt idx="2">
                  <c:v>404832000</c:v>
                </c:pt>
                <c:pt idx="3">
                  <c:v>370370000</c:v>
                </c:pt>
                <c:pt idx="4">
                  <c:v>372655000</c:v>
                </c:pt>
                <c:pt idx="5">
                  <c:v>348136000</c:v>
                </c:pt>
              </c:numCache>
            </c:numRef>
          </c:val>
          <c:smooth val="0"/>
          <c:extLst>
            <c:ext xmlns:c16="http://schemas.microsoft.com/office/drawing/2014/chart" uri="{C3380CC4-5D6E-409C-BE32-E72D297353CC}">
              <c16:uniqueId val="{00000002-08F7-4C64-A990-0CE5B8A53DF9}"/>
            </c:ext>
          </c:extLst>
        </c:ser>
        <c:ser>
          <c:idx val="3"/>
          <c:order val="3"/>
          <c:tx>
            <c:strRef>
              <c:f>Graphs!$C$412</c:f>
              <c:strCache>
                <c:ptCount val="1"/>
                <c:pt idx="0">
                  <c:v>Large Shire</c:v>
                </c:pt>
              </c:strCache>
            </c:strRef>
          </c:tx>
          <c:spPr>
            <a:ln w="28575" cap="rnd">
              <a:solidFill>
                <a:schemeClr val="accent4"/>
              </a:solidFill>
              <a:round/>
            </a:ln>
            <a:effectLst/>
          </c:spPr>
          <c:marker>
            <c:symbol val="none"/>
          </c:marker>
          <c:cat>
            <c:strRef>
              <c:f>Graphs!$D$408:$I$408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Graphs!$D$412:$I$412</c:f>
              <c:numCache>
                <c:formatCode>_-"$"* #,##0_-;\-"$"* #,##0_-;_-"$"* "-"??_-;_-@_-</c:formatCode>
                <c:ptCount val="6"/>
                <c:pt idx="0">
                  <c:v>467278000</c:v>
                </c:pt>
                <c:pt idx="1">
                  <c:v>631901000</c:v>
                </c:pt>
                <c:pt idx="2">
                  <c:v>506299000</c:v>
                </c:pt>
                <c:pt idx="3">
                  <c:v>445778000</c:v>
                </c:pt>
                <c:pt idx="4">
                  <c:v>426542000</c:v>
                </c:pt>
                <c:pt idx="5">
                  <c:v>399310000</c:v>
                </c:pt>
              </c:numCache>
            </c:numRef>
          </c:val>
          <c:smooth val="0"/>
          <c:extLst>
            <c:ext xmlns:c16="http://schemas.microsoft.com/office/drawing/2014/chart" uri="{C3380CC4-5D6E-409C-BE32-E72D297353CC}">
              <c16:uniqueId val="{00000003-08F7-4C64-A990-0CE5B8A53DF9}"/>
            </c:ext>
          </c:extLst>
        </c:ser>
        <c:ser>
          <c:idx val="4"/>
          <c:order val="4"/>
          <c:tx>
            <c:strRef>
              <c:f>Graphs!$C$413</c:f>
              <c:strCache>
                <c:ptCount val="1"/>
                <c:pt idx="0">
                  <c:v>Small Shire</c:v>
                </c:pt>
              </c:strCache>
            </c:strRef>
          </c:tx>
          <c:spPr>
            <a:ln w="28575" cap="rnd">
              <a:solidFill>
                <a:schemeClr val="accent5"/>
              </a:solidFill>
              <a:round/>
            </a:ln>
            <a:effectLst/>
          </c:spPr>
          <c:marker>
            <c:symbol val="none"/>
          </c:marker>
          <c:cat>
            <c:strRef>
              <c:f>Graphs!$D$408:$I$408</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Graphs!$D$413:$I$413</c:f>
              <c:numCache>
                <c:formatCode>_-"$"* #,##0_-;\-"$"* #,##0_-;_-"$"* "-"??_-;_-@_-</c:formatCode>
                <c:ptCount val="6"/>
                <c:pt idx="0">
                  <c:v>183078000</c:v>
                </c:pt>
                <c:pt idx="1">
                  <c:v>254229000</c:v>
                </c:pt>
                <c:pt idx="2">
                  <c:v>206439000</c:v>
                </c:pt>
                <c:pt idx="3">
                  <c:v>186841000</c:v>
                </c:pt>
                <c:pt idx="4">
                  <c:v>181786000</c:v>
                </c:pt>
                <c:pt idx="5">
                  <c:v>180016000</c:v>
                </c:pt>
              </c:numCache>
            </c:numRef>
          </c:val>
          <c:smooth val="0"/>
          <c:extLst>
            <c:ext xmlns:c16="http://schemas.microsoft.com/office/drawing/2014/chart" uri="{C3380CC4-5D6E-409C-BE32-E72D297353CC}">
              <c16:uniqueId val="{00000004-08F7-4C64-A990-0CE5B8A53DF9}"/>
            </c:ext>
          </c:extLst>
        </c:ser>
        <c:dLbls>
          <c:showLegendKey val="0"/>
          <c:showVal val="0"/>
          <c:showCatName val="0"/>
          <c:showSerName val="0"/>
          <c:showPercent val="0"/>
          <c:showBubbleSize val="0"/>
        </c:dLbls>
        <c:smooth val="0"/>
        <c:axId val="609344696"/>
        <c:axId val="609347320"/>
      </c:lineChart>
      <c:catAx>
        <c:axId val="60934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347320"/>
        <c:crosses val="autoZero"/>
        <c:auto val="1"/>
        <c:lblAlgn val="ctr"/>
        <c:lblOffset val="100"/>
        <c:noMultiLvlLbl val="0"/>
      </c:catAx>
      <c:valAx>
        <c:axId val="609347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344696"/>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total interest bearing liabilities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019E-40B3-89D1-B1258F5668A0}"/>
              </c:ext>
            </c:extLst>
          </c:dPt>
          <c:dPt>
            <c:idx val="5"/>
            <c:invertIfNegative val="0"/>
            <c:bubble3D val="0"/>
            <c:spPr>
              <a:solidFill>
                <a:srgbClr val="FFFF00"/>
              </a:solidFill>
              <a:ln>
                <a:noFill/>
              </a:ln>
              <a:effectLst/>
            </c:spPr>
            <c:extLst>
              <c:ext xmlns:c16="http://schemas.microsoft.com/office/drawing/2014/chart" uri="{C3380CC4-5D6E-409C-BE32-E72D297353CC}">
                <c16:uniqueId val="{00000003-019E-40B3-89D1-B1258F5668A0}"/>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Graphs'!$B$274:$B$279</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Graphs'!$C$274:$C$279</c:f>
              <c:numCache>
                <c:formatCode>_-* #,##0_-;\-* #,##0_-;_-* "-"??_-;_-@_-</c:formatCode>
                <c:ptCount val="6"/>
                <c:pt idx="0">
                  <c:v>1366834</c:v>
                </c:pt>
                <c:pt idx="1">
                  <c:v>1289275</c:v>
                </c:pt>
                <c:pt idx="2">
                  <c:v>1296903</c:v>
                </c:pt>
                <c:pt idx="3">
                  <c:v>1233196</c:v>
                </c:pt>
                <c:pt idx="4">
                  <c:v>1060577</c:v>
                </c:pt>
                <c:pt idx="5">
                  <c:v>1402036</c:v>
                </c:pt>
              </c:numCache>
            </c:numRef>
          </c:val>
          <c:extLst>
            <c:ext xmlns:c16="http://schemas.microsoft.com/office/drawing/2014/chart" uri="{C3380CC4-5D6E-409C-BE32-E72D297353CC}">
              <c16:uniqueId val="{00000004-019E-40B3-89D1-B1258F5668A0}"/>
            </c:ext>
          </c:extLst>
        </c:ser>
        <c:dLbls>
          <c:showLegendKey val="0"/>
          <c:showVal val="0"/>
          <c:showCatName val="0"/>
          <c:showSerName val="0"/>
          <c:showPercent val="0"/>
          <c:showBubbleSize val="0"/>
        </c:dLbls>
        <c:gapWidth val="219"/>
        <c:overlap val="-27"/>
        <c:axId val="984890799"/>
        <c:axId val="984886863"/>
      </c:barChart>
      <c:catAx>
        <c:axId val="98489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86863"/>
        <c:crosses val="autoZero"/>
        <c:auto val="1"/>
        <c:lblAlgn val="ctr"/>
        <c:lblOffset val="100"/>
        <c:noMultiLvlLbl val="0"/>
      </c:catAx>
      <c:valAx>
        <c:axId val="9848868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90799"/>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Debt forecast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Graphs!$C$451</c:f>
              <c:strCache>
                <c:ptCount val="1"/>
                <c:pt idx="0">
                  <c:v>Metropolitan</c:v>
                </c:pt>
              </c:strCache>
            </c:strRef>
          </c:tx>
          <c:spPr>
            <a:ln w="28575" cap="rnd">
              <a:solidFill>
                <a:schemeClr val="accent6"/>
              </a:solidFill>
              <a:round/>
            </a:ln>
            <a:effectLst/>
          </c:spPr>
          <c:marker>
            <c:symbol val="none"/>
          </c:marker>
          <c:cat>
            <c:strRef>
              <c:f>Graphs!$D$450:$I$450</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Graphs!$D$451:$I$451</c:f>
              <c:numCache>
                <c:formatCode>_-"$"* #,##0_-;\-"$"* #,##0_-;_-"$"* "-"??_-;_-@_-</c:formatCode>
                <c:ptCount val="6"/>
                <c:pt idx="0">
                  <c:v>456105000</c:v>
                </c:pt>
                <c:pt idx="1">
                  <c:v>387747000</c:v>
                </c:pt>
                <c:pt idx="2">
                  <c:v>493868000</c:v>
                </c:pt>
                <c:pt idx="3">
                  <c:v>721537000</c:v>
                </c:pt>
                <c:pt idx="4">
                  <c:v>839005000</c:v>
                </c:pt>
                <c:pt idx="5">
                  <c:v>853621000</c:v>
                </c:pt>
              </c:numCache>
            </c:numRef>
          </c:val>
          <c:smooth val="0"/>
          <c:extLst>
            <c:ext xmlns:c16="http://schemas.microsoft.com/office/drawing/2014/chart" uri="{C3380CC4-5D6E-409C-BE32-E72D297353CC}">
              <c16:uniqueId val="{00000000-8C3B-45B7-A32B-9B03F2E4D80E}"/>
            </c:ext>
          </c:extLst>
        </c:ser>
        <c:ser>
          <c:idx val="1"/>
          <c:order val="1"/>
          <c:tx>
            <c:strRef>
              <c:f>Graphs!$C$452</c:f>
              <c:strCache>
                <c:ptCount val="1"/>
                <c:pt idx="0">
                  <c:v>Interface</c:v>
                </c:pt>
              </c:strCache>
            </c:strRef>
          </c:tx>
          <c:spPr>
            <a:ln w="28575" cap="rnd">
              <a:solidFill>
                <a:schemeClr val="accent5"/>
              </a:solidFill>
              <a:round/>
            </a:ln>
            <a:effectLst/>
          </c:spPr>
          <c:marker>
            <c:symbol val="none"/>
          </c:marker>
          <c:cat>
            <c:strRef>
              <c:f>Graphs!$D$450:$I$450</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Graphs!$D$452:$I$452</c:f>
              <c:numCache>
                <c:formatCode>_-"$"* #,##0_-;\-"$"* #,##0_-;_-"$"* "-"??_-;_-@_-</c:formatCode>
                <c:ptCount val="6"/>
                <c:pt idx="0">
                  <c:v>299682000</c:v>
                </c:pt>
                <c:pt idx="1">
                  <c:v>241361000</c:v>
                </c:pt>
                <c:pt idx="2">
                  <c:v>308079000</c:v>
                </c:pt>
                <c:pt idx="3">
                  <c:v>269754000</c:v>
                </c:pt>
                <c:pt idx="4">
                  <c:v>269330000</c:v>
                </c:pt>
                <c:pt idx="5">
                  <c:v>305757000</c:v>
                </c:pt>
              </c:numCache>
            </c:numRef>
          </c:val>
          <c:smooth val="0"/>
          <c:extLst>
            <c:ext xmlns:c16="http://schemas.microsoft.com/office/drawing/2014/chart" uri="{C3380CC4-5D6E-409C-BE32-E72D297353CC}">
              <c16:uniqueId val="{00000001-8C3B-45B7-A32B-9B03F2E4D80E}"/>
            </c:ext>
          </c:extLst>
        </c:ser>
        <c:ser>
          <c:idx val="2"/>
          <c:order val="2"/>
          <c:tx>
            <c:strRef>
              <c:f>Graphs!$C$453</c:f>
              <c:strCache>
                <c:ptCount val="1"/>
                <c:pt idx="0">
                  <c:v>Regional City</c:v>
                </c:pt>
              </c:strCache>
            </c:strRef>
          </c:tx>
          <c:spPr>
            <a:ln w="28575" cap="rnd">
              <a:solidFill>
                <a:schemeClr val="accent4"/>
              </a:solidFill>
              <a:round/>
            </a:ln>
            <a:effectLst/>
          </c:spPr>
          <c:marker>
            <c:symbol val="none"/>
          </c:marker>
          <c:cat>
            <c:strRef>
              <c:f>Graphs!$D$450:$I$450</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Graphs!$D$453:$I$453</c:f>
              <c:numCache>
                <c:formatCode>_-"$"* #,##0_-;\-"$"* #,##0_-;_-"$"* "-"??_-;_-@_-</c:formatCode>
                <c:ptCount val="6"/>
                <c:pt idx="0">
                  <c:v>300687000</c:v>
                </c:pt>
                <c:pt idx="1">
                  <c:v>276194000</c:v>
                </c:pt>
                <c:pt idx="2">
                  <c:v>386254000</c:v>
                </c:pt>
                <c:pt idx="3">
                  <c:v>406980000</c:v>
                </c:pt>
                <c:pt idx="4">
                  <c:v>408404000</c:v>
                </c:pt>
                <c:pt idx="5">
                  <c:v>386144000</c:v>
                </c:pt>
              </c:numCache>
            </c:numRef>
          </c:val>
          <c:smooth val="0"/>
          <c:extLst>
            <c:ext xmlns:c16="http://schemas.microsoft.com/office/drawing/2014/chart" uri="{C3380CC4-5D6E-409C-BE32-E72D297353CC}">
              <c16:uniqueId val="{00000002-8C3B-45B7-A32B-9B03F2E4D80E}"/>
            </c:ext>
          </c:extLst>
        </c:ser>
        <c:ser>
          <c:idx val="3"/>
          <c:order val="3"/>
          <c:tx>
            <c:strRef>
              <c:f>Graphs!$C$454</c:f>
              <c:strCache>
                <c:ptCount val="1"/>
                <c:pt idx="0">
                  <c:v>Large Shire</c:v>
                </c:pt>
              </c:strCache>
            </c:strRef>
          </c:tx>
          <c:spPr>
            <a:ln w="28575" cap="rnd">
              <a:solidFill>
                <a:schemeClr val="accent6">
                  <a:lumMod val="60000"/>
                </a:schemeClr>
              </a:solidFill>
              <a:round/>
            </a:ln>
            <a:effectLst/>
          </c:spPr>
          <c:marker>
            <c:symbol val="none"/>
          </c:marker>
          <c:cat>
            <c:strRef>
              <c:f>Graphs!$D$450:$I$450</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Graphs!$D$454:$I$454</c:f>
              <c:numCache>
                <c:formatCode>_-"$"* #,##0_-;\-"$"* #,##0_-;_-"$"* "-"??_-;_-@_-</c:formatCode>
                <c:ptCount val="6"/>
                <c:pt idx="0">
                  <c:v>152811000</c:v>
                </c:pt>
                <c:pt idx="1">
                  <c:v>132983000</c:v>
                </c:pt>
                <c:pt idx="2">
                  <c:v>180901000</c:v>
                </c:pt>
                <c:pt idx="3">
                  <c:v>208888000</c:v>
                </c:pt>
                <c:pt idx="4">
                  <c:v>222440000</c:v>
                </c:pt>
                <c:pt idx="5">
                  <c:v>217017000</c:v>
                </c:pt>
              </c:numCache>
            </c:numRef>
          </c:val>
          <c:smooth val="0"/>
          <c:extLst>
            <c:ext xmlns:c16="http://schemas.microsoft.com/office/drawing/2014/chart" uri="{C3380CC4-5D6E-409C-BE32-E72D297353CC}">
              <c16:uniqueId val="{00000003-8C3B-45B7-A32B-9B03F2E4D80E}"/>
            </c:ext>
          </c:extLst>
        </c:ser>
        <c:ser>
          <c:idx val="4"/>
          <c:order val="4"/>
          <c:tx>
            <c:strRef>
              <c:f>Graphs!$C$455</c:f>
              <c:strCache>
                <c:ptCount val="1"/>
                <c:pt idx="0">
                  <c:v>Small Shire</c:v>
                </c:pt>
              </c:strCache>
            </c:strRef>
          </c:tx>
          <c:spPr>
            <a:ln w="28575" cap="rnd">
              <a:solidFill>
                <a:schemeClr val="accent5">
                  <a:lumMod val="60000"/>
                </a:schemeClr>
              </a:solidFill>
              <a:round/>
            </a:ln>
            <a:effectLst/>
          </c:spPr>
          <c:marker>
            <c:symbol val="none"/>
          </c:marker>
          <c:cat>
            <c:strRef>
              <c:f>Graphs!$D$450:$I$450</c:f>
              <c:strCache>
                <c:ptCount val="6"/>
                <c:pt idx="0">
                  <c:v>Adopted Budget 2019-20</c:v>
                </c:pt>
                <c:pt idx="1">
                  <c:v>Forecast Actual 2019-20</c:v>
                </c:pt>
                <c:pt idx="2">
                  <c:v>Adopted Budget 2020-21</c:v>
                </c:pt>
                <c:pt idx="3">
                  <c:v>2020-21 SRP for 2021-22</c:v>
                </c:pt>
                <c:pt idx="4">
                  <c:v>2020-21 SRP for 2022-23</c:v>
                </c:pt>
                <c:pt idx="5">
                  <c:v>2020-21 SRP for 2023-24</c:v>
                </c:pt>
              </c:strCache>
            </c:strRef>
          </c:cat>
          <c:val>
            <c:numRef>
              <c:f>Graphs!$D$455:$I$455</c:f>
              <c:numCache>
                <c:formatCode>_-"$"* #,##0_-;\-"$"* #,##0_-;_-"$"* "-"??_-;_-@_-</c:formatCode>
                <c:ptCount val="6"/>
                <c:pt idx="0">
                  <c:v>23911000</c:v>
                </c:pt>
                <c:pt idx="1">
                  <c:v>22292000</c:v>
                </c:pt>
                <c:pt idx="2">
                  <c:v>32934000</c:v>
                </c:pt>
                <c:pt idx="3">
                  <c:v>26632000</c:v>
                </c:pt>
                <c:pt idx="4">
                  <c:v>23727000</c:v>
                </c:pt>
                <c:pt idx="5">
                  <c:v>20562000</c:v>
                </c:pt>
              </c:numCache>
            </c:numRef>
          </c:val>
          <c:smooth val="0"/>
          <c:extLst>
            <c:ext xmlns:c16="http://schemas.microsoft.com/office/drawing/2014/chart" uri="{C3380CC4-5D6E-409C-BE32-E72D297353CC}">
              <c16:uniqueId val="{00000004-8C3B-45B7-A32B-9B03F2E4D80E}"/>
            </c:ext>
          </c:extLst>
        </c:ser>
        <c:dLbls>
          <c:showLegendKey val="0"/>
          <c:showVal val="0"/>
          <c:showCatName val="0"/>
          <c:showSerName val="0"/>
          <c:showPercent val="0"/>
          <c:showBubbleSize val="0"/>
        </c:dLbls>
        <c:smooth val="0"/>
        <c:axId val="603107888"/>
        <c:axId val="603106248"/>
      </c:lineChart>
      <c:catAx>
        <c:axId val="60310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6248"/>
        <c:crosses val="autoZero"/>
        <c:auto val="1"/>
        <c:lblAlgn val="ctr"/>
        <c:lblOffset val="100"/>
        <c:noMultiLvlLbl val="0"/>
      </c:catAx>
      <c:valAx>
        <c:axId val="603106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107888"/>
        <c:crosses val="autoZero"/>
        <c:crossBetween val="between"/>
        <c:majorUnit val="100000000"/>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Cash</a:t>
            </a:r>
            <a:r>
              <a:rPr lang="en-AU" baseline="0"/>
              <a:t> and debt - historical trend and forecast</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'More Graphs'!$D$420</c:f>
              <c:strCache>
                <c:ptCount val="1"/>
                <c:pt idx="0">
                  <c:v>Debt</c:v>
                </c:pt>
              </c:strCache>
            </c:strRef>
          </c:tx>
          <c:spPr>
            <a:solidFill>
              <a:schemeClr val="accent3"/>
            </a:solidFill>
            <a:ln>
              <a:noFill/>
            </a:ln>
            <a:effectLst/>
          </c:spPr>
          <c:invertIfNegative val="0"/>
          <c:dPt>
            <c:idx val="4"/>
            <c:invertIfNegative val="0"/>
            <c:bubble3D val="0"/>
            <c:spPr>
              <a:solidFill>
                <a:srgbClr val="FFC000"/>
              </a:solidFill>
              <a:ln>
                <a:noFill/>
              </a:ln>
              <a:effectLst/>
            </c:spPr>
            <c:extLst>
              <c:ext xmlns:c16="http://schemas.microsoft.com/office/drawing/2014/chart" uri="{C3380CC4-5D6E-409C-BE32-E72D297353CC}">
                <c16:uniqueId val="{00000001-61EC-45BF-8286-B473947EDF05}"/>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Graphs'!$E$418:$M$418</c:f>
              <c:strCache>
                <c:ptCount val="9"/>
                <c:pt idx="0">
                  <c:v>Adopted Budget 2016-17</c:v>
                </c:pt>
                <c:pt idx="1">
                  <c:v>Adopted Budget 2017-18</c:v>
                </c:pt>
                <c:pt idx="2">
                  <c:v>Adopted Budget 2018-19</c:v>
                </c:pt>
                <c:pt idx="3">
                  <c:v>Adopted Budget 2019-20</c:v>
                </c:pt>
                <c:pt idx="4">
                  <c:v>Forecast Actual 2019-20</c:v>
                </c:pt>
                <c:pt idx="5">
                  <c:v>Adopted Budget 2020-21</c:v>
                </c:pt>
                <c:pt idx="6">
                  <c:v>2020-21 SRP for 2021-22</c:v>
                </c:pt>
                <c:pt idx="7">
                  <c:v>2020-21 SRP for 2022-23</c:v>
                </c:pt>
                <c:pt idx="8">
                  <c:v>2020-21 SRP for 2023-24</c:v>
                </c:pt>
              </c:strCache>
            </c:strRef>
          </c:cat>
          <c:val>
            <c:numRef>
              <c:f>'More Graphs'!$E$420:$M$420</c:f>
              <c:numCache>
                <c:formatCode>General</c:formatCode>
                <c:ptCount val="9"/>
                <c:pt idx="0">
                  <c:v>1366834000</c:v>
                </c:pt>
                <c:pt idx="1">
                  <c:v>1289275000</c:v>
                </c:pt>
                <c:pt idx="2">
                  <c:v>1296903000</c:v>
                </c:pt>
                <c:pt idx="3">
                  <c:v>1233196000</c:v>
                </c:pt>
                <c:pt idx="4">
                  <c:v>1060577000</c:v>
                </c:pt>
                <c:pt idx="5">
                  <c:v>1402036000</c:v>
                </c:pt>
                <c:pt idx="6">
                  <c:v>1633791000</c:v>
                </c:pt>
                <c:pt idx="7">
                  <c:v>1762906000</c:v>
                </c:pt>
                <c:pt idx="8">
                  <c:v>1783101000</c:v>
                </c:pt>
              </c:numCache>
            </c:numRef>
          </c:val>
          <c:extLst>
            <c:ext xmlns:c16="http://schemas.microsoft.com/office/drawing/2014/chart" uri="{C3380CC4-5D6E-409C-BE32-E72D297353CC}">
              <c16:uniqueId val="{00000002-61EC-45BF-8286-B473947EDF05}"/>
            </c:ext>
          </c:extLst>
        </c:ser>
        <c:dLbls>
          <c:showLegendKey val="0"/>
          <c:showVal val="0"/>
          <c:showCatName val="0"/>
          <c:showSerName val="0"/>
          <c:showPercent val="0"/>
          <c:showBubbleSize val="0"/>
        </c:dLbls>
        <c:gapWidth val="150"/>
        <c:axId val="566513727"/>
        <c:axId val="566514711"/>
      </c:barChart>
      <c:lineChart>
        <c:grouping val="standard"/>
        <c:varyColors val="0"/>
        <c:ser>
          <c:idx val="0"/>
          <c:order val="0"/>
          <c:tx>
            <c:strRef>
              <c:f>'More Graphs'!$D$419</c:f>
              <c:strCache>
                <c:ptCount val="1"/>
                <c:pt idx="0">
                  <c:v>Cash</c:v>
                </c:pt>
              </c:strCache>
            </c:strRef>
          </c:tx>
          <c:spPr>
            <a:ln w="28575" cap="rnd">
              <a:solidFill>
                <a:schemeClr val="accent1"/>
              </a:solidFill>
              <a:round/>
            </a:ln>
            <a:effectLst/>
          </c:spPr>
          <c:marker>
            <c:symbol val="none"/>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Graphs'!$E$418:$M$418</c:f>
              <c:strCache>
                <c:ptCount val="9"/>
                <c:pt idx="0">
                  <c:v>Adopted Budget 2016-17</c:v>
                </c:pt>
                <c:pt idx="1">
                  <c:v>Adopted Budget 2017-18</c:v>
                </c:pt>
                <c:pt idx="2">
                  <c:v>Adopted Budget 2018-19</c:v>
                </c:pt>
                <c:pt idx="3">
                  <c:v>Adopted Budget 2019-20</c:v>
                </c:pt>
                <c:pt idx="4">
                  <c:v>Forecast Actual 2019-20</c:v>
                </c:pt>
                <c:pt idx="5">
                  <c:v>Adopted Budget 2020-21</c:v>
                </c:pt>
                <c:pt idx="6">
                  <c:v>2020-21 SRP for 2021-22</c:v>
                </c:pt>
                <c:pt idx="7">
                  <c:v>2020-21 SRP for 2022-23</c:v>
                </c:pt>
                <c:pt idx="8">
                  <c:v>2020-21 SRP for 2023-24</c:v>
                </c:pt>
              </c:strCache>
            </c:strRef>
          </c:cat>
          <c:val>
            <c:numRef>
              <c:f>'More Graphs'!$E$419:$M$419</c:f>
              <c:numCache>
                <c:formatCode>General</c:formatCode>
                <c:ptCount val="9"/>
                <c:pt idx="0">
                  <c:v>2590425000</c:v>
                </c:pt>
                <c:pt idx="1">
                  <c:v>3338892000</c:v>
                </c:pt>
                <c:pt idx="2">
                  <c:v>3830515000</c:v>
                </c:pt>
                <c:pt idx="3">
                  <c:v>4368164000</c:v>
                </c:pt>
                <c:pt idx="4">
                  <c:v>5090983000</c:v>
                </c:pt>
                <c:pt idx="5">
                  <c:v>4299791000</c:v>
                </c:pt>
                <c:pt idx="6">
                  <c:v>3972837000</c:v>
                </c:pt>
                <c:pt idx="7">
                  <c:v>3881150000</c:v>
                </c:pt>
                <c:pt idx="8">
                  <c:v>3841177000</c:v>
                </c:pt>
              </c:numCache>
            </c:numRef>
          </c:val>
          <c:smooth val="0"/>
          <c:extLst>
            <c:ext xmlns:c16="http://schemas.microsoft.com/office/drawing/2014/chart" uri="{C3380CC4-5D6E-409C-BE32-E72D297353CC}">
              <c16:uniqueId val="{00000003-61EC-45BF-8286-B473947EDF05}"/>
            </c:ext>
          </c:extLst>
        </c:ser>
        <c:dLbls>
          <c:showLegendKey val="0"/>
          <c:showVal val="0"/>
          <c:showCatName val="0"/>
          <c:showSerName val="0"/>
          <c:showPercent val="0"/>
          <c:showBubbleSize val="0"/>
        </c:dLbls>
        <c:marker val="1"/>
        <c:smooth val="0"/>
        <c:axId val="566513727"/>
        <c:axId val="566514711"/>
      </c:lineChart>
      <c:catAx>
        <c:axId val="56651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514711"/>
        <c:crosses val="autoZero"/>
        <c:auto val="1"/>
        <c:lblAlgn val="ctr"/>
        <c:lblOffset val="100"/>
        <c:noMultiLvlLbl val="0"/>
      </c:catAx>
      <c:valAx>
        <c:axId val="5665147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513727"/>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Budgeted rates and charges revenue over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chemeClr val="accent1"/>
              </a:solidFill>
              <a:ln>
                <a:noFill/>
              </a:ln>
              <a:effectLst/>
            </c:spPr>
            <c:extLst>
              <c:ext xmlns:c16="http://schemas.microsoft.com/office/drawing/2014/chart" uri="{C3380CC4-5D6E-409C-BE32-E72D297353CC}">
                <c16:uniqueId val="{00000001-0E10-4FD0-A114-871D82A9BEA0}"/>
              </c:ext>
            </c:extLst>
          </c:dPt>
          <c:dPt>
            <c:idx val="4"/>
            <c:invertIfNegative val="0"/>
            <c:bubble3D val="0"/>
            <c:spPr>
              <a:solidFill>
                <a:srgbClr val="FFC000"/>
              </a:solidFill>
              <a:ln>
                <a:noFill/>
              </a:ln>
              <a:effectLst/>
            </c:spPr>
            <c:extLst>
              <c:ext xmlns:c16="http://schemas.microsoft.com/office/drawing/2014/chart" uri="{C3380CC4-5D6E-409C-BE32-E72D297353CC}">
                <c16:uniqueId val="{00000003-0E10-4FD0-A114-871D82A9BEA0}"/>
              </c:ext>
            </c:extLst>
          </c:dPt>
          <c:dPt>
            <c:idx val="5"/>
            <c:invertIfNegative val="0"/>
            <c:bubble3D val="0"/>
            <c:spPr>
              <a:solidFill>
                <a:srgbClr val="FFFF00"/>
              </a:solidFill>
              <a:ln>
                <a:noFill/>
              </a:ln>
              <a:effectLst/>
            </c:spPr>
            <c:extLst>
              <c:ext xmlns:c16="http://schemas.microsoft.com/office/drawing/2014/chart" uri="{C3380CC4-5D6E-409C-BE32-E72D297353CC}">
                <c16:uniqueId val="{00000005-0E10-4FD0-A114-871D82A9BEA0}"/>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Graphs'!$B$34:$B$39</c:f>
              <c:strCache>
                <c:ptCount val="6"/>
                <c:pt idx="0">
                  <c:v>Adopted Budget 
2016-17</c:v>
                </c:pt>
                <c:pt idx="1">
                  <c:v>Adopted Budget 
2017-18</c:v>
                </c:pt>
                <c:pt idx="2">
                  <c:v>Adopted Budget 
2018-19</c:v>
                </c:pt>
                <c:pt idx="3">
                  <c:v>Adopted Budget 
2019-20</c:v>
                </c:pt>
                <c:pt idx="4">
                  <c:v>Forecast Actual 
2019-20</c:v>
                </c:pt>
                <c:pt idx="5">
                  <c:v>Adopted Budget 
2020-21</c:v>
                </c:pt>
              </c:strCache>
            </c:strRef>
          </c:cat>
          <c:val>
            <c:numRef>
              <c:f>'More Graphs'!$C$34:$C$39</c:f>
              <c:numCache>
                <c:formatCode>_-* #,##0_-;\-* #,##0_-;_-* "-"??_-;_-@_-</c:formatCode>
                <c:ptCount val="6"/>
                <c:pt idx="0">
                  <c:v>5438207</c:v>
                </c:pt>
                <c:pt idx="1">
                  <c:v>5661212</c:v>
                </c:pt>
                <c:pt idx="2">
                  <c:v>5988084</c:v>
                </c:pt>
                <c:pt idx="3">
                  <c:v>6257473</c:v>
                </c:pt>
                <c:pt idx="4">
                  <c:v>6270447</c:v>
                </c:pt>
                <c:pt idx="5">
                  <c:v>6449915</c:v>
                </c:pt>
              </c:numCache>
            </c:numRef>
          </c:val>
          <c:extLst>
            <c:ext xmlns:c16="http://schemas.microsoft.com/office/drawing/2014/chart" uri="{C3380CC4-5D6E-409C-BE32-E72D297353CC}">
              <c16:uniqueId val="{00000006-0E10-4FD0-A114-871D82A9BEA0}"/>
            </c:ext>
          </c:extLst>
        </c:ser>
        <c:dLbls>
          <c:showLegendKey val="0"/>
          <c:showVal val="0"/>
          <c:showCatName val="0"/>
          <c:showSerName val="0"/>
          <c:showPercent val="0"/>
          <c:showBubbleSize val="0"/>
        </c:dLbls>
        <c:gapWidth val="219"/>
        <c:overlap val="-27"/>
        <c:axId val="261905943"/>
        <c:axId val="261905287"/>
      </c:barChart>
      <c:catAx>
        <c:axId val="261905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905287"/>
        <c:crosses val="autoZero"/>
        <c:auto val="1"/>
        <c:lblAlgn val="ctr"/>
        <c:lblOffset val="100"/>
        <c:noMultiLvlLbl val="0"/>
      </c:catAx>
      <c:valAx>
        <c:axId val="261905287"/>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1905943"/>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Composition of rates and </a:t>
            </a:r>
            <a:r>
              <a:rPr lang="en-US" sz="1200"/>
              <a:t>charges</a:t>
            </a:r>
            <a:r>
              <a:rPr lang="en-US"/>
              <a:t> revenue 2020-21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3"/>
            </a:solidFill>
            <a:ln>
              <a:noFill/>
            </a:ln>
            <a:effectLst/>
          </c:spPr>
          <c:invertIfNegative val="0"/>
          <c:dLbls>
            <c:dLbl>
              <c:idx val="0"/>
              <c:layout>
                <c:manualLayout>
                  <c:x val="-0.42112225774446044"/>
                  <c:y val="-1.018506752641599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D5-4765-9198-B0F88BDD8BB4}"/>
                </c:ext>
              </c:extLst>
            </c:dLbl>
            <c:dLbl>
              <c:idx val="1"/>
              <c:layout>
                <c:manualLayout>
                  <c:x val="0.14551868592216946"/>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D5-4765-9198-B0F88BDD8BB4}"/>
                </c:ext>
              </c:extLst>
            </c:dLbl>
            <c:dLbl>
              <c:idx val="2"/>
              <c:layout>
                <c:manualLayout>
                  <c:x val="0.21166354315951927"/>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D5-4765-9198-B0F88BDD8BB4}"/>
                </c:ext>
              </c:extLst>
            </c:dLbl>
            <c:dLbl>
              <c:idx val="3"/>
              <c:layout>
                <c:manualLayout>
                  <c:x val="0.21607320030867599"/>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D5-4765-9198-B0F88BDD8BB4}"/>
                </c:ext>
              </c:extLst>
            </c:dLbl>
            <c:numFmt formatCode="&quot;$&quot;#,##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Graphs'!$B$445:$B$448</c:f>
              <c:strCache>
                <c:ptCount val="4"/>
                <c:pt idx="0">
                  <c:v>General Rates</c:v>
                </c:pt>
                <c:pt idx="1">
                  <c:v>Waste charges</c:v>
                </c:pt>
                <c:pt idx="2">
                  <c:v>Municipal charges</c:v>
                </c:pt>
                <c:pt idx="3">
                  <c:v>Other charges</c:v>
                </c:pt>
              </c:strCache>
            </c:strRef>
          </c:cat>
          <c:val>
            <c:numRef>
              <c:f>'More Graphs'!$D$445:$D$448</c:f>
              <c:numCache>
                <c:formatCode>_-* #,##0_-;\-* #,##0_-;_-* "-"??_-;_-@_-</c:formatCode>
                <c:ptCount val="4"/>
                <c:pt idx="0" formatCode="#,##0">
                  <c:v>5475234514</c:v>
                </c:pt>
                <c:pt idx="1">
                  <c:v>734229479</c:v>
                </c:pt>
                <c:pt idx="2">
                  <c:v>141623013</c:v>
                </c:pt>
                <c:pt idx="3">
                  <c:v>105094832</c:v>
                </c:pt>
              </c:numCache>
            </c:numRef>
          </c:val>
          <c:extLst>
            <c:ext xmlns:c16="http://schemas.microsoft.com/office/drawing/2014/chart" uri="{C3380CC4-5D6E-409C-BE32-E72D297353CC}">
              <c16:uniqueId val="{00000000-21D5-4765-9198-B0F88BDD8BB4}"/>
            </c:ext>
          </c:extLst>
        </c:ser>
        <c:dLbls>
          <c:showLegendKey val="0"/>
          <c:showVal val="0"/>
          <c:showCatName val="0"/>
          <c:showSerName val="0"/>
          <c:showPercent val="0"/>
          <c:showBubbleSize val="0"/>
        </c:dLbls>
        <c:gapWidth val="182"/>
        <c:axId val="850893880"/>
        <c:axId val="850892240"/>
      </c:barChart>
      <c:catAx>
        <c:axId val="850893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892240"/>
        <c:crosses val="autoZero"/>
        <c:auto val="1"/>
        <c:lblAlgn val="ctr"/>
        <c:lblOffset val="100"/>
        <c:noMultiLvlLbl val="0"/>
      </c:catAx>
      <c:valAx>
        <c:axId val="85089224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893880"/>
        <c:crosses val="autoZero"/>
        <c:crossBetween val="between"/>
        <c:dispUnits>
          <c:builtInUnit val="billions"/>
          <c:dispUnitsLbl>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Billions</a:t>
                  </a:r>
                </a:p>
              </c:rich>
            </c:tx>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Growth in budgeted rates and charges revenue over last 5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5CBE-402A-8B04-5D239DE32D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Graphs'!$B$43:$B$45,'More Graphs'!$B$47)</c:f>
              <c:strCache>
                <c:ptCount val="4"/>
                <c:pt idx="0">
                  <c:v>Adopted Budget 
2017-18</c:v>
                </c:pt>
                <c:pt idx="1">
                  <c:v>Adopted Budget 
2018-19</c:v>
                </c:pt>
                <c:pt idx="2">
                  <c:v>Adopted Budget 
2019-20</c:v>
                </c:pt>
                <c:pt idx="3">
                  <c:v>Adopted Budget 
2020-21</c:v>
                </c:pt>
              </c:strCache>
            </c:strRef>
          </c:cat>
          <c:val>
            <c:numRef>
              <c:f>('More Graphs'!$C$43:$C$45,'More Graphs'!$C$47)</c:f>
              <c:numCache>
                <c:formatCode>0.00%</c:formatCode>
                <c:ptCount val="4"/>
                <c:pt idx="0">
                  <c:v>4.100708192976104E-2</c:v>
                </c:pt>
                <c:pt idx="1">
                  <c:v>5.7738872877397984E-2</c:v>
                </c:pt>
                <c:pt idx="2">
                  <c:v>4.4987511865231013E-2</c:v>
                </c:pt>
                <c:pt idx="3">
                  <c:v>3.0753948119312702E-2</c:v>
                </c:pt>
              </c:numCache>
            </c:numRef>
          </c:val>
          <c:extLst>
            <c:ext xmlns:c16="http://schemas.microsoft.com/office/drawing/2014/chart" uri="{C3380CC4-5D6E-409C-BE32-E72D297353CC}">
              <c16:uniqueId val="{00000002-5CBE-402A-8B04-5D239DE32D38}"/>
            </c:ext>
          </c:extLst>
        </c:ser>
        <c:dLbls>
          <c:showLegendKey val="0"/>
          <c:showVal val="0"/>
          <c:showCatName val="0"/>
          <c:showSerName val="0"/>
          <c:showPercent val="0"/>
          <c:showBubbleSize val="0"/>
        </c:dLbls>
        <c:gapWidth val="219"/>
        <c:overlap val="-27"/>
        <c:axId val="1281043696"/>
        <c:axId val="1281046976"/>
      </c:barChart>
      <c:catAx>
        <c:axId val="128104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46976"/>
        <c:crosses val="autoZero"/>
        <c:auto val="1"/>
        <c:lblAlgn val="ctr"/>
        <c:lblOffset val="100"/>
        <c:noMultiLvlLbl val="0"/>
      </c:catAx>
      <c:valAx>
        <c:axId val="1281046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4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Growth in Waste</a:t>
            </a:r>
            <a:r>
              <a:rPr lang="en-US" baseline="0"/>
              <a:t> </a:t>
            </a:r>
            <a:r>
              <a:rPr lang="en-US"/>
              <a:t>charges revenue over last 4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3"/>
            <c:invertIfNegative val="0"/>
            <c:bubble3D val="0"/>
            <c:spPr>
              <a:solidFill>
                <a:srgbClr val="FFFF00"/>
              </a:solidFill>
              <a:ln>
                <a:noFill/>
              </a:ln>
              <a:effectLst/>
            </c:spPr>
            <c:extLst>
              <c:ext xmlns:c16="http://schemas.microsoft.com/office/drawing/2014/chart" uri="{C3380CC4-5D6E-409C-BE32-E72D297353CC}">
                <c16:uniqueId val="{00000001-310F-4D7E-85DC-4C4D1F191B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'More Graphs'!$B$427:$B$430</c:f>
              <c:strCache>
                <c:ptCount val="4"/>
                <c:pt idx="0">
                  <c:v>Adopted Budget 
2017-18</c:v>
                </c:pt>
                <c:pt idx="1">
                  <c:v>Adopted Budget 
2018-19</c:v>
                </c:pt>
                <c:pt idx="2">
                  <c:v>Adopted Budget 
2019-20</c:v>
                </c:pt>
                <c:pt idx="3">
                  <c:v>Adopted Budget 
2020-21</c:v>
                </c:pt>
              </c:strCache>
            </c:strRef>
          </c:cat>
          <c:val>
            <c:numRef>
              <c:f>'More Graphs'!$C$427:$C$430</c:f>
              <c:numCache>
                <c:formatCode>0.00%</c:formatCode>
                <c:ptCount val="4"/>
                <c:pt idx="0">
                  <c:v>5.7000000000000002E-2</c:v>
                </c:pt>
                <c:pt idx="1">
                  <c:v>0.11</c:v>
                </c:pt>
                <c:pt idx="2">
                  <c:v>5.8000000000000003E-2</c:v>
                </c:pt>
                <c:pt idx="3">
                  <c:v>6.5000000000000002E-2</c:v>
                </c:pt>
              </c:numCache>
            </c:numRef>
          </c:val>
          <c:extLst>
            <c:ext xmlns:c16="http://schemas.microsoft.com/office/drawing/2014/chart" uri="{C3380CC4-5D6E-409C-BE32-E72D297353CC}">
              <c16:uniqueId val="{00000002-310F-4D7E-85DC-4C4D1F191B4A}"/>
            </c:ext>
          </c:extLst>
        </c:ser>
        <c:dLbls>
          <c:showLegendKey val="0"/>
          <c:showVal val="0"/>
          <c:showCatName val="0"/>
          <c:showSerName val="0"/>
          <c:showPercent val="0"/>
          <c:showBubbleSize val="0"/>
        </c:dLbls>
        <c:gapWidth val="219"/>
        <c:overlap val="-27"/>
        <c:axId val="1281043696"/>
        <c:axId val="1281046976"/>
      </c:barChart>
      <c:catAx>
        <c:axId val="128104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46976"/>
        <c:crosses val="autoZero"/>
        <c:auto val="1"/>
        <c:lblAlgn val="ctr"/>
        <c:lblOffset val="100"/>
        <c:noMultiLvlLbl val="0"/>
      </c:catAx>
      <c:valAx>
        <c:axId val="1281046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104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50" b="0" i="0" u="none" strike="noStrike" kern="1200" spc="0" baseline="0">
                <a:solidFill>
                  <a:schemeClr val="tx1">
                    <a:lumMod val="65000"/>
                    <a:lumOff val="35000"/>
                  </a:schemeClr>
                </a:solidFill>
                <a:latin typeface="+mn-lt"/>
                <a:ea typeface="+mn-ea"/>
                <a:cs typeface="+mn-cs"/>
              </a:defRPr>
            </a:pPr>
            <a:r>
              <a:rPr lang="en-AU" sz="1150" b="0" i="0" baseline="0">
                <a:effectLst/>
              </a:rPr>
              <a:t>Number of assessments by council cohort from 2013-14 to 2020-21</a:t>
            </a:r>
            <a:endParaRPr lang="en-AU" sz="1150">
              <a:effectLst/>
            </a:endParaRPr>
          </a:p>
        </c:rich>
      </c:tx>
      <c:overlay val="0"/>
      <c:spPr>
        <a:noFill/>
        <a:ln>
          <a:noFill/>
        </a:ln>
        <a:effectLst/>
      </c:spPr>
      <c:txPr>
        <a:bodyPr rot="0" spcFirstLastPara="1" vertOverflow="ellipsis" vert="horz" wrap="square" anchor="ctr" anchorCtr="1"/>
        <a:lstStyle/>
        <a:p>
          <a:pPr>
            <a:defRPr sz="11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17832375737511"/>
          <c:y val="0.21662862732311705"/>
          <c:w val="0.65369822153086266"/>
          <c:h val="0.6400391261819367"/>
        </c:manualLayout>
      </c:layout>
      <c:lineChart>
        <c:grouping val="standard"/>
        <c:varyColors val="0"/>
        <c:ser>
          <c:idx val="0"/>
          <c:order val="0"/>
          <c:tx>
            <c:strRef>
              <c:f>'More Graphs'!$E$479</c:f>
              <c:strCache>
                <c:ptCount val="1"/>
                <c:pt idx="0">
                  <c:v>Metropolitan Council</c:v>
                </c:pt>
              </c:strCache>
            </c:strRef>
          </c:tx>
          <c:spPr>
            <a:ln w="28575" cap="rnd">
              <a:solidFill>
                <a:schemeClr val="accent1"/>
              </a:solidFill>
              <a:round/>
            </a:ln>
            <a:effectLst/>
          </c:spPr>
          <c:marker>
            <c:symbol val="none"/>
          </c:marker>
          <c:cat>
            <c:strRef>
              <c:f>'More Graphs'!$F$478:$M$478</c:f>
              <c:strCache>
                <c:ptCount val="8"/>
                <c:pt idx="0">
                  <c:v>2013-14</c:v>
                </c:pt>
                <c:pt idx="1">
                  <c:v>2014-15</c:v>
                </c:pt>
                <c:pt idx="2">
                  <c:v>2015-16</c:v>
                </c:pt>
                <c:pt idx="3">
                  <c:v>2016-17</c:v>
                </c:pt>
                <c:pt idx="4">
                  <c:v>2017-18</c:v>
                </c:pt>
                <c:pt idx="5">
                  <c:v>2018-19</c:v>
                </c:pt>
                <c:pt idx="6">
                  <c:v>2019-20</c:v>
                </c:pt>
                <c:pt idx="7">
                  <c:v>2020-21</c:v>
                </c:pt>
              </c:strCache>
            </c:strRef>
          </c:cat>
          <c:val>
            <c:numRef>
              <c:f>'More Graphs'!$F$479:$M$479</c:f>
              <c:numCache>
                <c:formatCode>General</c:formatCode>
                <c:ptCount val="8"/>
                <c:pt idx="0">
                  <c:v>1307867</c:v>
                </c:pt>
                <c:pt idx="1">
                  <c:v>1331075</c:v>
                </c:pt>
                <c:pt idx="2">
                  <c:v>1357107</c:v>
                </c:pt>
                <c:pt idx="3">
                  <c:v>1370744</c:v>
                </c:pt>
                <c:pt idx="4">
                  <c:v>1403273</c:v>
                </c:pt>
                <c:pt idx="5">
                  <c:v>1429895</c:v>
                </c:pt>
                <c:pt idx="6">
                  <c:v>1454428</c:v>
                </c:pt>
                <c:pt idx="7">
                  <c:v>1477037</c:v>
                </c:pt>
              </c:numCache>
            </c:numRef>
          </c:val>
          <c:smooth val="0"/>
          <c:extLst>
            <c:ext xmlns:c16="http://schemas.microsoft.com/office/drawing/2014/chart" uri="{C3380CC4-5D6E-409C-BE32-E72D297353CC}">
              <c16:uniqueId val="{00000000-5F89-4A0C-B654-0A21F8D28C71}"/>
            </c:ext>
          </c:extLst>
        </c:ser>
        <c:ser>
          <c:idx val="1"/>
          <c:order val="1"/>
          <c:tx>
            <c:strRef>
              <c:f>'More Graphs'!$E$480</c:f>
              <c:strCache>
                <c:ptCount val="1"/>
                <c:pt idx="0">
                  <c:v>Interface Council</c:v>
                </c:pt>
              </c:strCache>
            </c:strRef>
          </c:tx>
          <c:spPr>
            <a:ln w="28575" cap="rnd">
              <a:solidFill>
                <a:schemeClr val="accent2"/>
              </a:solidFill>
              <a:round/>
            </a:ln>
            <a:effectLst/>
          </c:spPr>
          <c:marker>
            <c:symbol val="none"/>
          </c:marker>
          <c:cat>
            <c:strRef>
              <c:f>'More Graphs'!$F$478:$M$478</c:f>
              <c:strCache>
                <c:ptCount val="8"/>
                <c:pt idx="0">
                  <c:v>2013-14</c:v>
                </c:pt>
                <c:pt idx="1">
                  <c:v>2014-15</c:v>
                </c:pt>
                <c:pt idx="2">
                  <c:v>2015-16</c:v>
                </c:pt>
                <c:pt idx="3">
                  <c:v>2016-17</c:v>
                </c:pt>
                <c:pt idx="4">
                  <c:v>2017-18</c:v>
                </c:pt>
                <c:pt idx="5">
                  <c:v>2018-19</c:v>
                </c:pt>
                <c:pt idx="6">
                  <c:v>2019-20</c:v>
                </c:pt>
                <c:pt idx="7">
                  <c:v>2020-21</c:v>
                </c:pt>
              </c:strCache>
            </c:strRef>
          </c:cat>
          <c:val>
            <c:numRef>
              <c:f>'More Graphs'!$F$480:$M$480</c:f>
              <c:numCache>
                <c:formatCode>General</c:formatCode>
                <c:ptCount val="8"/>
                <c:pt idx="0">
                  <c:v>620509</c:v>
                </c:pt>
                <c:pt idx="1">
                  <c:v>633807</c:v>
                </c:pt>
                <c:pt idx="2">
                  <c:v>655382</c:v>
                </c:pt>
                <c:pt idx="3">
                  <c:v>663184</c:v>
                </c:pt>
                <c:pt idx="4">
                  <c:v>691236</c:v>
                </c:pt>
                <c:pt idx="5">
                  <c:v>715011</c:v>
                </c:pt>
                <c:pt idx="6">
                  <c:v>735580</c:v>
                </c:pt>
                <c:pt idx="7">
                  <c:v>758130</c:v>
                </c:pt>
              </c:numCache>
            </c:numRef>
          </c:val>
          <c:smooth val="0"/>
          <c:extLst>
            <c:ext xmlns:c16="http://schemas.microsoft.com/office/drawing/2014/chart" uri="{C3380CC4-5D6E-409C-BE32-E72D297353CC}">
              <c16:uniqueId val="{00000001-5F89-4A0C-B654-0A21F8D28C71}"/>
            </c:ext>
          </c:extLst>
        </c:ser>
        <c:ser>
          <c:idx val="2"/>
          <c:order val="2"/>
          <c:tx>
            <c:strRef>
              <c:f>'More Graphs'!$E$481</c:f>
              <c:strCache>
                <c:ptCount val="1"/>
                <c:pt idx="0">
                  <c:v>Regional City</c:v>
                </c:pt>
              </c:strCache>
            </c:strRef>
          </c:tx>
          <c:spPr>
            <a:ln w="28575" cap="rnd">
              <a:solidFill>
                <a:schemeClr val="accent3"/>
              </a:solidFill>
              <a:round/>
            </a:ln>
            <a:effectLst/>
          </c:spPr>
          <c:marker>
            <c:symbol val="none"/>
          </c:marker>
          <c:cat>
            <c:strRef>
              <c:f>'More Graphs'!$F$478:$M$478</c:f>
              <c:strCache>
                <c:ptCount val="8"/>
                <c:pt idx="0">
                  <c:v>2013-14</c:v>
                </c:pt>
                <c:pt idx="1">
                  <c:v>2014-15</c:v>
                </c:pt>
                <c:pt idx="2">
                  <c:v>2015-16</c:v>
                </c:pt>
                <c:pt idx="3">
                  <c:v>2016-17</c:v>
                </c:pt>
                <c:pt idx="4">
                  <c:v>2017-18</c:v>
                </c:pt>
                <c:pt idx="5">
                  <c:v>2018-19</c:v>
                </c:pt>
                <c:pt idx="6">
                  <c:v>2019-20</c:v>
                </c:pt>
                <c:pt idx="7">
                  <c:v>2020-21</c:v>
                </c:pt>
              </c:strCache>
            </c:strRef>
          </c:cat>
          <c:val>
            <c:numRef>
              <c:f>'More Graphs'!$F$481:$M$481</c:f>
              <c:numCache>
                <c:formatCode>General</c:formatCode>
                <c:ptCount val="8"/>
                <c:pt idx="0">
                  <c:v>274059</c:v>
                </c:pt>
                <c:pt idx="1">
                  <c:v>276122</c:v>
                </c:pt>
                <c:pt idx="2">
                  <c:v>279590</c:v>
                </c:pt>
                <c:pt idx="3">
                  <c:v>283860</c:v>
                </c:pt>
                <c:pt idx="4">
                  <c:v>288291</c:v>
                </c:pt>
                <c:pt idx="5">
                  <c:v>294072</c:v>
                </c:pt>
                <c:pt idx="6">
                  <c:v>298606</c:v>
                </c:pt>
                <c:pt idx="7">
                  <c:v>303126</c:v>
                </c:pt>
              </c:numCache>
            </c:numRef>
          </c:val>
          <c:smooth val="0"/>
          <c:extLst>
            <c:ext xmlns:c16="http://schemas.microsoft.com/office/drawing/2014/chart" uri="{C3380CC4-5D6E-409C-BE32-E72D297353CC}">
              <c16:uniqueId val="{00000002-5F89-4A0C-B654-0A21F8D28C71}"/>
            </c:ext>
          </c:extLst>
        </c:ser>
        <c:ser>
          <c:idx val="3"/>
          <c:order val="3"/>
          <c:tx>
            <c:strRef>
              <c:f>'More Graphs'!$E$482</c:f>
              <c:strCache>
                <c:ptCount val="1"/>
                <c:pt idx="0">
                  <c:v>Large Shire</c:v>
                </c:pt>
              </c:strCache>
            </c:strRef>
          </c:tx>
          <c:spPr>
            <a:ln w="28575" cap="rnd">
              <a:solidFill>
                <a:schemeClr val="accent4"/>
              </a:solidFill>
              <a:round/>
            </a:ln>
            <a:effectLst/>
          </c:spPr>
          <c:marker>
            <c:symbol val="none"/>
          </c:marker>
          <c:cat>
            <c:strRef>
              <c:f>'More Graphs'!$F$478:$M$478</c:f>
              <c:strCache>
                <c:ptCount val="8"/>
                <c:pt idx="0">
                  <c:v>2013-14</c:v>
                </c:pt>
                <c:pt idx="1">
                  <c:v>2014-15</c:v>
                </c:pt>
                <c:pt idx="2">
                  <c:v>2015-16</c:v>
                </c:pt>
                <c:pt idx="3">
                  <c:v>2016-17</c:v>
                </c:pt>
                <c:pt idx="4">
                  <c:v>2017-18</c:v>
                </c:pt>
                <c:pt idx="5">
                  <c:v>2018-19</c:v>
                </c:pt>
                <c:pt idx="6">
                  <c:v>2019-20</c:v>
                </c:pt>
                <c:pt idx="7">
                  <c:v>2020-21</c:v>
                </c:pt>
              </c:strCache>
            </c:strRef>
          </c:cat>
          <c:val>
            <c:numRef>
              <c:f>'More Graphs'!$F$482:$M$482</c:f>
              <c:numCache>
                <c:formatCode>General</c:formatCode>
                <c:ptCount val="8"/>
                <c:pt idx="0">
                  <c:v>399292</c:v>
                </c:pt>
                <c:pt idx="1">
                  <c:v>400335</c:v>
                </c:pt>
                <c:pt idx="2">
                  <c:v>406231</c:v>
                </c:pt>
                <c:pt idx="3">
                  <c:v>410841</c:v>
                </c:pt>
                <c:pt idx="4">
                  <c:v>416334</c:v>
                </c:pt>
                <c:pt idx="5">
                  <c:v>423914</c:v>
                </c:pt>
                <c:pt idx="6">
                  <c:v>430241</c:v>
                </c:pt>
                <c:pt idx="7">
                  <c:v>437238</c:v>
                </c:pt>
              </c:numCache>
            </c:numRef>
          </c:val>
          <c:smooth val="0"/>
          <c:extLst>
            <c:ext xmlns:c16="http://schemas.microsoft.com/office/drawing/2014/chart" uri="{C3380CC4-5D6E-409C-BE32-E72D297353CC}">
              <c16:uniqueId val="{00000003-5F89-4A0C-B654-0A21F8D28C71}"/>
            </c:ext>
          </c:extLst>
        </c:ser>
        <c:ser>
          <c:idx val="4"/>
          <c:order val="4"/>
          <c:tx>
            <c:strRef>
              <c:f>'More Graphs'!$E$483</c:f>
              <c:strCache>
                <c:ptCount val="1"/>
                <c:pt idx="0">
                  <c:v>Small Shire</c:v>
                </c:pt>
              </c:strCache>
            </c:strRef>
          </c:tx>
          <c:spPr>
            <a:ln w="28575" cap="rnd">
              <a:solidFill>
                <a:schemeClr val="accent5"/>
              </a:solidFill>
              <a:round/>
            </a:ln>
            <a:effectLst/>
          </c:spPr>
          <c:marker>
            <c:symbol val="none"/>
          </c:marker>
          <c:cat>
            <c:strRef>
              <c:f>'More Graphs'!$F$478:$M$478</c:f>
              <c:strCache>
                <c:ptCount val="8"/>
                <c:pt idx="0">
                  <c:v>2013-14</c:v>
                </c:pt>
                <c:pt idx="1">
                  <c:v>2014-15</c:v>
                </c:pt>
                <c:pt idx="2">
                  <c:v>2015-16</c:v>
                </c:pt>
                <c:pt idx="3">
                  <c:v>2016-17</c:v>
                </c:pt>
                <c:pt idx="4">
                  <c:v>2017-18</c:v>
                </c:pt>
                <c:pt idx="5">
                  <c:v>2018-19</c:v>
                </c:pt>
                <c:pt idx="6">
                  <c:v>2019-20</c:v>
                </c:pt>
                <c:pt idx="7">
                  <c:v>2020-21</c:v>
                </c:pt>
              </c:strCache>
            </c:strRef>
          </c:cat>
          <c:val>
            <c:numRef>
              <c:f>'More Graphs'!$F$483:$M$483</c:f>
              <c:numCache>
                <c:formatCode>General</c:formatCode>
                <c:ptCount val="8"/>
                <c:pt idx="0">
                  <c:v>158957</c:v>
                </c:pt>
                <c:pt idx="1">
                  <c:v>159831</c:v>
                </c:pt>
                <c:pt idx="2">
                  <c:v>160867</c:v>
                </c:pt>
                <c:pt idx="3">
                  <c:v>162065</c:v>
                </c:pt>
                <c:pt idx="4">
                  <c:v>163107</c:v>
                </c:pt>
                <c:pt idx="5">
                  <c:v>164461</c:v>
                </c:pt>
                <c:pt idx="6">
                  <c:v>165612</c:v>
                </c:pt>
                <c:pt idx="7">
                  <c:v>166779</c:v>
                </c:pt>
              </c:numCache>
            </c:numRef>
          </c:val>
          <c:smooth val="0"/>
          <c:extLst>
            <c:ext xmlns:c16="http://schemas.microsoft.com/office/drawing/2014/chart" uri="{C3380CC4-5D6E-409C-BE32-E72D297353CC}">
              <c16:uniqueId val="{00000004-5F89-4A0C-B654-0A21F8D28C71}"/>
            </c:ext>
          </c:extLst>
        </c:ser>
        <c:dLbls>
          <c:showLegendKey val="0"/>
          <c:showVal val="0"/>
          <c:showCatName val="0"/>
          <c:showSerName val="0"/>
          <c:showPercent val="0"/>
          <c:showBubbleSize val="0"/>
        </c:dLbls>
        <c:smooth val="0"/>
        <c:axId val="1025536136"/>
        <c:axId val="1025531216"/>
      </c:lineChart>
      <c:catAx>
        <c:axId val="1025536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25531216"/>
        <c:crosses val="autoZero"/>
        <c:auto val="1"/>
        <c:lblAlgn val="ctr"/>
        <c:lblOffset val="100"/>
        <c:noMultiLvlLbl val="0"/>
      </c:catAx>
      <c:valAx>
        <c:axId val="10255312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25536136"/>
        <c:crosses val="autoZero"/>
        <c:crossBetween val="between"/>
        <c:dispUnits>
          <c:builtInUnit val="millions"/>
          <c:dispUnitsLbl>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r"/>
      <c:layout>
        <c:manualLayout>
          <c:xMode val="edge"/>
          <c:yMode val="edge"/>
          <c:x val="0.77085827626595538"/>
          <c:y val="0.22983439017025523"/>
          <c:w val="0.21591286431215642"/>
          <c:h val="0.6026325691589435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Graphs!$C$666:$D$685</cx:f>
        <cx:lvl ptCount="20">
          <cx:pt idx="0">Metropolitan</cx:pt>
          <cx:pt idx="1">Interface</cx:pt>
          <cx:pt idx="2">Regional City</cx:pt>
          <cx:pt idx="3">Large Shire</cx:pt>
          <cx:pt idx="4">Small Shire</cx:pt>
          <cx:pt idx="5">Metropolitan</cx:pt>
          <cx:pt idx="6">Interface</cx:pt>
          <cx:pt idx="7">Regional City</cx:pt>
          <cx:pt idx="8">Large Shire</cx:pt>
          <cx:pt idx="9">Small Shire</cx:pt>
          <cx:pt idx="10">Metropolitan</cx:pt>
          <cx:pt idx="11">Interface</cx:pt>
          <cx:pt idx="12">Regional City</cx:pt>
          <cx:pt idx="13">Large Shire</cx:pt>
          <cx:pt idx="14">Small Shire</cx:pt>
          <cx:pt idx="15">Metropolitan</cx:pt>
          <cx:pt idx="16">Interface</cx:pt>
          <cx:pt idx="17">Regional City</cx:pt>
          <cx:pt idx="18">Large Shire</cx:pt>
          <cx:pt idx="19">Small Shire</cx:pt>
        </cx:lvl>
        <cx:lvl ptCount="20">
          <cx:pt idx="0">Capital - Non-recurrent</cx:pt>
          <cx:pt idx="1">Capital - Non-recurrent</cx:pt>
          <cx:pt idx="2">Capital - Non-recurrent</cx:pt>
          <cx:pt idx="3">Capital - Non-recurrent</cx:pt>
          <cx:pt idx="4">Capital - Non-recurrent</cx:pt>
          <cx:pt idx="5">Capital - Recurrent</cx:pt>
          <cx:pt idx="6">Capital - Recurrent</cx:pt>
          <cx:pt idx="7">Capital - Recurrent</cx:pt>
          <cx:pt idx="8">Capital - Recurrent</cx:pt>
          <cx:pt idx="9">Capital - Recurrent</cx:pt>
          <cx:pt idx="10">Operating - Non Recurrent</cx:pt>
          <cx:pt idx="11">Operating - Non Recurrent</cx:pt>
          <cx:pt idx="12">Operating - Non Recurrent</cx:pt>
          <cx:pt idx="13">Operating - Non Recurrent</cx:pt>
          <cx:pt idx="14">Operating - Non Recurrent</cx:pt>
          <cx:pt idx="15">Operating - Recurrent</cx:pt>
          <cx:pt idx="16">Operating - Recurrent</cx:pt>
          <cx:pt idx="17">Operating - Recurrent</cx:pt>
          <cx:pt idx="18">Operating - Recurrent</cx:pt>
          <cx:pt idx="19">Operating - Recurrent</cx:pt>
        </cx:lvl>
      </cx:strDim>
      <cx:numDim type="size">
        <cx:f>Graphs!$E$666:$E$685</cx:f>
        <cx:lvl ptCount="20" formatCode="0.0">
          <cx:pt idx="0">124.498</cx:pt>
          <cx:pt idx="1">127.47</cx:pt>
          <cx:pt idx="2">63.941000000000003</cx:pt>
          <cx:pt idx="3">99.905000000000001</cx:pt>
          <cx:pt idx="4">55.704999999999998</cx:pt>
          <cx:pt idx="5">12.958</cx:pt>
          <cx:pt idx="6">12.853999999999999</cx:pt>
          <cx:pt idx="7">19.291</cx:pt>
          <cx:pt idx="8">47.987000000000002</cx:pt>
          <cx:pt idx="9">23.832999999999998</cx:pt>
          <cx:pt idx="10">12.584</cx:pt>
          <cx:pt idx="11">3.1030000000000002</cx:pt>
          <cx:pt idx="12">32.267000000000003</cx:pt>
          <cx:pt idx="13">32.792000000000002</cx:pt>
          <cx:pt idx="14">19.704000000000001</cx:pt>
          <cx:pt idx="15">372.52199999999999</cx:pt>
          <cx:pt idx="16">259.92099999999999</cx:pt>
          <cx:pt idx="17">194.131</cx:pt>
          <cx:pt idx="18">184.483</cx:pt>
          <cx:pt idx="19">116.489</cx:pt>
        </cx:lvl>
      </cx:numDim>
    </cx:data>
  </cx:chartData>
  <cx:chart>
    <cx:title pos="t" align="ctr" overlay="0">
      <cx:tx>
        <cx:txData>
          <cx:v>Grants, 2020-21 - $ Millions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Grants, 2020-21 - $ Millions</a:t>
          </a:r>
        </a:p>
      </cx:txPr>
    </cx:title>
    <cx:plotArea>
      <cx:plotAreaRegion>
        <cx:series layoutId="sunburst" uniqueId="{4AA12611-7C70-4DCC-A1C7-D9BB969BCAE5}">
          <cx:dataLabels pos="ctr">
            <cx:numFmt formatCode="$#,##0.0&quot; M&quot;" sourceLinked="0"/>
            <cx:txPr>
              <a:bodyPr spcFirstLastPara="1" vertOverflow="ellipsis" horzOverflow="overflow" wrap="square" lIns="0" tIns="0" rIns="0" bIns="0" anchor="ctr" anchorCtr="1"/>
              <a:lstStyle/>
              <a:p>
                <a:pPr algn="ctr" rtl="0">
                  <a:defRPr sz="800" baseline="0"/>
                </a:pPr>
                <a:endParaRPr lang="en-US" sz="800" b="0" i="0" u="none" strike="noStrike" baseline="0">
                  <a:solidFill>
                    <a:sysClr val="window" lastClr="FFFFFF"/>
                  </a:solidFill>
                  <a:latin typeface="Arial"/>
                </a:endParaRPr>
              </a:p>
            </cx:txPr>
            <cx:visibility seriesName="0" categoryName="1" value="1"/>
            <cx:separator>, </cx:separator>
            <cx:dataLabel idx="4">
              <cx:numFmt formatCode="_$#,##0.0&quot; M&quot;" sourceLinked="0"/>
              <cx:visibility seriesName="0" categoryName="1" value="1"/>
              <cx:separator>, </cx:separator>
            </cx:dataLabel>
          </cx:dataLabels>
          <cx:dataId val="0"/>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0.48593</cdr:x>
      <cdr:y>0.3115</cdr:y>
    </cdr:from>
    <cdr:to>
      <cdr:x>0.48916</cdr:x>
      <cdr:y>0.7432</cdr:y>
    </cdr:to>
    <cdr:cxnSp macro="">
      <cdr:nvCxnSpPr>
        <cdr:cNvPr id="3" name="Straight Connector 2">
          <a:extLst xmlns:a="http://schemas.openxmlformats.org/drawingml/2006/main">
            <a:ext uri="{FF2B5EF4-FFF2-40B4-BE49-F238E27FC236}">
              <a16:creationId xmlns:a16="http://schemas.microsoft.com/office/drawing/2014/main" id="{1407942B-1F6C-40F8-AFA5-17CF6A1E3577}"/>
            </a:ext>
          </a:extLst>
        </cdr:cNvPr>
        <cdr:cNvCxnSpPr/>
      </cdr:nvCxnSpPr>
      <cdr:spPr>
        <a:xfrm xmlns:a="http://schemas.openxmlformats.org/drawingml/2006/main">
          <a:off x="2798998" y="967056"/>
          <a:ext cx="18630" cy="1340209"/>
        </a:xfrm>
        <a:prstGeom xmlns:a="http://schemas.openxmlformats.org/drawingml/2006/main" prst="line">
          <a:avLst/>
        </a:prstGeom>
        <a:ln xmlns:a="http://schemas.openxmlformats.org/drawingml/2006/main" w="34925">
          <a:solidFill>
            <a:schemeClr val="accent1">
              <a:alpha val="84000"/>
            </a:schemeClr>
          </a:solidFill>
          <a:prstDash val="dashDot"/>
          <a:headEnd type="diamond" w="sm" len="lg"/>
          <a:tailEnd type="diamond" w="med" len="lg"/>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0.36549</cdr:x>
      <cdr:y>0.16321</cdr:y>
    </cdr:from>
    <cdr:to>
      <cdr:x>0.60915</cdr:x>
      <cdr:y>0.30481</cdr:y>
    </cdr:to>
    <cdr:sp macro="" textlink="">
      <cdr:nvSpPr>
        <cdr:cNvPr id="4" name="TextBox 3">
          <a:extLst xmlns:a="http://schemas.openxmlformats.org/drawingml/2006/main">
            <a:ext uri="{FF2B5EF4-FFF2-40B4-BE49-F238E27FC236}">
              <a16:creationId xmlns:a16="http://schemas.microsoft.com/office/drawing/2014/main" id="{752C7E85-3633-4EC8-A52F-56F2D0A4F5E1}"/>
            </a:ext>
          </a:extLst>
        </cdr:cNvPr>
        <cdr:cNvSpPr txBox="1"/>
      </cdr:nvSpPr>
      <cdr:spPr>
        <a:xfrm xmlns:a="http://schemas.openxmlformats.org/drawingml/2006/main">
          <a:off x="2105246" y="506698"/>
          <a:ext cx="1403497" cy="439600"/>
        </a:xfrm>
        <a:prstGeom xmlns:a="http://schemas.openxmlformats.org/drawingml/2006/main" prst="rect">
          <a:avLst/>
        </a:prstGeom>
        <a:solidFill xmlns:a="http://schemas.openxmlformats.org/drawingml/2006/main">
          <a:schemeClr val="accent2">
            <a:alpha val="30000"/>
          </a:schemeClr>
        </a:solidFill>
      </cdr:spPr>
      <cdr:txBody>
        <a:bodyPr xmlns:a="http://schemas.openxmlformats.org/drawingml/2006/main" vertOverflow="clip" wrap="square" rtlCol="0"/>
        <a:lstStyle xmlns:a="http://schemas.openxmlformats.org/drawingml/2006/main"/>
        <a:p xmlns:a="http://schemas.openxmlformats.org/drawingml/2006/main">
          <a:pPr algn="ctr"/>
          <a:r>
            <a:rPr lang="en-AU" sz="1000" b="1">
              <a:solidFill>
                <a:schemeClr val="accent1"/>
              </a:solidFill>
            </a:rPr>
            <a:t>FGRS implementation</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CE8461E66A4E49A0A65B2A72AFF83B"/>
        <w:category>
          <w:name w:val="General"/>
          <w:gallery w:val="placeholder"/>
        </w:category>
        <w:types>
          <w:type w:val="bbPlcHdr"/>
        </w:types>
        <w:behaviors>
          <w:behavior w:val="content"/>
        </w:behaviors>
        <w:guid w:val="{004ED5A1-A23C-4751-B8C9-F641454B8036}"/>
      </w:docPartPr>
      <w:docPartBody>
        <w:p w:rsidR="00AF45D5" w:rsidRDefault="00AF45D5">
          <w:pPr>
            <w:pStyle w:val="19CE8461E66A4E49A0A65B2A72AFF83B"/>
          </w:pPr>
          <w:r w:rsidRPr="00DF7534">
            <w:rPr>
              <w:rStyle w:val="TitleChar"/>
              <w:rFonts w:eastAsiaTheme="minorEastAsia"/>
              <w:color w:val="FFFFFF" w:themeColor="background1"/>
              <w:lang w:eastAsia="en-US"/>
            </w:rPr>
            <w:t>Place heading here</w:t>
          </w:r>
        </w:p>
      </w:docPartBody>
    </w:docPart>
    <w:docPart>
      <w:docPartPr>
        <w:name w:val="043E3222284441BF8F79077AD18128B6"/>
        <w:category>
          <w:name w:val="General"/>
          <w:gallery w:val="placeholder"/>
        </w:category>
        <w:types>
          <w:type w:val="bbPlcHdr"/>
        </w:types>
        <w:behaviors>
          <w:behavior w:val="content"/>
        </w:behaviors>
        <w:guid w:val="{8554A6CA-1026-450A-A2CD-9530E65DCC70}"/>
      </w:docPartPr>
      <w:docPartBody>
        <w:p w:rsidR="00AF45D5" w:rsidRDefault="00AF45D5">
          <w:pPr>
            <w:pStyle w:val="043E3222284441BF8F79077AD18128B6"/>
          </w:pPr>
          <w:r>
            <w:t>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5"/>
    <w:rsid w:val="000B18A0"/>
    <w:rsid w:val="001518B3"/>
    <w:rsid w:val="001D5447"/>
    <w:rsid w:val="00462638"/>
    <w:rsid w:val="00492C23"/>
    <w:rsid w:val="004C5039"/>
    <w:rsid w:val="004F011A"/>
    <w:rsid w:val="00594890"/>
    <w:rsid w:val="00993472"/>
    <w:rsid w:val="00AB0BB9"/>
    <w:rsid w:val="00AF45D5"/>
    <w:rsid w:val="00B63AB1"/>
    <w:rsid w:val="00C849AE"/>
    <w:rsid w:val="00D419F9"/>
    <w:rsid w:val="00D975E0"/>
    <w:rsid w:val="00F50874"/>
    <w:rsid w:val="00F94E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200" w:line="420" w:lineRule="exact"/>
    </w:pPr>
    <w:rPr>
      <w:rFonts w:ascii="Arial" w:eastAsia="Times New Roman" w:hAnsi="Arial" w:cs="Times New Roman"/>
      <w:noProof/>
      <w:color w:val="FFFFFF"/>
      <w:sz w:val="44"/>
      <w:szCs w:val="20"/>
      <w:lang w:val="en-GB" w:eastAsia="en-GB"/>
    </w:rPr>
  </w:style>
  <w:style w:type="character" w:customStyle="1" w:styleId="TitleChar">
    <w:name w:val="Title Char"/>
    <w:basedOn w:val="DefaultParagraphFont"/>
    <w:link w:val="Title"/>
    <w:uiPriority w:val="10"/>
    <w:rPr>
      <w:rFonts w:ascii="Arial" w:eastAsia="Times New Roman" w:hAnsi="Arial" w:cs="Times New Roman"/>
      <w:noProof/>
      <w:color w:val="FFFFFF"/>
      <w:sz w:val="44"/>
      <w:szCs w:val="20"/>
      <w:lang w:val="en-GB" w:eastAsia="en-GB"/>
    </w:rPr>
  </w:style>
  <w:style w:type="paragraph" w:customStyle="1" w:styleId="19CE8461E66A4E49A0A65B2A72AFF83B">
    <w:name w:val="19CE8461E66A4E49A0A65B2A72AFF83B"/>
  </w:style>
  <w:style w:type="paragraph" w:customStyle="1" w:styleId="043E3222284441BF8F79077AD18128B6">
    <w:name w:val="043E3222284441BF8F79077AD18128B6"/>
  </w:style>
  <w:style w:type="character" w:styleId="PlaceholderText">
    <w:name w:val="Placeholder Text"/>
    <w:basedOn w:val="DefaultParagraphFont"/>
    <w:uiPriority w:val="99"/>
    <w:semiHidden/>
    <w:rsid w:val="00AF45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GV - Innovation and Performance" ma:contentTypeID="0x010100831AB7F96AEF13458F043989706E7E3E00031367038B5C4246BE55A60A950250D8" ma:contentTypeVersion="49" ma:contentTypeDescription="" ma:contentTypeScope="" ma:versionID="f103380babc9534ca0d382118246c315">
  <xsd:schema xmlns:xsd="http://www.w3.org/2001/XMLSchema" xmlns:xs="http://www.w3.org/2001/XMLSchema" xmlns:p="http://schemas.microsoft.com/office/2006/metadata/properties" xmlns:ns1="http://schemas.microsoft.com/sharepoint/v3" xmlns:ns2="97294fa0-7ac3-4fb8-b5f1-fec69ca7f6eb" xmlns:ns3="http://schemas.microsoft.com/sharepoint/v3/fields" xmlns:ns4="81d1fc91-8413-4a0e-aefa-04211a7b4a29" targetNamespace="http://schemas.microsoft.com/office/2006/metadata/properties" ma:root="true" ma:fieldsID="107241a5af462ef549f366fb34142eac" ns1:_="" ns2:_="" ns3:_="" ns4:_="">
    <xsd:import namespace="http://schemas.microsoft.com/sharepoint/v3"/>
    <xsd:import namespace="97294fa0-7ac3-4fb8-b5f1-fec69ca7f6eb"/>
    <xsd:import namespace="http://schemas.microsoft.com/sharepoint/v3/fields"/>
    <xsd:import namespace="81d1fc91-8413-4a0e-aefa-04211a7b4a29"/>
    <xsd:element name="properties">
      <xsd:complexType>
        <xsd:sequence>
          <xsd:element name="documentManagement">
            <xsd:complexType>
              <xsd:all>
                <xsd:element ref="ns1:RoutingRuleDescription" minOccurs="0"/>
                <xsd:element ref="ns2:DELWP_x0020_Document_x0020_ID" minOccurs="0"/>
                <xsd:element ref="ns2:Branch" minOccurs="0"/>
                <xsd:element ref="ns2:Group1" minOccurs="0"/>
                <xsd:element ref="ns2:Department1" minOccurs="0"/>
                <xsd:element ref="ns2:Unit" minOccurs="0"/>
                <xsd:element ref="ns2:Dissemination_x0020_Limiting_x0020_Marker" minOccurs="0"/>
                <xsd:element ref="ns2:Security_x0020_classification" minOccurs="0"/>
                <xsd:element ref="ns2:FinancialYear" minOccurs="0"/>
                <xsd:element ref="ns2:Year" minOccurs="0"/>
                <xsd:element ref="ns2:TRIM_x0020_Container_x0020_Record_x0020_Number" minOccurs="0"/>
                <xsd:element ref="ns2:TRIM_x0020_Container_x0020_Title" minOccurs="0"/>
                <xsd:element ref="ns2:Trim_x0020_notes" minOccurs="0"/>
                <xsd:element ref="ns2:Team" minOccurs="0"/>
                <xsd:element ref="ns2:Reference_x0020_Number" minOccurs="0"/>
                <xsd:element ref="ns2:Meeting_x0020_Template" minOccurs="0"/>
                <xsd:element ref="ns2:Date_x0020_Received" minOccurs="0"/>
                <xsd:element ref="ns2:Date_x0020_of_x0020_Original" minOccurs="0"/>
                <xsd:element ref="ns2:Originating_x0020_Author" minOccurs="0"/>
                <xsd:element ref="ns2:Local_x0020_Government_x0020_Authority_x0020__x0028_LGA_x0029_" minOccurs="0"/>
                <xsd:element ref="ns2:Event_x0020_Date" minOccurs="0"/>
                <xsd:element ref="ns2:Event_x0020_Name" minOccurs="0"/>
                <xsd:element ref="ns3:wic_System_Copyright" minOccurs="0"/>
                <xsd:element ref="ns2:File_x0020_Number" minOccurs="0"/>
                <xsd:element ref="ns2:Review_x0020_Date" minOccurs="0"/>
                <xsd:element ref="ns2:Country" minOccurs="0"/>
                <xsd:element ref="ns2:Non_x0020_DELWP_x0020_Region" minOccurs="0"/>
                <xsd:element ref="ns2:Resolution" minOccurs="0"/>
                <xsd:element ref="ns2:Stakeholders-Delivery_x0020_Partners" minOccurs="0"/>
                <xsd:element ref="ns2:Policy_x0020_Area" minOccurs="0"/>
                <xsd:element ref="ns2:Project_x0020_Stage" minOccurs="0"/>
                <xsd:element ref="ns2:Project" minOccurs="0"/>
                <xsd:element ref="ns2:Region" minOccurs="0"/>
                <xsd:element ref="ns2:CCSFP_x0020_Program" minOccurs="0"/>
                <xsd:element ref="ns2:LGI_x0020_Topic" minOccurs="0"/>
                <xsd:element ref="ns1:URL" minOccurs="0"/>
                <xsd:element ref="ns2:Category1" minOccurs="0"/>
                <xsd:element ref="ns2:Date1" minOccurs="0"/>
                <xsd:element ref="ns2:KpiDescription1" minOccurs="0"/>
                <xsd:element ref="ns2:KpiDescription12"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element name="URL" ma:index="43"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DELWP_x0020_Document_x0020_ID" ma:index="9" nillable="true" ma:displayName="DELWP Document ID" ma:hidden="true" ma:internalName="DELWP_x0020_Document_x0020_ID" ma:readOnly="false">
      <xsd:simpleType>
        <xsd:restriction base="dms:Text">
          <xsd:maxLength value="255"/>
        </xsd:restriction>
      </xsd:simpleType>
    </xsd:element>
    <xsd:element name="Branch" ma:index="10" nillable="true" ma:displayName="Branch" ma:default="Local Government Victoria" ma:format="Dropdown" ma:internalName="Branch" ma:readOnly="false">
      <xsd:simpleType>
        <xsd:restriction base="dms:Choice">
          <xsd:enumeration value="Local Government Victoria"/>
          <xsd:enumeration value="Business Operations"/>
          <xsd:enumeration value="Digital and Customer Communications"/>
          <xsd:enumeration value="Finance"/>
          <xsd:enumeration value="Climate Change"/>
          <xsd:enumeration value="Local Infrastructure"/>
          <xsd:enumeration value="Information Services"/>
          <xsd:enumeration value="Legal and Governance"/>
          <xsd:enumeration value="Office of the Deputy Secretary Local Infrastructure"/>
          <xsd:enumeration value="Strategy and Performance"/>
          <xsd:enumeration value="Suburban Development"/>
          <xsd:enumeration value="Waterway Programs"/>
          <xsd:enumeration value="Waste and Recycling"/>
          <xsd:enumeration value="Office for Suburban Development"/>
          <xsd:enumeration value="All"/>
          <xsd:enumeration value="Office of The Secretary"/>
          <xsd:enumeration value="Office of the Deputy Secretary Planning"/>
          <xsd:enumeration value="Office of the Deputy Secretary Corporate Services"/>
          <xsd:enumeration value="Business Executive and Ministerial Services"/>
          <xsd:enumeration value="Group Business Management"/>
          <xsd:enumeration value="People and Culture"/>
          <xsd:enumeration value="Forward Policy and Business Strategy"/>
          <xsd:enumeration value="Governance and Programs"/>
          <xsd:enumeration value="Sector Performance and Development"/>
          <xsd:enumeration value="Sector Development"/>
        </xsd:restriction>
      </xsd:simpleType>
    </xsd:element>
    <xsd:element name="Group1" ma:index="11" nillable="true" ma:displayName="Group" ma:default="Local Government and suburban development" ma:format="Dropdown" ma:internalName="Group1" ma:readOnly="false">
      <xsd:simpleType>
        <xsd:restriction base="dms:Choice">
          <xsd:enumeration value="Local Government and suburban development"/>
          <xsd:enumeration value="Local Infrastructure"/>
          <xsd:enumeration value="Corporate Services"/>
          <xsd:enumeration value="Catchments, Waterways, Cities and Towns"/>
          <xsd:enumeration value="Local Infrastructure"/>
          <xsd:enumeration value="Energy, Environment and Climate Change"/>
          <xsd:enumeration value="Environment and Climate Change"/>
          <xsd:enumeration value="All Groups"/>
          <xsd:enumeration value="Local Government Victoria"/>
          <xsd:enumeration value="All"/>
          <xsd:enumeration value="Office of The Secretary"/>
          <xsd:enumeration value="Planning"/>
          <xsd:enumeration value="Sector Performance and Development"/>
        </xsd:restriction>
      </xsd:simpleType>
    </xsd:element>
    <xsd:element name="Department1" ma:index="12" nillable="true" ma:displayName="Department" ma:default="Department of Jobs Precincts and Regions" ma:format="Dropdown" ma:internalName="Department1" ma:readOnly="false">
      <xsd:simpleType>
        <xsd:restriction base="dms:Choice">
          <xsd:enumeration value="Department of Jobs Precincts and Regions"/>
          <xsd:enumeration value="Department of Environment, Land, Water and Planning"/>
          <xsd:enumeration value="Other Organisation"/>
          <xsd:enumeration value="Local Government Victoria"/>
        </xsd:restriction>
      </xsd:simpleType>
    </xsd:element>
    <xsd:element name="Unit" ma:index="13" nillable="true" ma:displayName="Unit" ma:default="All" ma:format="Dropdown" ma:internalName="Unit" ma:readOnly="false">
      <xsd:simpleType>
        <xsd:restriction base="dms:Choice">
          <xsd:enumeration value="Office of the Executive Director"/>
          <xsd:enumeration value="Policy and Strategy"/>
          <xsd:enumeration value="Sector Investment"/>
          <xsd:enumeration value="Sector Innovation Performance and Resilience"/>
          <xsd:enumeration value="All"/>
          <xsd:enumeration value="Audit and Performance"/>
          <xsd:enumeration value="Budget Initiative Office"/>
          <xsd:enumeration value="Community Programs"/>
          <xsd:enumeration value="Divisional Business Management"/>
          <xsd:enumeration value="Economics, Governance and Waste"/>
          <xsd:enumeration value="Governance and Programs"/>
          <xsd:enumeration value="Group Business Management"/>
          <xsd:enumeration value="Integrated Investment"/>
          <xsd:enumeration value="Local Infrastructure Projects"/>
          <xsd:enumeration value="Ministerial Services"/>
          <xsd:enumeration value="Policy and Legislation"/>
          <xsd:enumeration value="Policy and Strategy"/>
          <xsd:enumeration value="Policy and Strategy Development"/>
          <xsd:enumeration value="Project Services"/>
          <xsd:enumeration value="Sector Performance and Development"/>
          <xsd:enumeration value="Water and Catchments"/>
          <xsd:enumeration value="Cabinet Services"/>
          <xsd:enumeration value="Business Management"/>
          <xsd:enumeration value="Office of The Secretary"/>
          <xsd:enumeration value="Legislation"/>
          <xsd:enumeration value="Budget and Planning"/>
          <xsd:enumeration value="Business Operations"/>
          <xsd:enumeration value="Strategy, Governance and Performance Improvement"/>
          <xsd:enumeration value="Office of the Deputy Secretary Local Infrastructure"/>
          <xsd:enumeration value="Strategy and Policy Integration"/>
          <xsd:enumeration value="People and Culture Operations"/>
          <xsd:enumeration value="Smart Planning"/>
          <xsd:enumeration value="Procurement"/>
          <xsd:enumeration value="Funding Program"/>
          <xsd:enumeration value="Funding Programs"/>
          <xsd:enumeration value="Strategy, Innovation and Engagement"/>
        </xsd:restriction>
      </xsd:simpleType>
    </xsd:element>
    <xsd:element name="Dissemination_x0020_Limiting_x0020_Marker" ma:index="14" nillable="true" ma:displayName="Dissemination Limiting Marker" ma:default="Official Use Only" ma:format="Dropdown" ma:internalName="Dissemination_x0020_Limiting_x0020_Marker" ma:readOnly="false">
      <xsd:simpleType>
        <xsd:restriction base="dms:Choice">
          <xsd:enumeration value="Official Use Only"/>
          <xsd:enumeration value="Unclassified"/>
          <xsd:enumeration value="None"/>
          <xsd:enumeration value="FOUO"/>
          <xsd:enumeration value="Cabinet-in-Confidence"/>
          <xsd:enumeration value="Sensitive"/>
          <xsd:enumeration value="Sensitive: Personal"/>
          <xsd:enumeration value="Sector Performance and Development"/>
        </xsd:restriction>
      </xsd:simpleType>
    </xsd:element>
    <xsd:element name="Security_x0020_classification" ma:index="15" nillable="true" ma:displayName="Security Classification" ma:default="Unclassified" ma:format="Dropdown" ma:internalName="Security_x0020_classification" ma:readOnly="false">
      <xsd:simpleType>
        <xsd:restriction base="dms:Choice">
          <xsd:enumeration value="Unclassified"/>
          <xsd:enumeration value="Public"/>
          <xsd:enumeration value="FOUO"/>
        </xsd:restriction>
      </xsd:simpleType>
    </xsd:element>
    <xsd:element name="FinancialYear" ma:index="16" nillable="true" ma:displayName="Financial Year" ma:internalName="FinancialYear">
      <xsd:complexType>
        <xsd:complexContent>
          <xsd:extension base="dms:MultiChoiceFillIn">
            <xsd:sequence>
              <xsd:element name="Value" maxOccurs="unbounded" minOccurs="0" nillable="true">
                <xsd:simpleType>
                  <xsd:union memberTypes="dms:Text">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union>
                </xsd:simpleType>
              </xsd:element>
            </xsd:sequence>
          </xsd:extension>
        </xsd:complexContent>
      </xsd:complexType>
    </xsd:element>
    <xsd:element name="Year" ma:index="17" nillable="true" ma:displayName="Year" ma:format="Dropdown" ma:internalName="Year"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restriction>
      </xsd:simpleType>
    </xsd:element>
    <xsd:element name="TRIM_x0020_Container_x0020_Record_x0020_Number" ma:index="18" nillable="true" ma:displayName="TRIM Container Record Number" ma:internalName="TRIM_x0020_Container_x0020_Record_x0020_Number" ma:readOnly="false">
      <xsd:simpleType>
        <xsd:restriction base="dms:Text">
          <xsd:maxLength value="255"/>
        </xsd:restriction>
      </xsd:simpleType>
    </xsd:element>
    <xsd:element name="TRIM_x0020_Container_x0020_Title" ma:index="19" nillable="true" ma:displayName="TRIM Container Title" ma:internalName="TRIM_x0020_Container_x0020_Title" ma:readOnly="false">
      <xsd:simpleType>
        <xsd:restriction base="dms:Text">
          <xsd:maxLength value="255"/>
        </xsd:restriction>
      </xsd:simpleType>
    </xsd:element>
    <xsd:element name="Trim_x0020_notes" ma:index="20" nillable="true" ma:displayName="Trim notes" ma:internalName="Trim_x0020_notes" ma:readOnly="false">
      <xsd:simpleType>
        <xsd:restriction base="dms:Note">
          <xsd:maxLength value="255"/>
        </xsd:restriction>
      </xsd:simpleType>
    </xsd:element>
    <xsd:element name="Team" ma:index="21" nillable="true" ma:displayName="Team" ma:default="All" ma:format="Dropdown" ma:internalName="Team" ma:readOnly="false">
      <xsd:simpleType>
        <xsd:restriction base="dms:Choice">
          <xsd:enumeration value="All"/>
          <xsd:enumeration value="Funding Programs"/>
          <xsd:enumeration value="Governance and Legislation"/>
          <xsd:enumeration value="Policy and Legislation"/>
          <xsd:enumeration value="Policy and Strategy"/>
          <xsd:enumeration value="Portfolio Strategy"/>
          <xsd:enumeration value="Sourcing and Contracts"/>
          <xsd:enumeration value="Waterway Health"/>
          <xsd:enumeration value="Victoria Grants Commission"/>
          <xsd:enumeration value="Project Management Office"/>
          <xsd:enumeration value="Group Business Management"/>
          <xsd:enumeration value="Local Government Victoria"/>
          <xsd:enumeration value="Strategic Integration"/>
          <xsd:enumeration value="Local Infrastructure"/>
        </xsd:restriction>
      </xsd:simpleType>
    </xsd:element>
    <xsd:element name="Reference_x0020_Number" ma:index="22" nillable="true" ma:displayName="Reference Number" ma:internalName="Reference_x0020_Number">
      <xsd:simpleType>
        <xsd:restriction base="dms:Text">
          <xsd:maxLength value="255"/>
        </xsd:restriction>
      </xsd:simpleType>
    </xsd:element>
    <xsd:element name="Meeting_x0020_Template" ma:index="23" nillable="true" ma:displayName="Meeting Template" ma:format="Dropdown" ma:internalName="Meeting_x0020_Template">
      <xsd:simpleType>
        <xsd:restriction base="dms:Choice">
          <xsd:enumeration value="LGMAP"/>
          <xsd:enumeration value="LGPro"/>
          <xsd:enumeration value="MAV"/>
          <xsd:enumeration value="Meeting Templates"/>
          <xsd:enumeration value="VLGA"/>
        </xsd:restriction>
      </xsd:simpleType>
    </xsd:element>
    <xsd:element name="Date_x0020_Received" ma:index="24" nillable="true" ma:displayName="Date Received" ma:format="DateOnly" ma:internalName="Date_x0020_Received">
      <xsd:simpleType>
        <xsd:restriction base="dms:DateTime"/>
      </xsd:simpleType>
    </xsd:element>
    <xsd:element name="Date_x0020_of_x0020_Original" ma:index="25" nillable="true" ma:displayName="Date of Original" ma:format="DateOnly" ma:internalName="Date_x0020_of_x0020_Original" ma:readOnly="false">
      <xsd:simpleType>
        <xsd:restriction base="dms:DateTime"/>
      </xsd:simpleType>
    </xsd:element>
    <xsd:element name="Originating_x0020_Author" ma:index="26" nillable="true" ma:displayName="Originating Author" ma:internalName="Originating_x0020_Author" ma:readOnly="false">
      <xsd:simpleType>
        <xsd:restriction base="dms:Text">
          <xsd:maxLength value="255"/>
        </xsd:restriction>
      </xsd:simpleType>
    </xsd:element>
    <xsd:element name="Local_x0020_Government_x0020_Authority_x0020__x0028_LGA_x0029_" ma:index="27" nillable="true" ma:displayName="Local Government Authority (LGA)" ma:format="Dropdown" ma:internalName="Local_x0020_Government_x0020_Authority_x0020__x0028_LGA_x0029_" ma:readOnly="false">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enumeration value="All LGAs"/>
          <xsd:enumeration value="All Non-Metro LGAs"/>
        </xsd:restriction>
      </xsd:simpleType>
    </xsd:element>
    <xsd:element name="Event_x0020_Date" ma:index="28" nillable="true" ma:displayName="Event Date" ma:format="DateOnly" ma:internalName="Event_x0020_Date" ma:readOnly="false">
      <xsd:simpleType>
        <xsd:restriction base="dms:DateTime"/>
      </xsd:simpleType>
    </xsd:element>
    <xsd:element name="Event_x0020_Name" ma:index="29" nillable="true" ma:displayName="Event Name" ma:internalName="Event_x0020_Name" ma:readOnly="false">
      <xsd:simpleType>
        <xsd:restriction base="dms:Text">
          <xsd:maxLength value="255"/>
        </xsd:restriction>
      </xsd:simpleType>
    </xsd:element>
    <xsd:element name="File_x0020_Number" ma:index="31" nillable="true" ma:displayName="File Number" ma:internalName="File_x0020_Number">
      <xsd:simpleType>
        <xsd:restriction base="dms:Text">
          <xsd:maxLength value="255"/>
        </xsd:restriction>
      </xsd:simpleType>
    </xsd:element>
    <xsd:element name="Review_x0020_Date" ma:index="32" nillable="true" ma:displayName="Review Date" ma:format="DateOnly" ma:internalName="Review_x0020_Date">
      <xsd:simpleType>
        <xsd:restriction base="dms:DateTime"/>
      </xsd:simpleType>
    </xsd:element>
    <xsd:element name="Country" ma:index="33" nillable="true" ma:displayName="Country" ma:internalName="Country">
      <xsd:simpleType>
        <xsd:restriction base="dms:Text">
          <xsd:maxLength value="255"/>
        </xsd:restriction>
      </xsd:simpleType>
    </xsd:element>
    <xsd:element name="Non_x0020_DELWP_x0020_Region" ma:index="34" nillable="true" ma:displayName="Non DELWP Region" ma:internalName="Non_x0020_DELWP_x0020_Region">
      <xsd:simpleType>
        <xsd:restriction base="dms:Text">
          <xsd:maxLength value="255"/>
        </xsd:restriction>
      </xsd:simpleType>
    </xsd:element>
    <xsd:element name="Resolution" ma:index="35" nillable="true" ma:displayName="Resolution" ma:internalName="Resolution" ma:readOnly="false">
      <xsd:simpleType>
        <xsd:restriction base="dms:Text">
          <xsd:maxLength value="255"/>
        </xsd:restriction>
      </xsd:simpleType>
    </xsd:element>
    <xsd:element name="Stakeholders-Delivery_x0020_Partners" ma:index="36" nillable="true" ma:displayName="LGV Stakeholders-Delivery Partners" ma:description="List containing individual stakeholders and delivery partner names that may be tagged for retrieval purposes, relevant to Local Government Victoria and managed by Inter- Governmental Relations" ma:list="{fd6acfcf-590b-4c99-bab7-fb4120d611ba}" ma:internalName="Stakeholders_x002d_Delivery_x0020_Partners" ma:readOnly="false" ma:showField="Title" ma:web="97294fa0-7ac3-4fb8-b5f1-fec69ca7f6eb">
      <xsd:simpleType>
        <xsd:restriction base="dms:Lookup"/>
      </xsd:simpleType>
    </xsd:element>
    <xsd:element name="Policy_x0020_Area" ma:index="37" nillable="true" ma:displayName="Policy Area" ma:list="{6d905eed-cd79-4daa-8247-e12acf6a4ca0}" ma:internalName="Policy_x0020_Area" ma:showField="Title" ma:web="97294fa0-7ac3-4fb8-b5f1-fec69ca7f6eb">
      <xsd:simpleType>
        <xsd:restriction base="dms:Lookup"/>
      </xsd:simpleType>
    </xsd:element>
    <xsd:element name="Project_x0020_Stage" ma:index="38" nillable="true" ma:displayName="Project Stage" ma:list="{af140a15-93d6-478c-a00f-e7d745df1995}" ma:internalName="Project_x0020_Stage" ma:readOnly="false" ma:showField="Title" ma:web="97294fa0-7ac3-4fb8-b5f1-fec69ca7f6eb">
      <xsd:simpleType>
        <xsd:restriction base="dms:Lookup"/>
      </xsd:simpleType>
    </xsd:element>
    <xsd:element name="Project" ma:index="39" nillable="true" ma:displayName="Project" ma:list="{511a8ee2-c403-42a0-944d-868aac6d377d}" ma:internalName="Project" ma:readOnly="false" ma:showField="Title" ma:web="97294fa0-7ac3-4fb8-b5f1-fec69ca7f6eb">
      <xsd:simpleType>
        <xsd:restriction base="dms:Lookup"/>
      </xsd:simpleType>
    </xsd:element>
    <xsd:element name="Region" ma:index="40" nillable="true" ma:displayName="Region" ma:default="All" ma:format="Dropdown" ma:internalName="Region" ma:readOnly="false">
      <xsd:simpleType>
        <xsd:restriction base="dms:Choice">
          <xsd:enumeration value="All"/>
          <xsd:enumeration value="Barwon South West"/>
          <xsd:enumeration value="Eastern Metropolitan"/>
          <xsd:enumeration value="Gippsland"/>
          <xsd:enumeration value="Grampians"/>
          <xsd:enumeration value="Hume"/>
          <xsd:enumeration value="Loddon Mallee"/>
          <xsd:enumeration value="North West Metropolitan"/>
          <xsd:enumeration value="Port Phillip"/>
          <xsd:enumeration value="Southern Metropolitan"/>
        </xsd:restriction>
      </xsd:simpleType>
    </xsd:element>
    <xsd:element name="CCSFP_x0020_Program" ma:index="41" nillable="true" ma:displayName="CCSFP Program" ma:format="Dropdown" ma:internalName="CCSFP_x0020_Program" ma:readOnly="false">
      <xsd:simpleType>
        <xsd:restriction base="dms:Choice">
          <xsd:enumeration value="Round 1"/>
          <xsd:enumeration value="Round 2"/>
          <xsd:enumeration value="Round 3"/>
          <xsd:enumeration value="Round 4"/>
          <xsd:enumeration value="Round 5"/>
          <xsd:enumeration value="Round 6"/>
          <xsd:enumeration value="Round 7"/>
          <xsd:enumeration value="Round 8"/>
          <xsd:enumeration value="Round 9"/>
        </xsd:restriction>
      </xsd:simpleType>
    </xsd:element>
    <xsd:element name="LGI_x0020_Topic" ma:index="42" nillable="true" ma:displayName="LGI Topic" ma:format="Dropdown" ma:internalName="LGI_x0020_Topic">
      <xsd:simpleType>
        <xsd:restriction base="dms:Choice">
          <xsd:enumeration value="Collaborative Councils Sustainability Fund Partnership Program"/>
          <xsd:enumeration value="Rural Council transformation Program"/>
          <xsd:enumeration value="innovation (General)"/>
          <xsd:enumeration value="Rural Council transformation Program"/>
        </xsd:restriction>
      </xsd:simpleType>
    </xsd:element>
    <xsd:element name="Category1" ma:index="44" nillable="true" ma:displayName="Category" ma:default="Capital works" ma:format="Dropdown" ma:internalName="Category1" ma:readOnly="false">
      <xsd:simpleType>
        <xsd:restriction base="dms:Choice">
          <xsd:enumeration value="Capital works"/>
        </xsd:restriction>
      </xsd:simpleType>
    </xsd:element>
    <xsd:element name="Date1" ma:index="45" nillable="true" ma:displayName="Date" ma:format="DateOnly" ma:internalName="Date1">
      <xsd:simpleType>
        <xsd:restriction base="dms:DateTime"/>
      </xsd:simpleType>
    </xsd:element>
    <xsd:element name="KpiDescription1" ma:index="46" nillable="true" ma:displayName="KpiDescription" ma:internalName="KpiDescription1">
      <xsd:simpleType>
        <xsd:restriction base="dms:Text">
          <xsd:maxLength value="255"/>
        </xsd:restriction>
      </xsd:simpleType>
    </xsd:element>
    <xsd:element name="KpiDescription12" ma:index="47" nillable="true" ma:displayName="KpiDescription" ma:internalName="KpiDescription12">
      <xsd:simpleType>
        <xsd:restriction base="dms:Text">
          <xsd:maxLength value="255"/>
        </xsd:restrictio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0" nillable="true" ma:displayName="Copyright" ma:default="State of Victoria" ma:internalName="wic_System_Copyrigh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d1fc91-8413-4a0e-aefa-04211a7b4a29" elementFormDefault="qualified">
    <xsd:import namespace="http://schemas.microsoft.com/office/2006/documentManagement/types"/>
    <xsd:import namespace="http://schemas.microsoft.com/office/infopath/2007/PartnerControls"/>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ServiceDateTaken" ma:index="53" nillable="true" ma:displayName="MediaServiceDateTaken" ma:hidden="true" ma:internalName="MediaServiceDateTaken" ma:readOnly="true">
      <xsd:simpleType>
        <xsd:restriction base="dms:Text"/>
      </xsd:simpleType>
    </xsd:element>
    <xsd:element name="MediaServiceAutoTags" ma:index="54" nillable="true" ma:displayName="Tags" ma:internalName="MediaServiceAutoTags"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Trim_x0020_notes xmlns="97294fa0-7ac3-4fb8-b5f1-fec69ca7f6eb" xsi:nil="true"/>
    <File_x0020_Number xmlns="97294fa0-7ac3-4fb8-b5f1-fec69ca7f6eb" xsi:nil="true"/>
    <Year xmlns="97294fa0-7ac3-4fb8-b5f1-fec69ca7f6eb" xsi:nil="true"/>
    <Event_x0020_Date xmlns="97294fa0-7ac3-4fb8-b5f1-fec69ca7f6eb" xsi:nil="true"/>
    <Category1 xmlns="97294fa0-7ac3-4fb8-b5f1-fec69ca7f6eb">Capital works</Category1>
    <KpiDescription12 xmlns="97294fa0-7ac3-4fb8-b5f1-fec69ca7f6eb" xsi:nil="true"/>
    <Project xmlns="97294fa0-7ac3-4fb8-b5f1-fec69ca7f6eb" xsi:nil="true"/>
    <Region xmlns="97294fa0-7ac3-4fb8-b5f1-fec69ca7f6eb">All</Region>
    <Project_x0020_Stage xmlns="97294fa0-7ac3-4fb8-b5f1-fec69ca7f6eb" xsi:nil="true"/>
    <Group1 xmlns="97294fa0-7ac3-4fb8-b5f1-fec69ca7f6eb">Local Infrastructure</Group1>
    <Date_x0020_Received xmlns="97294fa0-7ac3-4fb8-b5f1-fec69ca7f6eb" xsi:nil="true"/>
    <Event_x0020_Name xmlns="97294fa0-7ac3-4fb8-b5f1-fec69ca7f6eb" xsi:nil="true"/>
    <DELWP_x0020_Document_x0020_ID xmlns="97294fa0-7ac3-4fb8-b5f1-fec69ca7f6eb">DOCID208-1308811770-5013</DELWP_x0020_Document_x0020_ID>
    <Date_x0020_of_x0020_Original xmlns="97294fa0-7ac3-4fb8-b5f1-fec69ca7f6eb" xsi:nil="true"/>
    <Team xmlns="97294fa0-7ac3-4fb8-b5f1-fec69ca7f6eb" xsi:nil="true"/>
    <Department1 xmlns="97294fa0-7ac3-4fb8-b5f1-fec69ca7f6eb">Department of Environment, Land, Water and Planning</Department1>
    <Unit xmlns="97294fa0-7ac3-4fb8-b5f1-fec69ca7f6eb">Sector Performance and Development</Unit>
    <Dissemination_x0020_Limiting_x0020_Marker xmlns="97294fa0-7ac3-4fb8-b5f1-fec69ca7f6eb">FOUO</Dissemination_x0020_Limiting_x0020_Marker>
    <FinancialYear xmlns="97294fa0-7ac3-4fb8-b5f1-fec69ca7f6eb" xsi:nil="true"/>
    <URL xmlns="http://schemas.microsoft.com/sharepoint/v3">
      <Url xsi:nil="true"/>
      <Description xsi:nil="true"/>
    </URL>
    <Review_x0020_Date xmlns="97294fa0-7ac3-4fb8-b5f1-fec69ca7f6eb" xsi:nil="true"/>
    <Country xmlns="97294fa0-7ac3-4fb8-b5f1-fec69ca7f6eb" xsi:nil="true"/>
    <TRIM_x0020_Container_x0020_Record_x0020_Number xmlns="97294fa0-7ac3-4fb8-b5f1-fec69ca7f6eb" xsi:nil="true"/>
    <Originating_x0020_Author xmlns="97294fa0-7ac3-4fb8-b5f1-fec69ca7f6eb" xsi:nil="true"/>
    <Non_x0020_DELWP_x0020_Region xmlns="97294fa0-7ac3-4fb8-b5f1-fec69ca7f6eb" xsi:nil="true"/>
    <Security_x0020_classification xmlns="97294fa0-7ac3-4fb8-b5f1-fec69ca7f6eb">Unclassified</Security_x0020_classification>
    <Local_x0020_Government_x0020_Authority_x0020__x0028_LGA_x0029_ xmlns="97294fa0-7ac3-4fb8-b5f1-fec69ca7f6eb" xsi:nil="true"/>
    <Reference_x0020_Number xmlns="97294fa0-7ac3-4fb8-b5f1-fec69ca7f6eb" xsi:nil="true"/>
    <Policy_x0020_Area xmlns="97294fa0-7ac3-4fb8-b5f1-fec69ca7f6eb" xsi:nil="true"/>
    <Stakeholders-Delivery_x0020_Partners xmlns="97294fa0-7ac3-4fb8-b5f1-fec69ca7f6eb" xsi:nil="true"/>
    <Date1 xmlns="97294fa0-7ac3-4fb8-b5f1-fec69ca7f6eb" xsi:nil="true"/>
    <Branch xmlns="97294fa0-7ac3-4fb8-b5f1-fec69ca7f6eb">Local Government Victoria</Branch>
    <wic_System_Copyright xmlns="http://schemas.microsoft.com/sharepoint/v3/fields">State of Victoria</wic_System_Copyright>
    <CCSFP_x0020_Program xmlns="97294fa0-7ac3-4fb8-b5f1-fec69ca7f6eb" xsi:nil="true"/>
    <TRIM_x0020_Container_x0020_Title xmlns="97294fa0-7ac3-4fb8-b5f1-fec69ca7f6eb" xsi:nil="true"/>
    <Meeting_x0020_Template xmlns="97294fa0-7ac3-4fb8-b5f1-fec69ca7f6eb" xsi:nil="true"/>
    <KpiDescription1 xmlns="97294fa0-7ac3-4fb8-b5f1-fec69ca7f6eb" xsi:nil="true"/>
    <Resolution xmlns="97294fa0-7ac3-4fb8-b5f1-fec69ca7f6eb" xsi:nil="true"/>
    <LGI_x0020_Topic xmlns="97294fa0-7ac3-4fb8-b5f1-fec69ca7f6eb" xsi:nil="true"/>
    <SharedWithUsers xmlns="97294fa0-7ac3-4fb8-b5f1-fec69ca7f6eb">
      <UserInfo>
        <DisplayName>Colin A Morrison (DELWP)</DisplayName>
        <AccountId>107</AccountId>
        <AccountType/>
      </UserInfo>
      <UserInfo>
        <DisplayName>Leighton C Vivian (DELWP)</DisplayName>
        <AccountId>28</AccountId>
        <AccountType/>
      </UserInfo>
      <UserInfo>
        <DisplayName>Gerry P Smith (DELWP)</DisplayName>
        <AccountId>974</AccountId>
        <AccountType/>
      </UserInfo>
      <UserInfo>
        <DisplayName>Sadiq Hussaini (DELWP)</DisplayName>
        <AccountId>2852</AccountId>
        <AccountType/>
      </UserInfo>
      <UserInfo>
        <DisplayName>Daniel R OShea (DELWP)</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4CDD4-B5FE-40B9-AF14-AAB64B4B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94fa0-7ac3-4fb8-b5f1-fec69ca7f6eb"/>
    <ds:schemaRef ds:uri="http://schemas.microsoft.com/sharepoint/v3/fields"/>
    <ds:schemaRef ds:uri="81d1fc91-8413-4a0e-aefa-04211a7b4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59245-FE07-4F88-B107-A0FC0A034943}">
  <ds:schemaRefs>
    <ds:schemaRef ds:uri="http://schemas.openxmlformats.org/officeDocument/2006/bibliography"/>
  </ds:schemaRefs>
</ds:datastoreItem>
</file>

<file path=customXml/itemProps3.xml><?xml version="1.0" encoding="utf-8"?>
<ds:datastoreItem xmlns:ds="http://schemas.openxmlformats.org/officeDocument/2006/customXml" ds:itemID="{77AE6C11-3709-4BF0-A12D-4EF61D8A467A}">
  <ds:schemaRefs>
    <ds:schemaRef ds:uri="http://schemas.microsoft.com/office/2006/metadata/properties"/>
    <ds:schemaRef ds:uri="http://schemas.microsoft.com/office/infopath/2007/PartnerControls"/>
    <ds:schemaRef ds:uri="http://schemas.microsoft.com/sharepoint/v3"/>
    <ds:schemaRef ds:uri="97294fa0-7ac3-4fb8-b5f1-fec69ca7f6eb"/>
    <ds:schemaRef ds:uri="http://schemas.microsoft.com/sharepoint/v3/fields"/>
  </ds:schemaRefs>
</ds:datastoreItem>
</file>

<file path=customXml/itemProps4.xml><?xml version="1.0" encoding="utf-8"?>
<ds:datastoreItem xmlns:ds="http://schemas.openxmlformats.org/officeDocument/2006/customXml" ds:itemID="{5F174589-CAF9-4530-B221-979AEEEA4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Report-A4-Portrait (1).dotx</Template>
  <TotalTime>0</TotalTime>
  <Pages>41</Pages>
  <Words>9400</Words>
  <Characters>53582</Characters>
  <Application>Microsoft Office Word</Application>
  <DocSecurity>2</DocSecurity>
  <Lines>446</Lines>
  <Paragraphs>125</Paragraphs>
  <ScaleCrop>false</ScaleCrop>
  <HeadingPairs>
    <vt:vector size="2" baseType="variant">
      <vt:variant>
        <vt:lpstr>Title</vt:lpstr>
      </vt:variant>
      <vt:variant>
        <vt:i4>1</vt:i4>
      </vt:variant>
    </vt:vector>
  </HeadingPairs>
  <TitlesOfParts>
    <vt:vector size="1" baseType="lpstr">
      <vt:lpstr>DJPR Template - Report on propsed budgets - 2020-21</vt:lpstr>
    </vt:vector>
  </TitlesOfParts>
  <Company/>
  <LinksUpToDate>false</LinksUpToDate>
  <CharactersWithSpaces>62857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DJPR Template - Report on propsed budgets - 2020-21</dc:title>
  <dc:subject/>
  <dc:creator/>
  <cp:keywords/>
  <cp:lastModifiedBy/>
  <cp:revision>1</cp:revision>
  <dcterms:created xsi:type="dcterms:W3CDTF">2021-05-18T10:27:00Z</dcterms:created>
  <dcterms:modified xsi:type="dcterms:W3CDTF">2021-11-28T22:46:00Z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0x010100831AB7F96AEF13458F043989706E7E3E00031367038B5C4246BE55A60A950250D8</vt:lpwstr>
  </property>
  <property fmtid="{D5CDD505-2E9C-101B-9397-08002B2CF9AE}" pid="3" name="Agency">
    <vt:lpwstr>1;#Department of Environment, Land, Water and Planning|607a3f87-1228-4cd9-82a5-076aa8776274</vt:lpwstr>
  </property>
  <property fmtid="{D5CDD505-2E9C-101B-9397-08002B2CF9AE}" pid="4" name="Branch">
    <vt:lpwstr>6;#Sector Performance and Development|76390a19-a1fc-4284-a89c-58f68cd51307</vt:lpwstr>
  </property>
  <property fmtid="{D5CDD505-2E9C-101B-9397-08002B2CF9AE}" pid="5" name="_dlc_DocIdItemGuid">
    <vt:lpwstr>58522cee-6fbd-4516-b3e8-b978994178aa</vt:lpwstr>
  </property>
  <property fmtid="{D5CDD505-2E9C-101B-9397-08002B2CF9AE}" pid="6" name="Division">
    <vt:lpwstr>5;#Local Government Victoria|f6ecfee0-2e0c-4d0c-8535-bce6333ce498</vt:lpwstr>
  </property>
  <property fmtid="{D5CDD505-2E9C-101B-9397-08002B2CF9AE}" pid="7" name="Group1">
    <vt:lpwstr>4;#Local Infrastructure|35232ce7-1039-46ab-a331-4c8e969be43f</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Order">
    <vt:r8>501300</vt:r8>
  </property>
  <property fmtid="{D5CDD505-2E9C-101B-9397-08002B2CF9AE}" pid="12" name="Sub-Section">
    <vt:lpwstr/>
  </property>
  <property fmtid="{D5CDD505-2E9C-101B-9397-08002B2CF9AE}" pid="13" name="Local Government Authority (LGA)">
    <vt:lpwstr/>
  </property>
  <property fmtid="{D5CDD505-2E9C-101B-9397-08002B2CF9AE}" pid="14" name="SharedWithUsers">
    <vt:lpwstr>107;#Colin A Morrison (DELWP);#28;#Leighton C Vivian (DELWP);#974;#Gerry P Smith (DELWP);#2852;#Sadiq Hussaini (DELWP);#29;#Daniel R OShea (DELWP)</vt:lpwstr>
  </property>
</Properties>
</file>