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9F437" w14:textId="77777777" w:rsidR="0094765E" w:rsidRPr="00A936CA" w:rsidRDefault="005C7962" w:rsidP="00366739">
      <w:pPr>
        <w:pStyle w:val="Heading1"/>
      </w:pPr>
      <w:permStart w:id="1781205631" w:edGrp="everyone"/>
      <w:permEnd w:id="1781205631"/>
      <w:r w:rsidRPr="00A936CA">
        <w:t>Template for Submissions</w:t>
      </w:r>
    </w:p>
    <w:p w14:paraId="069AE050" w14:textId="77777777" w:rsidR="005C7962" w:rsidRPr="00366739" w:rsidRDefault="005C7962" w:rsidP="00366739">
      <w:bookmarkStart w:id="0" w:name="_Hlk199516240"/>
      <w:r w:rsidRPr="00366739">
        <w:t xml:space="preserve">Members of the public are welcome to make written submissions to the Inquiry.  </w:t>
      </w:r>
    </w:p>
    <w:p w14:paraId="7E9C19FA" w14:textId="77777777" w:rsidR="005C7962" w:rsidRPr="00366739" w:rsidRDefault="005C7962" w:rsidP="00366739">
      <w:bookmarkStart w:id="1" w:name="_Hlk199516275"/>
      <w:bookmarkEnd w:id="0"/>
      <w:r w:rsidRPr="00366739">
        <w:t xml:space="preserve">Submissions should address one or more of the Terms of Reference.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93"/>
      </w:tblGrid>
      <w:tr w:rsidR="00CA03CB" w14:paraId="6AB050B3" w14:textId="77777777" w:rsidTr="00366739">
        <w:tc>
          <w:tcPr>
            <w:tcW w:w="9493" w:type="dxa"/>
            <w:shd w:val="clear" w:color="auto" w:fill="E8E8E8" w:themeFill="background2"/>
          </w:tcPr>
          <w:p w14:paraId="459D7F82" w14:textId="77777777" w:rsidR="00CA03CB" w:rsidRPr="0083494B" w:rsidRDefault="00CA03CB" w:rsidP="00366739">
            <w:pPr>
              <w:rPr>
                <w:color w:val="153D63" w:themeColor="text2" w:themeTint="E6"/>
              </w:rPr>
            </w:pPr>
            <w:r w:rsidRPr="0083494B">
              <w:rPr>
                <w:color w:val="153D63" w:themeColor="text2" w:themeTint="E6"/>
              </w:rPr>
              <w:t>Terms of Reference</w:t>
            </w:r>
          </w:p>
          <w:p w14:paraId="46318973" w14:textId="77777777" w:rsidR="00FA1DDD" w:rsidRPr="00CA03CB" w:rsidRDefault="00FA1DDD" w:rsidP="00FA1DDD">
            <w:pPr>
              <w:pStyle w:val="TOR"/>
            </w:pPr>
            <w:r w:rsidRPr="00CA03CB">
              <w:t>To</w:t>
            </w:r>
            <w:r w:rsidRPr="00CA03CB">
              <w:rPr>
                <w:spacing w:val="-5"/>
              </w:rPr>
              <w:t xml:space="preserve"> </w:t>
            </w:r>
            <w:r w:rsidRPr="00CA03CB">
              <w:t>conduct an</w:t>
            </w:r>
            <w:r w:rsidRPr="00CA03CB">
              <w:rPr>
                <w:spacing w:val="-13"/>
              </w:rPr>
              <w:t xml:space="preserve"> </w:t>
            </w:r>
            <w:r w:rsidRPr="00CA03CB">
              <w:t>inquiry into</w:t>
            </w:r>
            <w:r w:rsidRPr="00CA03CB">
              <w:rPr>
                <w:spacing w:val="-6"/>
              </w:rPr>
              <w:t xml:space="preserve"> </w:t>
            </w:r>
            <w:r w:rsidRPr="00CA03CB">
              <w:t>matters relating</w:t>
            </w:r>
            <w:r w:rsidRPr="00CA03CB">
              <w:rPr>
                <w:spacing w:val="-12"/>
              </w:rPr>
              <w:t xml:space="preserve"> </w:t>
            </w:r>
            <w:r w:rsidRPr="00CA03CB">
              <w:t xml:space="preserve">to the affairs of the Whittlesea City Council, </w:t>
            </w:r>
            <w:r w:rsidRPr="00CA03CB">
              <w:rPr>
                <w:w w:val="105"/>
              </w:rPr>
              <w:t>including through an</w:t>
            </w:r>
            <w:r w:rsidRPr="00CA03CB">
              <w:rPr>
                <w:spacing w:val="-4"/>
                <w:w w:val="105"/>
              </w:rPr>
              <w:t xml:space="preserve"> </w:t>
            </w:r>
            <w:r w:rsidRPr="00CA03CB">
              <w:rPr>
                <w:w w:val="105"/>
              </w:rPr>
              <w:t>examination of:</w:t>
            </w:r>
          </w:p>
          <w:p w14:paraId="7572D7D7" w14:textId="77777777" w:rsidR="00FA1DDD" w:rsidRPr="00CA03CB" w:rsidRDefault="00FA1DDD" w:rsidP="00FA1DDD">
            <w:pPr>
              <w:pStyle w:val="TOR"/>
              <w:numPr>
                <w:ilvl w:val="1"/>
                <w:numId w:val="4"/>
              </w:numPr>
            </w:pPr>
            <w:r w:rsidRPr="00CA03CB">
              <w:t>The circumstances that resulted in the Councillors and the Chief Executive Officer (CEO) taking action against the then Mayor within months of both the 2024 Council elections and the election of the Council’s then Mayor and Deputy Mayor.</w:t>
            </w:r>
          </w:p>
          <w:p w14:paraId="51CF55DB" w14:textId="77777777" w:rsidR="00FA1DDD" w:rsidRPr="00CA03CB" w:rsidRDefault="00FA1DDD" w:rsidP="00FA1DDD">
            <w:pPr>
              <w:pStyle w:val="TOR"/>
              <w:numPr>
                <w:ilvl w:val="1"/>
                <w:numId w:val="4"/>
              </w:numPr>
            </w:pPr>
            <w:r w:rsidRPr="00CA03CB">
              <w:t>Any matters affecting the health and safety of Councillors members of Council staff or other persons, including but not limited to:</w:t>
            </w:r>
          </w:p>
          <w:p w14:paraId="1A1D8B0D" w14:textId="77777777" w:rsidR="00FA1DDD" w:rsidRPr="00CA03CB" w:rsidRDefault="00FA1DDD" w:rsidP="00FA1DDD">
            <w:pPr>
              <w:pStyle w:val="TOR"/>
              <w:numPr>
                <w:ilvl w:val="2"/>
                <w:numId w:val="4"/>
              </w:numPr>
            </w:pPr>
            <w:r w:rsidRPr="00CA03CB">
              <w:t>Any Councillor conduct that is creating a risk to health and safety to such persons, and;</w:t>
            </w:r>
          </w:p>
          <w:p w14:paraId="7A6C390D" w14:textId="77777777" w:rsidR="00FA1DDD" w:rsidRPr="00CA03CB" w:rsidRDefault="00FA1DDD" w:rsidP="00FA1DDD">
            <w:pPr>
              <w:pStyle w:val="TOR"/>
              <w:numPr>
                <w:ilvl w:val="2"/>
                <w:numId w:val="4"/>
              </w:numPr>
            </w:pPr>
            <w:r w:rsidRPr="00CA03CB">
              <w:t>The effectiveness of actions taken by Councillors and the Council’s CEO to address risks to health and safety at the Council.</w:t>
            </w:r>
          </w:p>
          <w:p w14:paraId="24D5A4EE" w14:textId="77777777" w:rsidR="00FA1DDD" w:rsidRPr="00CA03CB" w:rsidRDefault="00FA1DDD" w:rsidP="00FA1DDD">
            <w:pPr>
              <w:pStyle w:val="TOR"/>
              <w:numPr>
                <w:ilvl w:val="1"/>
                <w:numId w:val="4"/>
              </w:numPr>
            </w:pPr>
            <w:r w:rsidRPr="00CA03CB">
              <w:t>Any matters affecting the ability of Councillors and the CEO at the Council to effectively perform their statutory roles, which include but are not limited to the following:</w:t>
            </w:r>
          </w:p>
          <w:p w14:paraId="33250605" w14:textId="77777777" w:rsidR="00FA1DDD" w:rsidRPr="00CA03CB" w:rsidRDefault="00FA1DDD" w:rsidP="00FA1DDD">
            <w:pPr>
              <w:pStyle w:val="TOR"/>
              <w:numPr>
                <w:ilvl w:val="2"/>
                <w:numId w:val="4"/>
              </w:numPr>
            </w:pPr>
            <w:r w:rsidRPr="00CA03CB">
              <w:t>The role of the Mayor in accordance with section 18 of the Act; and</w:t>
            </w:r>
          </w:p>
          <w:p w14:paraId="2E64B334" w14:textId="77777777" w:rsidR="00FA1DDD" w:rsidRPr="00CA03CB" w:rsidRDefault="00FA1DDD" w:rsidP="00FA1DDD">
            <w:pPr>
              <w:pStyle w:val="TOR"/>
              <w:numPr>
                <w:ilvl w:val="2"/>
                <w:numId w:val="4"/>
              </w:numPr>
            </w:pPr>
            <w:r w:rsidRPr="00CA03CB">
              <w:t>The role of the Deputy Mayor in accordance with section 21 of the Act; and</w:t>
            </w:r>
          </w:p>
          <w:p w14:paraId="683B8D02" w14:textId="77777777" w:rsidR="00FA1DDD" w:rsidRPr="00CA03CB" w:rsidRDefault="00FA1DDD" w:rsidP="00FA1DDD">
            <w:pPr>
              <w:pStyle w:val="TOR"/>
              <w:numPr>
                <w:ilvl w:val="2"/>
                <w:numId w:val="4"/>
              </w:numPr>
            </w:pPr>
            <w:r w:rsidRPr="00CA03CB">
              <w:t xml:space="preserve">The role of Councillors in accordance with section 28 of the Act; and </w:t>
            </w:r>
          </w:p>
          <w:p w14:paraId="4F9D6BA1" w14:textId="77777777" w:rsidR="00FA1DDD" w:rsidRPr="00CA03CB" w:rsidRDefault="00FA1DDD" w:rsidP="00FA1DDD">
            <w:pPr>
              <w:pStyle w:val="TOR"/>
              <w:numPr>
                <w:ilvl w:val="2"/>
                <w:numId w:val="4"/>
              </w:numPr>
            </w:pPr>
            <w:r w:rsidRPr="00CA03CB">
              <w:t>The conduct of the election of the Mayor and Deputy Mayor in accordance with the Council’s Governance Rules and the Act’s requirements; and</w:t>
            </w:r>
          </w:p>
          <w:p w14:paraId="6536DA86" w14:textId="77777777" w:rsidR="00FA1DDD" w:rsidRPr="00CA03CB" w:rsidRDefault="00FA1DDD" w:rsidP="00FA1DDD">
            <w:pPr>
              <w:pStyle w:val="TOR"/>
              <w:numPr>
                <w:ilvl w:val="2"/>
                <w:numId w:val="4"/>
              </w:numPr>
            </w:pPr>
            <w:r w:rsidRPr="00CA03CB">
              <w:t>The role of the CEO in accordance with section 46 of the Act and any other legislative responsibilities.</w:t>
            </w:r>
          </w:p>
          <w:p w14:paraId="046A3B1F" w14:textId="77777777" w:rsidR="00FA1DDD" w:rsidRPr="00CA03CB" w:rsidRDefault="00FA1DDD" w:rsidP="00FA1DDD">
            <w:pPr>
              <w:pStyle w:val="TOR"/>
              <w:numPr>
                <w:ilvl w:val="1"/>
                <w:numId w:val="4"/>
              </w:numPr>
            </w:pPr>
            <w:r w:rsidRPr="00CA03CB">
              <w:t xml:space="preserve">Any matters affecting the Council’s ability to perform its functions, including but not limited to: </w:t>
            </w:r>
          </w:p>
          <w:p w14:paraId="7A6AD213" w14:textId="77777777" w:rsidR="00FA1DDD" w:rsidRPr="00CA03CB" w:rsidRDefault="00FA1DDD" w:rsidP="00FA1DDD">
            <w:pPr>
              <w:pStyle w:val="TOR"/>
              <w:numPr>
                <w:ilvl w:val="2"/>
                <w:numId w:val="4"/>
              </w:numPr>
            </w:pPr>
            <w:r w:rsidRPr="00CA03CB">
              <w:t xml:space="preserve">Any failure by the Council to provide good governance and any steps the Council has taken to address and remedy the difficulties underlying any failure; and </w:t>
            </w:r>
          </w:p>
          <w:p w14:paraId="6F0A1D7C" w14:textId="77777777" w:rsidR="00FA1DDD" w:rsidRPr="00CA03CB" w:rsidRDefault="00FA1DDD" w:rsidP="00FA1DDD">
            <w:pPr>
              <w:pStyle w:val="TOR"/>
              <w:numPr>
                <w:ilvl w:val="2"/>
                <w:numId w:val="4"/>
              </w:numPr>
            </w:pPr>
            <w:r w:rsidRPr="00CA03CB">
              <w:t xml:space="preserve">Any Councillor conduct that is preventing the Council from performing its functions. </w:t>
            </w:r>
          </w:p>
          <w:p w14:paraId="7219FE2D" w14:textId="77777777" w:rsidR="00FA1DDD" w:rsidRPr="00CA03CB" w:rsidRDefault="00FA1DDD" w:rsidP="00FA1DDD">
            <w:pPr>
              <w:pStyle w:val="TOR"/>
              <w:numPr>
                <w:ilvl w:val="1"/>
                <w:numId w:val="4"/>
              </w:numPr>
            </w:pPr>
            <w:r w:rsidRPr="00CA03CB">
              <w:t>Any recommended improvements to Council policies, processes or practices to address the above matters.</w:t>
            </w:r>
          </w:p>
          <w:p w14:paraId="6A390659" w14:textId="77777777" w:rsidR="00FA1DDD" w:rsidRPr="00CA03CB" w:rsidRDefault="00FA1DDD" w:rsidP="00FA1DDD">
            <w:pPr>
              <w:pStyle w:val="TOR"/>
              <w:numPr>
                <w:ilvl w:val="1"/>
                <w:numId w:val="4"/>
              </w:numPr>
            </w:pPr>
            <w:r w:rsidRPr="00CA03CB">
              <w:t xml:space="preserve">Any recommended legislative reforms or non-legislative options relevant to the local government sector (such as good practice guidance) to address the above matters, including but not limited to the following: </w:t>
            </w:r>
          </w:p>
          <w:p w14:paraId="28B563DE" w14:textId="77777777" w:rsidR="00FA1DDD" w:rsidRPr="00CA03CB" w:rsidRDefault="00FA1DDD" w:rsidP="00FA1DDD">
            <w:pPr>
              <w:pStyle w:val="TOR"/>
              <w:numPr>
                <w:ilvl w:val="2"/>
                <w:numId w:val="4"/>
              </w:numPr>
            </w:pPr>
            <w:r w:rsidRPr="00CA03CB">
              <w:t>The election process of the Mayor and Deputy Mayor, to promote more considered election outcomes and support local decision-making regarding council leadership; and</w:t>
            </w:r>
          </w:p>
          <w:p w14:paraId="51C505D4" w14:textId="77777777" w:rsidR="00FA1DDD" w:rsidRPr="00CA03CB" w:rsidRDefault="00FA1DDD" w:rsidP="00FA1DDD">
            <w:pPr>
              <w:pStyle w:val="TOR"/>
              <w:numPr>
                <w:ilvl w:val="2"/>
                <w:numId w:val="4"/>
              </w:numPr>
            </w:pPr>
            <w:r w:rsidRPr="00CA03CB">
              <w:t>Existing mechanisms or bodies to properly address risks to occupational health and safety (including for the CEO) at councils; and</w:t>
            </w:r>
          </w:p>
          <w:p w14:paraId="0E7D691D" w14:textId="77777777" w:rsidR="00FA1DDD" w:rsidRPr="00CA03CB" w:rsidRDefault="00FA1DDD" w:rsidP="00FA1DDD">
            <w:pPr>
              <w:pStyle w:val="TOR"/>
              <w:numPr>
                <w:ilvl w:val="2"/>
                <w:numId w:val="4"/>
              </w:numPr>
            </w:pPr>
            <w:r w:rsidRPr="00CA03CB">
              <w:t>Improve council compliance with the Act.</w:t>
            </w:r>
          </w:p>
          <w:p w14:paraId="7C3641DE" w14:textId="77777777" w:rsidR="00FA1DDD" w:rsidRPr="00CA03CB" w:rsidRDefault="00FA1DDD" w:rsidP="00FA1DDD">
            <w:pPr>
              <w:pStyle w:val="TOR"/>
            </w:pPr>
            <w:r w:rsidRPr="00CA03CB">
              <w:t>To report to the Minister for Local Government in writing on the matters outlined above by 19 September 2025.</w:t>
            </w:r>
          </w:p>
          <w:p w14:paraId="4889D4AA" w14:textId="77777777" w:rsidR="00CA03CB" w:rsidRPr="00CA03CB" w:rsidRDefault="00FA1DDD" w:rsidP="00FA1DDD">
            <w:pPr>
              <w:pStyle w:val="TOR"/>
              <w:rPr>
                <w:spacing w:val="-4"/>
              </w:rPr>
            </w:pPr>
            <w:r w:rsidRPr="00CA03CB">
              <w:t>If the Commission of Inquiry determines to make an order for the payment of costs of the Commission of Inquiry under section 214(1) of the Act, to provide the reasons for an determination that the Council should not be responsible for all the costs.</w:t>
            </w:r>
          </w:p>
        </w:tc>
      </w:tr>
    </w:tbl>
    <w:p w14:paraId="0914E628" w14:textId="77777777" w:rsidR="00CA03CB" w:rsidRDefault="00CA03CB" w:rsidP="00366739"/>
    <w:bookmarkEnd w:id="1"/>
    <w:p w14:paraId="01CE3B11" w14:textId="77777777" w:rsidR="005C7962" w:rsidRDefault="005C7962" w:rsidP="00366739">
      <w:r>
        <w:lastRenderedPageBreak/>
        <w:t>.</w:t>
      </w:r>
    </w:p>
    <w:p w14:paraId="5FBCA6EF" w14:textId="77777777" w:rsidR="00CA03CB" w:rsidRDefault="00CA03CB" w:rsidP="00366739">
      <w:r>
        <w:t>The Commission may make submissions public on its website or in its report, unless:</w:t>
      </w:r>
    </w:p>
    <w:p w14:paraId="635CFBA9" w14:textId="77777777" w:rsidR="00CA03CB" w:rsidRDefault="00CA03CB" w:rsidP="00366739">
      <w:pPr>
        <w:pStyle w:val="ListParagraph"/>
        <w:numPr>
          <w:ilvl w:val="0"/>
          <w:numId w:val="6"/>
        </w:numPr>
      </w:pPr>
      <w:r>
        <w:t xml:space="preserve">The </w:t>
      </w:r>
      <w:r w:rsidR="00D65F4E">
        <w:t>a</w:t>
      </w:r>
      <w:r>
        <w:t>uthor requests that their submission is not made public, or</w:t>
      </w:r>
    </w:p>
    <w:p w14:paraId="012F7544" w14:textId="77777777" w:rsidR="00CA03CB" w:rsidRDefault="00CA03CB" w:rsidP="00366739">
      <w:pPr>
        <w:pStyle w:val="ListParagraph"/>
        <w:numPr>
          <w:ilvl w:val="0"/>
          <w:numId w:val="6"/>
        </w:numPr>
      </w:pPr>
      <w:r>
        <w:t>The submission is considered to contain content which could be defamatory</w:t>
      </w:r>
      <w:r w:rsidR="00D65F4E">
        <w:t>.</w:t>
      </w:r>
    </w:p>
    <w:p w14:paraId="14B25047" w14:textId="77777777" w:rsidR="00CA03CB" w:rsidRDefault="00CA03CB" w:rsidP="00366739">
      <w:r>
        <w:t>The Commission</w:t>
      </w:r>
      <w:r w:rsidR="00A936CA">
        <w:t xml:space="preserve"> may</w:t>
      </w:r>
      <w:r>
        <w:t xml:space="preserve">, at its discretion, invite a submitter to </w:t>
      </w:r>
      <w:r w:rsidR="00A936CA">
        <w:t>speak to their submission.</w:t>
      </w:r>
    </w:p>
    <w:tbl>
      <w:tblPr>
        <w:tblStyle w:val="TableGrid"/>
        <w:tblW w:w="0" w:type="auto"/>
        <w:tblInd w:w="1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94"/>
        <w:gridCol w:w="4962"/>
      </w:tblGrid>
      <w:tr w:rsidR="00A936CA" w14:paraId="132CF914" w14:textId="77777777" w:rsidTr="00D65F4E">
        <w:tc>
          <w:tcPr>
            <w:tcW w:w="4394" w:type="dxa"/>
          </w:tcPr>
          <w:p w14:paraId="17BE6B78" w14:textId="77777777" w:rsidR="00A936CA" w:rsidRPr="00D65F4E" w:rsidRDefault="00D65F4E" w:rsidP="00366739">
            <w:pPr>
              <w:pStyle w:val="Submitter"/>
              <w:rPr>
                <w:b/>
                <w:bCs/>
              </w:rPr>
            </w:pPr>
            <w:permStart w:id="1323322391" w:edGrp="everyone" w:colFirst="1" w:colLast="1"/>
            <w:r>
              <w:rPr>
                <w:b/>
                <w:bCs/>
              </w:rPr>
              <w:t>Your Name</w:t>
            </w:r>
          </w:p>
        </w:tc>
        <w:tc>
          <w:tcPr>
            <w:tcW w:w="4962" w:type="dxa"/>
          </w:tcPr>
          <w:p w14:paraId="7F2D97FE" w14:textId="77777777" w:rsidR="00A936CA" w:rsidRPr="008826FB" w:rsidRDefault="00A936CA" w:rsidP="00366739">
            <w:pPr>
              <w:pStyle w:val="Submitter"/>
              <w:rPr>
                <w:color w:val="153D63" w:themeColor="text2" w:themeTint="E6"/>
              </w:rPr>
            </w:pPr>
            <w:permStart w:id="1169307215" w:edGrp="everyone"/>
            <w:permEnd w:id="1169307215"/>
          </w:p>
        </w:tc>
      </w:tr>
      <w:tr w:rsidR="00A936CA" w14:paraId="6EF9CD13" w14:textId="77777777" w:rsidTr="00D65F4E">
        <w:tc>
          <w:tcPr>
            <w:tcW w:w="4394" w:type="dxa"/>
          </w:tcPr>
          <w:p w14:paraId="3F5C31A2" w14:textId="77777777" w:rsidR="00A936CA" w:rsidRDefault="00A936CA" w:rsidP="00366739">
            <w:pPr>
              <w:pStyle w:val="Submitter"/>
            </w:pPr>
            <w:permStart w:id="1532760797" w:edGrp="everyone" w:colFirst="1" w:colLast="1"/>
            <w:permEnd w:id="1323322391"/>
            <w:r w:rsidRPr="00366739">
              <w:t>Address</w:t>
            </w:r>
          </w:p>
          <w:p w14:paraId="4EE8E4A0" w14:textId="77777777" w:rsidR="00366739" w:rsidRPr="00366739" w:rsidRDefault="00366739" w:rsidP="00366739">
            <w:pPr>
              <w:pStyle w:val="Submitter"/>
            </w:pPr>
          </w:p>
        </w:tc>
        <w:tc>
          <w:tcPr>
            <w:tcW w:w="4962" w:type="dxa"/>
          </w:tcPr>
          <w:p w14:paraId="5797A09F" w14:textId="77777777" w:rsidR="00A936CA" w:rsidRPr="008826FB" w:rsidRDefault="00A936CA" w:rsidP="00366739">
            <w:pPr>
              <w:pStyle w:val="Submitter"/>
              <w:rPr>
                <w:color w:val="153D63" w:themeColor="text2" w:themeTint="E6"/>
              </w:rPr>
            </w:pPr>
          </w:p>
        </w:tc>
      </w:tr>
      <w:tr w:rsidR="00A936CA" w14:paraId="40893E10" w14:textId="77777777" w:rsidTr="00D65F4E">
        <w:tc>
          <w:tcPr>
            <w:tcW w:w="4394" w:type="dxa"/>
          </w:tcPr>
          <w:p w14:paraId="003D3F87" w14:textId="77777777" w:rsidR="00A936CA" w:rsidRPr="00366739" w:rsidRDefault="00A936CA" w:rsidP="00366739">
            <w:pPr>
              <w:pStyle w:val="Submitter"/>
            </w:pPr>
            <w:permStart w:id="1601379908" w:edGrp="everyone" w:colFirst="1" w:colLast="1"/>
            <w:permEnd w:id="1532760797"/>
            <w:r w:rsidRPr="00366739">
              <w:t>Email</w:t>
            </w:r>
          </w:p>
        </w:tc>
        <w:tc>
          <w:tcPr>
            <w:tcW w:w="4962" w:type="dxa"/>
          </w:tcPr>
          <w:p w14:paraId="48BAC7A1" w14:textId="77777777" w:rsidR="00A936CA" w:rsidRPr="008826FB" w:rsidRDefault="00A936CA" w:rsidP="00366739">
            <w:pPr>
              <w:pStyle w:val="Submitter"/>
              <w:rPr>
                <w:color w:val="153D63" w:themeColor="text2" w:themeTint="E6"/>
              </w:rPr>
            </w:pPr>
          </w:p>
        </w:tc>
      </w:tr>
      <w:tr w:rsidR="00D65F4E" w14:paraId="60263D94" w14:textId="77777777" w:rsidTr="00D65F4E">
        <w:tc>
          <w:tcPr>
            <w:tcW w:w="4394" w:type="dxa"/>
            <w:tcBorders>
              <w:bottom w:val="single" w:sz="8" w:space="0" w:color="auto"/>
            </w:tcBorders>
          </w:tcPr>
          <w:p w14:paraId="6C1EB41E" w14:textId="77777777" w:rsidR="00D65F4E" w:rsidRPr="00366739" w:rsidRDefault="00D65F4E" w:rsidP="00366739">
            <w:pPr>
              <w:pStyle w:val="Submitter"/>
            </w:pPr>
            <w:permStart w:id="70023085" w:edGrp="everyone" w:colFirst="1" w:colLast="1"/>
            <w:permEnd w:id="1601379908"/>
            <w:r>
              <w:t>Date</w:t>
            </w:r>
          </w:p>
        </w:tc>
        <w:tc>
          <w:tcPr>
            <w:tcW w:w="4962" w:type="dxa"/>
            <w:tcBorders>
              <w:bottom w:val="single" w:sz="8" w:space="0" w:color="auto"/>
            </w:tcBorders>
          </w:tcPr>
          <w:p w14:paraId="70F0C799" w14:textId="77777777" w:rsidR="00D65F4E" w:rsidRPr="008826FB" w:rsidRDefault="00D65F4E" w:rsidP="00366739">
            <w:pPr>
              <w:pStyle w:val="Submitter"/>
              <w:rPr>
                <w:color w:val="153D63" w:themeColor="text2" w:themeTint="E6"/>
              </w:rPr>
            </w:pPr>
          </w:p>
        </w:tc>
      </w:tr>
      <w:tr w:rsidR="00A936CA" w14:paraId="0E4ED666" w14:textId="77777777" w:rsidTr="00D65F4E">
        <w:tc>
          <w:tcPr>
            <w:tcW w:w="4394" w:type="dxa"/>
            <w:tcBorders>
              <w:top w:val="single" w:sz="8" w:space="0" w:color="auto"/>
              <w:bottom w:val="nil"/>
            </w:tcBorders>
          </w:tcPr>
          <w:p w14:paraId="3615407E" w14:textId="77777777" w:rsidR="00A936CA" w:rsidRPr="00366739" w:rsidRDefault="00A936CA" w:rsidP="00366739">
            <w:pPr>
              <w:pStyle w:val="Submitter"/>
            </w:pPr>
            <w:permStart w:id="406339044" w:edGrp="everyone" w:colFirst="1" w:colLast="1"/>
            <w:permEnd w:id="70023085"/>
            <w:r w:rsidRPr="00366739">
              <w:t xml:space="preserve">Name of </w:t>
            </w:r>
            <w:r w:rsidR="00D65F4E">
              <w:t xml:space="preserve">the </w:t>
            </w:r>
            <w:r w:rsidRPr="00366739">
              <w:t xml:space="preserve">organisation </w:t>
            </w:r>
            <w:r w:rsidR="00D65F4E">
              <w:t>you represent</w:t>
            </w:r>
            <w:r w:rsidRPr="00366739">
              <w:t xml:space="preserve"> (if any)</w:t>
            </w:r>
          </w:p>
        </w:tc>
        <w:tc>
          <w:tcPr>
            <w:tcW w:w="4962" w:type="dxa"/>
            <w:tcBorders>
              <w:top w:val="single" w:sz="8" w:space="0" w:color="auto"/>
              <w:bottom w:val="nil"/>
            </w:tcBorders>
          </w:tcPr>
          <w:p w14:paraId="6857E090" w14:textId="77777777" w:rsidR="00A936CA" w:rsidRPr="008826FB" w:rsidRDefault="00A936CA" w:rsidP="00366739">
            <w:pPr>
              <w:pStyle w:val="Submitter"/>
              <w:rPr>
                <w:color w:val="153D63" w:themeColor="text2" w:themeTint="E6"/>
              </w:rPr>
            </w:pPr>
          </w:p>
        </w:tc>
      </w:tr>
      <w:tr w:rsidR="00A936CA" w14:paraId="57B530AB" w14:textId="77777777" w:rsidTr="00D65F4E">
        <w:tc>
          <w:tcPr>
            <w:tcW w:w="4394" w:type="dxa"/>
            <w:tcBorders>
              <w:top w:val="nil"/>
            </w:tcBorders>
          </w:tcPr>
          <w:p w14:paraId="0183B19E" w14:textId="77777777" w:rsidR="00A936CA" w:rsidRPr="00366739" w:rsidRDefault="00D65F4E" w:rsidP="00366739">
            <w:pPr>
              <w:pStyle w:val="Submitter"/>
            </w:pPr>
            <w:permStart w:id="364469247" w:edGrp="everyone" w:colFirst="1" w:colLast="1"/>
            <w:permEnd w:id="406339044"/>
            <w:r>
              <w:t>Your p</w:t>
            </w:r>
            <w:r w:rsidR="00A936CA" w:rsidRPr="00366739">
              <w:t xml:space="preserve">osition in </w:t>
            </w:r>
            <w:r>
              <w:t xml:space="preserve">the </w:t>
            </w:r>
            <w:r w:rsidR="00A936CA" w:rsidRPr="00366739">
              <w:t>organisation</w:t>
            </w:r>
          </w:p>
        </w:tc>
        <w:tc>
          <w:tcPr>
            <w:tcW w:w="4962" w:type="dxa"/>
            <w:tcBorders>
              <w:top w:val="nil"/>
            </w:tcBorders>
          </w:tcPr>
          <w:p w14:paraId="3441B478" w14:textId="77777777" w:rsidR="00A936CA" w:rsidRPr="008826FB" w:rsidRDefault="00A936CA" w:rsidP="00366739">
            <w:pPr>
              <w:pStyle w:val="Submitter"/>
              <w:rPr>
                <w:color w:val="153D63" w:themeColor="text2" w:themeTint="E6"/>
              </w:rPr>
            </w:pPr>
          </w:p>
        </w:tc>
      </w:tr>
      <w:tr w:rsidR="00A936CA" w14:paraId="496C5932" w14:textId="77777777" w:rsidTr="00D65F4E">
        <w:tc>
          <w:tcPr>
            <w:tcW w:w="4394" w:type="dxa"/>
          </w:tcPr>
          <w:p w14:paraId="5D18E3A1" w14:textId="77777777" w:rsidR="00A936CA" w:rsidRPr="00366739" w:rsidRDefault="00A936CA" w:rsidP="00366739">
            <w:pPr>
              <w:pStyle w:val="Submitter"/>
            </w:pPr>
            <w:permStart w:id="448726176" w:edGrp="everyone" w:colFirst="1" w:colLast="1"/>
            <w:permEnd w:id="364469247"/>
            <w:r w:rsidRPr="00366739">
              <w:t>Do you consent to your name being made public on the Commission’s website or in its report.</w:t>
            </w:r>
          </w:p>
        </w:tc>
        <w:tc>
          <w:tcPr>
            <w:tcW w:w="4962" w:type="dxa"/>
          </w:tcPr>
          <w:p w14:paraId="1EE16F02" w14:textId="77777777" w:rsidR="00A936CA" w:rsidRPr="008826FB" w:rsidRDefault="00A936CA" w:rsidP="00366739">
            <w:pPr>
              <w:pStyle w:val="Submitter"/>
              <w:rPr>
                <w:color w:val="153D63" w:themeColor="text2" w:themeTint="E6"/>
              </w:rPr>
            </w:pPr>
            <w:r w:rsidRPr="008826FB">
              <w:rPr>
                <w:color w:val="153D63" w:themeColor="text2" w:themeTint="E6"/>
              </w:rPr>
              <w:t>Yes/No</w:t>
            </w:r>
          </w:p>
        </w:tc>
      </w:tr>
      <w:tr w:rsidR="00A936CA" w14:paraId="72008BD6" w14:textId="77777777" w:rsidTr="00D65F4E">
        <w:tc>
          <w:tcPr>
            <w:tcW w:w="4394" w:type="dxa"/>
          </w:tcPr>
          <w:p w14:paraId="5CA6B937" w14:textId="77777777" w:rsidR="00A936CA" w:rsidRPr="00366739" w:rsidRDefault="00A936CA" w:rsidP="00366739">
            <w:pPr>
              <w:pStyle w:val="Submitter"/>
            </w:pPr>
            <w:permStart w:id="1191523913" w:edGrp="everyone" w:colFirst="1" w:colLast="1"/>
            <w:permEnd w:id="448726176"/>
            <w:r w:rsidRPr="00366739">
              <w:t>Do you consent to your submission being published on the Commission’s website or in its report</w:t>
            </w:r>
          </w:p>
        </w:tc>
        <w:tc>
          <w:tcPr>
            <w:tcW w:w="4962" w:type="dxa"/>
          </w:tcPr>
          <w:p w14:paraId="031C5BF6" w14:textId="77777777" w:rsidR="00A936CA" w:rsidRPr="008826FB" w:rsidRDefault="00A936CA" w:rsidP="00366739">
            <w:pPr>
              <w:pStyle w:val="Submitter"/>
              <w:rPr>
                <w:color w:val="153D63" w:themeColor="text2" w:themeTint="E6"/>
              </w:rPr>
            </w:pPr>
            <w:r w:rsidRPr="008826FB">
              <w:rPr>
                <w:color w:val="153D63" w:themeColor="text2" w:themeTint="E6"/>
              </w:rPr>
              <w:t>Yes/No</w:t>
            </w:r>
          </w:p>
        </w:tc>
      </w:tr>
      <w:permEnd w:id="1191523913"/>
    </w:tbl>
    <w:p w14:paraId="1A0175AD" w14:textId="77777777" w:rsidR="00A936CA" w:rsidRDefault="00A936CA" w:rsidP="00366739">
      <w:pPr>
        <w:pStyle w:val="BodyText"/>
      </w:pPr>
    </w:p>
    <w:tbl>
      <w:tblPr>
        <w:tblStyle w:val="TableGrid"/>
        <w:tblW w:w="0" w:type="auto"/>
        <w:tblInd w:w="137"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D65F4E" w14:paraId="6E33C786" w14:textId="77777777" w:rsidTr="008826FB">
        <w:tc>
          <w:tcPr>
            <w:tcW w:w="9356" w:type="dxa"/>
          </w:tcPr>
          <w:p w14:paraId="450C2BAA" w14:textId="77777777" w:rsidR="008826FB" w:rsidRPr="00D65F4E" w:rsidRDefault="00D65F4E" w:rsidP="008826FB">
            <w:pPr>
              <w:pStyle w:val="Submitter"/>
              <w:spacing w:after="240"/>
              <w:jc w:val="center"/>
              <w:rPr>
                <w:b/>
                <w:bCs/>
              </w:rPr>
            </w:pPr>
            <w:r w:rsidRPr="00D65F4E">
              <w:rPr>
                <w:b/>
                <w:bCs/>
              </w:rPr>
              <w:t>Submission to the Commission of Inquiry into the Whittlesea City Council</w:t>
            </w:r>
          </w:p>
          <w:p w14:paraId="7EF3ECF9" w14:textId="77777777" w:rsidR="00D65F4E" w:rsidRPr="00AD7469" w:rsidRDefault="00D65F4E" w:rsidP="00D65F4E">
            <w:pPr>
              <w:pStyle w:val="Submitter"/>
              <w:rPr>
                <w:i/>
                <w:iCs/>
                <w:color w:val="153D63" w:themeColor="text2" w:themeTint="E6"/>
              </w:rPr>
            </w:pPr>
            <w:permStart w:id="1172068319" w:edGrp="everyone"/>
            <w:r w:rsidRPr="00AD7469">
              <w:rPr>
                <w:i/>
                <w:iCs/>
                <w:color w:val="153D63" w:themeColor="text2" w:themeTint="E6"/>
              </w:rPr>
              <w:t>Use this space for your submission – remember to address the terms of reference.</w:t>
            </w:r>
          </w:p>
          <w:p w14:paraId="6ED712F3" w14:textId="77777777" w:rsidR="00D65F4E" w:rsidRDefault="00D65F4E" w:rsidP="00D65F4E">
            <w:pPr>
              <w:pStyle w:val="Submitter"/>
              <w:rPr>
                <w:color w:val="153D63" w:themeColor="text2" w:themeTint="E6"/>
              </w:rPr>
            </w:pPr>
          </w:p>
          <w:p w14:paraId="4BFEF647" w14:textId="77777777" w:rsidR="00D65F4E" w:rsidRPr="008826FB" w:rsidRDefault="00D65F4E" w:rsidP="00D65F4E">
            <w:pPr>
              <w:pStyle w:val="Submitter"/>
              <w:rPr>
                <w:color w:val="153D63" w:themeColor="text2" w:themeTint="E6"/>
              </w:rPr>
            </w:pPr>
          </w:p>
          <w:p w14:paraId="0F3AE154" w14:textId="77777777" w:rsidR="00D65F4E" w:rsidRPr="008826FB" w:rsidRDefault="00D65F4E" w:rsidP="00D65F4E">
            <w:pPr>
              <w:pStyle w:val="Submitter"/>
              <w:rPr>
                <w:color w:val="153D63" w:themeColor="text2" w:themeTint="E6"/>
              </w:rPr>
            </w:pPr>
          </w:p>
          <w:p w14:paraId="60E31DB1" w14:textId="77777777" w:rsidR="00D65F4E" w:rsidRPr="008826FB" w:rsidRDefault="00D65F4E" w:rsidP="00D65F4E">
            <w:pPr>
              <w:pStyle w:val="Submitter"/>
              <w:rPr>
                <w:color w:val="153D63" w:themeColor="text2" w:themeTint="E6"/>
              </w:rPr>
            </w:pPr>
          </w:p>
          <w:p w14:paraId="03F708C3" w14:textId="77777777" w:rsidR="00D65F4E" w:rsidRPr="008826FB" w:rsidRDefault="00D65F4E" w:rsidP="00D65F4E">
            <w:pPr>
              <w:pStyle w:val="Submitter"/>
              <w:rPr>
                <w:color w:val="153D63" w:themeColor="text2" w:themeTint="E6"/>
              </w:rPr>
            </w:pPr>
          </w:p>
          <w:p w14:paraId="3717E52D" w14:textId="77777777" w:rsidR="00D65F4E" w:rsidRPr="008826FB" w:rsidRDefault="00D65F4E" w:rsidP="00D65F4E">
            <w:pPr>
              <w:pStyle w:val="Submitter"/>
              <w:rPr>
                <w:color w:val="153D63" w:themeColor="text2" w:themeTint="E6"/>
              </w:rPr>
            </w:pPr>
          </w:p>
          <w:p w14:paraId="2ABFBC00" w14:textId="77777777" w:rsidR="00D65F4E" w:rsidRPr="008826FB" w:rsidRDefault="00D65F4E" w:rsidP="00D65F4E">
            <w:pPr>
              <w:pStyle w:val="Submitter"/>
              <w:rPr>
                <w:color w:val="153D63" w:themeColor="text2" w:themeTint="E6"/>
              </w:rPr>
            </w:pPr>
          </w:p>
          <w:p w14:paraId="189C1EE0" w14:textId="77777777" w:rsidR="00D65F4E" w:rsidRPr="008826FB" w:rsidRDefault="00D65F4E" w:rsidP="00D65F4E">
            <w:pPr>
              <w:pStyle w:val="Submitter"/>
              <w:rPr>
                <w:color w:val="153D63" w:themeColor="text2" w:themeTint="E6"/>
              </w:rPr>
            </w:pPr>
          </w:p>
          <w:p w14:paraId="385926CE" w14:textId="77777777" w:rsidR="00D65F4E" w:rsidRPr="008826FB" w:rsidRDefault="00D65F4E" w:rsidP="00D65F4E">
            <w:pPr>
              <w:pStyle w:val="Submitter"/>
              <w:rPr>
                <w:color w:val="153D63" w:themeColor="text2" w:themeTint="E6"/>
              </w:rPr>
            </w:pPr>
          </w:p>
          <w:p w14:paraId="4F3285DA" w14:textId="77777777" w:rsidR="00D65F4E" w:rsidRPr="008826FB" w:rsidRDefault="00D65F4E" w:rsidP="00D65F4E">
            <w:pPr>
              <w:pStyle w:val="Submitter"/>
              <w:rPr>
                <w:color w:val="153D63" w:themeColor="text2" w:themeTint="E6"/>
              </w:rPr>
            </w:pPr>
          </w:p>
          <w:p w14:paraId="6045CDF1" w14:textId="77777777" w:rsidR="00D65F4E" w:rsidRPr="008826FB" w:rsidRDefault="00D65F4E" w:rsidP="00D65F4E">
            <w:pPr>
              <w:pStyle w:val="Submitter"/>
              <w:rPr>
                <w:color w:val="153D63" w:themeColor="text2" w:themeTint="E6"/>
              </w:rPr>
            </w:pPr>
          </w:p>
          <w:p w14:paraId="70FA76E8" w14:textId="77777777" w:rsidR="00D65F4E" w:rsidRPr="008826FB" w:rsidRDefault="00D65F4E" w:rsidP="00D65F4E">
            <w:pPr>
              <w:pStyle w:val="Submitter"/>
              <w:rPr>
                <w:color w:val="153D63" w:themeColor="text2" w:themeTint="E6"/>
              </w:rPr>
            </w:pPr>
          </w:p>
          <w:p w14:paraId="53B092BF" w14:textId="77777777" w:rsidR="00D65F4E" w:rsidRPr="008826FB" w:rsidRDefault="00D65F4E" w:rsidP="00D65F4E">
            <w:pPr>
              <w:pStyle w:val="Submitter"/>
              <w:rPr>
                <w:color w:val="153D63" w:themeColor="text2" w:themeTint="E6"/>
              </w:rPr>
            </w:pPr>
          </w:p>
          <w:p w14:paraId="37FA9BF4" w14:textId="77777777" w:rsidR="00D65F4E" w:rsidRPr="008826FB" w:rsidRDefault="00D65F4E" w:rsidP="00D65F4E">
            <w:pPr>
              <w:pStyle w:val="Submitter"/>
              <w:rPr>
                <w:color w:val="153D63" w:themeColor="text2" w:themeTint="E6"/>
              </w:rPr>
            </w:pPr>
          </w:p>
          <w:p w14:paraId="243DAF11" w14:textId="77777777" w:rsidR="00D65F4E" w:rsidRPr="008826FB" w:rsidRDefault="00D65F4E" w:rsidP="00D65F4E">
            <w:pPr>
              <w:pStyle w:val="Submitter"/>
              <w:rPr>
                <w:color w:val="153D63" w:themeColor="text2" w:themeTint="E6"/>
              </w:rPr>
            </w:pPr>
          </w:p>
          <w:p w14:paraId="6D71E754" w14:textId="77777777" w:rsidR="00D65F4E" w:rsidRPr="008826FB" w:rsidRDefault="00D65F4E" w:rsidP="00D65F4E">
            <w:pPr>
              <w:pStyle w:val="Submitter"/>
              <w:rPr>
                <w:color w:val="153D63" w:themeColor="text2" w:themeTint="E6"/>
              </w:rPr>
            </w:pPr>
          </w:p>
          <w:p w14:paraId="45C47EA5" w14:textId="77777777" w:rsidR="00D65F4E" w:rsidRPr="008826FB" w:rsidRDefault="00D65F4E" w:rsidP="00D65F4E">
            <w:pPr>
              <w:pStyle w:val="Submitter"/>
              <w:rPr>
                <w:color w:val="153D63" w:themeColor="text2" w:themeTint="E6"/>
              </w:rPr>
            </w:pPr>
          </w:p>
          <w:p w14:paraId="1E3B66F8" w14:textId="77777777" w:rsidR="00D65F4E" w:rsidRPr="008826FB" w:rsidRDefault="00D65F4E" w:rsidP="00D65F4E">
            <w:pPr>
              <w:pStyle w:val="Submitter"/>
              <w:rPr>
                <w:color w:val="153D63" w:themeColor="text2" w:themeTint="E6"/>
              </w:rPr>
            </w:pPr>
          </w:p>
          <w:p w14:paraId="67EA0891" w14:textId="77777777" w:rsidR="00D65F4E" w:rsidRPr="008826FB" w:rsidRDefault="00D65F4E" w:rsidP="00D65F4E">
            <w:pPr>
              <w:pStyle w:val="Submitter"/>
              <w:rPr>
                <w:color w:val="153D63" w:themeColor="text2" w:themeTint="E6"/>
              </w:rPr>
            </w:pPr>
          </w:p>
          <w:p w14:paraId="18577FAA" w14:textId="77777777" w:rsidR="00D65F4E" w:rsidRPr="008826FB" w:rsidRDefault="00D65F4E" w:rsidP="00D65F4E">
            <w:pPr>
              <w:pStyle w:val="Submitter"/>
              <w:rPr>
                <w:color w:val="153D63" w:themeColor="text2" w:themeTint="E6"/>
              </w:rPr>
            </w:pPr>
          </w:p>
          <w:p w14:paraId="6FC96031" w14:textId="77777777" w:rsidR="00D65F4E" w:rsidRPr="008826FB" w:rsidRDefault="00D65F4E" w:rsidP="00D65F4E">
            <w:pPr>
              <w:pStyle w:val="Submitter"/>
              <w:rPr>
                <w:color w:val="153D63" w:themeColor="text2" w:themeTint="E6"/>
              </w:rPr>
            </w:pPr>
          </w:p>
          <w:p w14:paraId="1B7C23ED" w14:textId="77777777" w:rsidR="00D65F4E" w:rsidRPr="008826FB" w:rsidRDefault="00D65F4E" w:rsidP="00D65F4E">
            <w:pPr>
              <w:pStyle w:val="Submitter"/>
              <w:rPr>
                <w:color w:val="153D63" w:themeColor="text2" w:themeTint="E6"/>
              </w:rPr>
            </w:pPr>
          </w:p>
          <w:p w14:paraId="047AF2C6" w14:textId="77777777" w:rsidR="00D65F4E" w:rsidRPr="008826FB" w:rsidRDefault="00D65F4E" w:rsidP="00D65F4E">
            <w:pPr>
              <w:pStyle w:val="Submitter"/>
              <w:rPr>
                <w:color w:val="153D63" w:themeColor="text2" w:themeTint="E6"/>
              </w:rPr>
            </w:pPr>
          </w:p>
          <w:p w14:paraId="7BC047D4" w14:textId="77777777" w:rsidR="00D65F4E" w:rsidRPr="008826FB" w:rsidRDefault="00D65F4E" w:rsidP="00D65F4E">
            <w:pPr>
              <w:pStyle w:val="Submitter"/>
              <w:rPr>
                <w:color w:val="153D63" w:themeColor="text2" w:themeTint="E6"/>
              </w:rPr>
            </w:pPr>
          </w:p>
          <w:p w14:paraId="1A908F2C" w14:textId="77777777" w:rsidR="00D65F4E" w:rsidRPr="008826FB" w:rsidRDefault="00D65F4E" w:rsidP="00D65F4E">
            <w:pPr>
              <w:pStyle w:val="Submitter"/>
              <w:rPr>
                <w:color w:val="153D63" w:themeColor="text2" w:themeTint="E6"/>
              </w:rPr>
            </w:pPr>
          </w:p>
          <w:p w14:paraId="36D147E7" w14:textId="77777777" w:rsidR="00D65F4E" w:rsidRPr="008826FB" w:rsidRDefault="00D65F4E" w:rsidP="00D65F4E">
            <w:pPr>
              <w:pStyle w:val="Submitter"/>
              <w:rPr>
                <w:color w:val="153D63" w:themeColor="text2" w:themeTint="E6"/>
              </w:rPr>
            </w:pPr>
          </w:p>
          <w:p w14:paraId="15C0363F" w14:textId="77777777" w:rsidR="00D65F4E" w:rsidRPr="008826FB" w:rsidRDefault="00D65F4E" w:rsidP="00D65F4E">
            <w:pPr>
              <w:pStyle w:val="Submitter"/>
              <w:rPr>
                <w:color w:val="153D63" w:themeColor="text2" w:themeTint="E6"/>
              </w:rPr>
            </w:pPr>
          </w:p>
          <w:p w14:paraId="09EDD3C0" w14:textId="77777777" w:rsidR="00D65F4E" w:rsidRPr="008826FB" w:rsidRDefault="00D65F4E" w:rsidP="00D65F4E">
            <w:pPr>
              <w:pStyle w:val="Submitter"/>
              <w:rPr>
                <w:color w:val="153D63" w:themeColor="text2" w:themeTint="E6"/>
              </w:rPr>
            </w:pPr>
          </w:p>
          <w:permEnd w:id="1172068319"/>
          <w:p w14:paraId="03E11D75" w14:textId="77777777" w:rsidR="00D65F4E" w:rsidRDefault="00D65F4E" w:rsidP="00D65F4E">
            <w:pPr>
              <w:pStyle w:val="Submitter"/>
            </w:pPr>
          </w:p>
        </w:tc>
      </w:tr>
    </w:tbl>
    <w:p w14:paraId="537A5E75" w14:textId="77777777" w:rsidR="005C7962" w:rsidRPr="005C7962" w:rsidRDefault="005C7962" w:rsidP="00366739"/>
    <w:sectPr w:rsidR="005C7962" w:rsidRPr="005C7962" w:rsidSect="00366739">
      <w:headerReference w:type="default" r:id="rId7"/>
      <w:footerReference w:type="even" r:id="rId8"/>
      <w:footerReference w:type="default" r:id="rId9"/>
      <w:footerReference w:type="firs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0C24" w14:textId="77777777" w:rsidR="000B0FFD" w:rsidRDefault="000B0FFD" w:rsidP="00366739">
      <w:r>
        <w:separator/>
      </w:r>
    </w:p>
  </w:endnote>
  <w:endnote w:type="continuationSeparator" w:id="0">
    <w:p w14:paraId="1D81DB0C" w14:textId="77777777" w:rsidR="000B0FFD" w:rsidRDefault="000B0FFD" w:rsidP="0036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BC47" w14:textId="77777777" w:rsidR="000B0FFD" w:rsidRDefault="000B0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95A6" w14:textId="77777777" w:rsidR="000B0FFD" w:rsidRDefault="000B0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2FD2" w14:textId="77777777" w:rsidR="000B0FFD" w:rsidRDefault="000B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7D365" w14:textId="77777777" w:rsidR="000B0FFD" w:rsidRDefault="000B0FFD" w:rsidP="00366739">
      <w:r>
        <w:separator/>
      </w:r>
    </w:p>
  </w:footnote>
  <w:footnote w:type="continuationSeparator" w:id="0">
    <w:p w14:paraId="23208846" w14:textId="77777777" w:rsidR="000B0FFD" w:rsidRDefault="000B0FFD" w:rsidP="00366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D63E" w14:textId="77777777" w:rsidR="005C7962" w:rsidRPr="00366739" w:rsidRDefault="005C7962" w:rsidP="00366739">
    <w:pPr>
      <w:spacing w:after="60"/>
      <w:jc w:val="center"/>
      <w:rPr>
        <w:noProof/>
        <w:color w:val="C00000"/>
      </w:rPr>
    </w:pPr>
    <w:r w:rsidRPr="00366739">
      <w:rPr>
        <w:noProof/>
        <w:color w:val="C00000"/>
      </w:rPr>
      <w:t>OFFICIAL</w:t>
    </w:r>
  </w:p>
  <w:p w14:paraId="09B3B329" w14:textId="77777777" w:rsidR="005C7962" w:rsidRPr="00366739" w:rsidRDefault="005C7962" w:rsidP="00366739">
    <w:pPr>
      <w:jc w:val="center"/>
      <w:rPr>
        <w:color w:val="747474" w:themeColor="background2" w:themeShade="80"/>
        <w:sz w:val="22"/>
        <w:szCs w:val="22"/>
      </w:rPr>
    </w:pPr>
    <w:r w:rsidRPr="00366739">
      <w:rPr>
        <w:color w:val="747474" w:themeColor="background2" w:themeShade="80"/>
        <w:w w:val="105"/>
        <w:sz w:val="22"/>
        <w:szCs w:val="22"/>
      </w:rPr>
      <w:t>Commission</w:t>
    </w:r>
    <w:r w:rsidRPr="00366739">
      <w:rPr>
        <w:color w:val="747474" w:themeColor="background2" w:themeShade="80"/>
        <w:spacing w:val="-14"/>
        <w:w w:val="105"/>
        <w:sz w:val="22"/>
        <w:szCs w:val="22"/>
      </w:rPr>
      <w:t xml:space="preserve"> </w:t>
    </w:r>
    <w:r w:rsidRPr="00366739">
      <w:rPr>
        <w:color w:val="747474" w:themeColor="background2" w:themeShade="80"/>
        <w:w w:val="105"/>
        <w:sz w:val="22"/>
        <w:szCs w:val="22"/>
      </w:rPr>
      <w:t>of</w:t>
    </w:r>
    <w:r w:rsidRPr="00366739">
      <w:rPr>
        <w:color w:val="747474" w:themeColor="background2" w:themeShade="80"/>
        <w:spacing w:val="10"/>
        <w:w w:val="105"/>
        <w:sz w:val="22"/>
        <w:szCs w:val="22"/>
      </w:rPr>
      <w:t xml:space="preserve"> </w:t>
    </w:r>
    <w:r w:rsidRPr="00366739">
      <w:rPr>
        <w:color w:val="747474" w:themeColor="background2" w:themeShade="80"/>
        <w:w w:val="105"/>
        <w:sz w:val="22"/>
        <w:szCs w:val="22"/>
      </w:rPr>
      <w:t>Inquiry</w:t>
    </w:r>
    <w:r w:rsidRPr="00366739">
      <w:rPr>
        <w:color w:val="747474" w:themeColor="background2" w:themeShade="80"/>
        <w:spacing w:val="-16"/>
        <w:w w:val="105"/>
        <w:sz w:val="22"/>
        <w:szCs w:val="22"/>
      </w:rPr>
      <w:t xml:space="preserve"> </w:t>
    </w:r>
    <w:r w:rsidRPr="00366739">
      <w:rPr>
        <w:color w:val="747474" w:themeColor="background2" w:themeShade="80"/>
        <w:w w:val="105"/>
        <w:sz w:val="22"/>
        <w:szCs w:val="22"/>
      </w:rPr>
      <w:t>into</w:t>
    </w:r>
    <w:r w:rsidRPr="00366739">
      <w:rPr>
        <w:color w:val="747474" w:themeColor="background2" w:themeShade="80"/>
        <w:spacing w:val="-13"/>
        <w:w w:val="105"/>
        <w:sz w:val="22"/>
        <w:szCs w:val="22"/>
      </w:rPr>
      <w:t xml:space="preserve"> </w:t>
    </w:r>
    <w:r w:rsidRPr="00366739">
      <w:rPr>
        <w:color w:val="747474" w:themeColor="background2" w:themeShade="80"/>
        <w:w w:val="105"/>
        <w:sz w:val="22"/>
        <w:szCs w:val="22"/>
      </w:rPr>
      <w:t>Whittlesea City</w:t>
    </w:r>
    <w:r w:rsidRPr="00366739">
      <w:rPr>
        <w:color w:val="747474" w:themeColor="background2" w:themeShade="80"/>
        <w:spacing w:val="-14"/>
        <w:w w:val="105"/>
        <w:sz w:val="22"/>
        <w:szCs w:val="22"/>
      </w:rPr>
      <w:t xml:space="preserve"> </w:t>
    </w:r>
    <w:r w:rsidRPr="00366739">
      <w:rPr>
        <w:color w:val="747474" w:themeColor="background2" w:themeShade="80"/>
        <w:spacing w:val="-2"/>
        <w:w w:val="105"/>
        <w:sz w:val="22"/>
        <w:szCs w:val="22"/>
      </w:rPr>
      <w:t>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2036"/>
    <w:multiLevelType w:val="hybridMultilevel"/>
    <w:tmpl w:val="BB424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AD07A7"/>
    <w:multiLevelType w:val="multilevel"/>
    <w:tmpl w:val="213EBABA"/>
    <w:lvl w:ilvl="0">
      <w:start w:val="1"/>
      <w:numFmt w:val="decimal"/>
      <w:pStyle w:val="TOR"/>
      <w:lvlText w:val="%1."/>
      <w:lvlJc w:val="left"/>
      <w:pPr>
        <w:ind w:left="680" w:hanging="288"/>
      </w:pPr>
      <w:rPr>
        <w:rFonts w:hint="default"/>
        <w:spacing w:val="-1"/>
        <w:w w:val="104"/>
      </w:rPr>
    </w:lvl>
    <w:lvl w:ilvl="1">
      <w:start w:val="1"/>
      <w:numFmt w:val="lowerLetter"/>
      <w:lvlText w:val="%2)"/>
      <w:lvlJc w:val="left"/>
      <w:pPr>
        <w:ind w:left="1134" w:hanging="454"/>
      </w:pPr>
      <w:rPr>
        <w:rFonts w:hint="default"/>
        <w:spacing w:val="-1"/>
        <w:w w:val="109"/>
      </w:rPr>
    </w:lvl>
    <w:lvl w:ilvl="2">
      <w:start w:val="1"/>
      <w:numFmt w:val="upperRoman"/>
      <w:lvlText w:val="%3)"/>
      <w:lvlJc w:val="left"/>
      <w:pPr>
        <w:ind w:left="1588" w:hanging="454"/>
      </w:pPr>
      <w:rPr>
        <w:rFonts w:hint="default"/>
      </w:rPr>
    </w:lvl>
    <w:lvl w:ilvl="3">
      <w:numFmt w:val="bullet"/>
      <w:lvlText w:val="•"/>
      <w:lvlJc w:val="left"/>
      <w:pPr>
        <w:ind w:left="3055" w:hanging="357"/>
      </w:pPr>
      <w:rPr>
        <w:rFonts w:hint="default"/>
      </w:rPr>
    </w:lvl>
    <w:lvl w:ilvl="4">
      <w:numFmt w:val="bullet"/>
      <w:lvlText w:val="•"/>
      <w:lvlJc w:val="left"/>
      <w:pPr>
        <w:ind w:left="3993" w:hanging="357"/>
      </w:pPr>
      <w:rPr>
        <w:rFonts w:hint="default"/>
      </w:rPr>
    </w:lvl>
    <w:lvl w:ilvl="5">
      <w:numFmt w:val="bullet"/>
      <w:lvlText w:val="•"/>
      <w:lvlJc w:val="left"/>
      <w:pPr>
        <w:ind w:left="4931" w:hanging="357"/>
      </w:pPr>
      <w:rPr>
        <w:rFonts w:hint="default"/>
      </w:rPr>
    </w:lvl>
    <w:lvl w:ilvl="6">
      <w:numFmt w:val="bullet"/>
      <w:lvlText w:val="•"/>
      <w:lvlJc w:val="left"/>
      <w:pPr>
        <w:ind w:left="5868" w:hanging="357"/>
      </w:pPr>
      <w:rPr>
        <w:rFonts w:hint="default"/>
      </w:rPr>
    </w:lvl>
    <w:lvl w:ilvl="7">
      <w:numFmt w:val="bullet"/>
      <w:lvlText w:val="•"/>
      <w:lvlJc w:val="left"/>
      <w:pPr>
        <w:ind w:left="6806" w:hanging="357"/>
      </w:pPr>
      <w:rPr>
        <w:rFonts w:hint="default"/>
      </w:rPr>
    </w:lvl>
    <w:lvl w:ilvl="8">
      <w:numFmt w:val="bullet"/>
      <w:lvlText w:val="•"/>
      <w:lvlJc w:val="left"/>
      <w:pPr>
        <w:ind w:left="7744" w:hanging="357"/>
      </w:pPr>
      <w:rPr>
        <w:rFonts w:hint="default"/>
      </w:rPr>
    </w:lvl>
  </w:abstractNum>
  <w:abstractNum w:abstractNumId="2" w15:restartNumberingAfterBreak="0">
    <w:nsid w:val="35390381"/>
    <w:multiLevelType w:val="hybridMultilevel"/>
    <w:tmpl w:val="5614D440"/>
    <w:lvl w:ilvl="0" w:tplc="3EF482C6">
      <w:numFmt w:val="bullet"/>
      <w:lvlText w:val="•"/>
      <w:lvlJc w:val="left"/>
      <w:pPr>
        <w:ind w:left="879" w:hanging="353"/>
      </w:pPr>
      <w:rPr>
        <w:rFonts w:ascii="Arial" w:eastAsia="Arial" w:hAnsi="Arial" w:cs="Arial" w:hint="default"/>
        <w:b w:val="0"/>
        <w:bCs w:val="0"/>
        <w:i w:val="0"/>
        <w:iCs w:val="0"/>
        <w:color w:val="2A2828"/>
        <w:w w:val="98"/>
        <w:sz w:val="20"/>
        <w:szCs w:val="20"/>
        <w:lang w:val="en-US" w:eastAsia="en-US" w:bidi="ar-SA"/>
      </w:rPr>
    </w:lvl>
    <w:lvl w:ilvl="1" w:tplc="74F2EB08">
      <w:numFmt w:val="bullet"/>
      <w:lvlText w:val="•"/>
      <w:lvlJc w:val="left"/>
      <w:pPr>
        <w:ind w:left="1754" w:hanging="353"/>
      </w:pPr>
      <w:rPr>
        <w:rFonts w:hint="default"/>
        <w:lang w:val="en-US" w:eastAsia="en-US" w:bidi="ar-SA"/>
      </w:rPr>
    </w:lvl>
    <w:lvl w:ilvl="2" w:tplc="5436091C">
      <w:numFmt w:val="bullet"/>
      <w:lvlText w:val="•"/>
      <w:lvlJc w:val="left"/>
      <w:pPr>
        <w:ind w:left="2628" w:hanging="353"/>
      </w:pPr>
      <w:rPr>
        <w:rFonts w:hint="default"/>
        <w:lang w:val="en-US" w:eastAsia="en-US" w:bidi="ar-SA"/>
      </w:rPr>
    </w:lvl>
    <w:lvl w:ilvl="3" w:tplc="F2B48C1C">
      <w:numFmt w:val="bullet"/>
      <w:lvlText w:val="•"/>
      <w:lvlJc w:val="left"/>
      <w:pPr>
        <w:ind w:left="3502" w:hanging="353"/>
      </w:pPr>
      <w:rPr>
        <w:rFonts w:hint="default"/>
        <w:lang w:val="en-US" w:eastAsia="en-US" w:bidi="ar-SA"/>
      </w:rPr>
    </w:lvl>
    <w:lvl w:ilvl="4" w:tplc="B680F314">
      <w:numFmt w:val="bullet"/>
      <w:lvlText w:val="•"/>
      <w:lvlJc w:val="left"/>
      <w:pPr>
        <w:ind w:left="4376" w:hanging="353"/>
      </w:pPr>
      <w:rPr>
        <w:rFonts w:hint="default"/>
        <w:lang w:val="en-US" w:eastAsia="en-US" w:bidi="ar-SA"/>
      </w:rPr>
    </w:lvl>
    <w:lvl w:ilvl="5" w:tplc="E07A6AE6">
      <w:numFmt w:val="bullet"/>
      <w:lvlText w:val="•"/>
      <w:lvlJc w:val="left"/>
      <w:pPr>
        <w:ind w:left="5250" w:hanging="353"/>
      </w:pPr>
      <w:rPr>
        <w:rFonts w:hint="default"/>
        <w:lang w:val="en-US" w:eastAsia="en-US" w:bidi="ar-SA"/>
      </w:rPr>
    </w:lvl>
    <w:lvl w:ilvl="6" w:tplc="934EC07A">
      <w:numFmt w:val="bullet"/>
      <w:lvlText w:val="•"/>
      <w:lvlJc w:val="left"/>
      <w:pPr>
        <w:ind w:left="6124" w:hanging="353"/>
      </w:pPr>
      <w:rPr>
        <w:rFonts w:hint="default"/>
        <w:lang w:val="en-US" w:eastAsia="en-US" w:bidi="ar-SA"/>
      </w:rPr>
    </w:lvl>
    <w:lvl w:ilvl="7" w:tplc="C1320BF4">
      <w:numFmt w:val="bullet"/>
      <w:lvlText w:val="•"/>
      <w:lvlJc w:val="left"/>
      <w:pPr>
        <w:ind w:left="6998" w:hanging="353"/>
      </w:pPr>
      <w:rPr>
        <w:rFonts w:hint="default"/>
        <w:lang w:val="en-US" w:eastAsia="en-US" w:bidi="ar-SA"/>
      </w:rPr>
    </w:lvl>
    <w:lvl w:ilvl="8" w:tplc="E1202D94">
      <w:numFmt w:val="bullet"/>
      <w:lvlText w:val="•"/>
      <w:lvlJc w:val="left"/>
      <w:pPr>
        <w:ind w:left="7872" w:hanging="353"/>
      </w:pPr>
      <w:rPr>
        <w:rFonts w:hint="default"/>
        <w:lang w:val="en-US" w:eastAsia="en-US" w:bidi="ar-SA"/>
      </w:rPr>
    </w:lvl>
  </w:abstractNum>
  <w:abstractNum w:abstractNumId="3" w15:restartNumberingAfterBreak="0">
    <w:nsid w:val="359F4839"/>
    <w:multiLevelType w:val="hybridMultilevel"/>
    <w:tmpl w:val="FC90E142"/>
    <w:lvl w:ilvl="0" w:tplc="44723086">
      <w:start w:val="1"/>
      <w:numFmt w:val="decimal"/>
      <w:lvlText w:val="%1."/>
      <w:lvlJc w:val="left"/>
      <w:pPr>
        <w:ind w:left="748" w:hanging="356"/>
      </w:pPr>
      <w:rPr>
        <w:rFonts w:hint="default"/>
        <w:spacing w:val="-1"/>
        <w:w w:val="104"/>
        <w:lang w:val="en-US" w:eastAsia="en-US" w:bidi="ar-SA"/>
      </w:rPr>
    </w:lvl>
    <w:lvl w:ilvl="1" w:tplc="D1F66D9C">
      <w:start w:val="1"/>
      <w:numFmt w:val="lowerLetter"/>
      <w:lvlText w:val="%2."/>
      <w:lvlJc w:val="left"/>
      <w:pPr>
        <w:ind w:left="1170" w:hanging="357"/>
      </w:pPr>
      <w:rPr>
        <w:rFonts w:hint="default"/>
        <w:spacing w:val="-1"/>
        <w:w w:val="109"/>
        <w:lang w:val="en-US" w:eastAsia="en-US" w:bidi="ar-SA"/>
      </w:rPr>
    </w:lvl>
    <w:lvl w:ilvl="2" w:tplc="9002493A">
      <w:numFmt w:val="bullet"/>
      <w:lvlText w:val="•"/>
      <w:lvlJc w:val="left"/>
      <w:pPr>
        <w:ind w:left="2117" w:hanging="357"/>
      </w:pPr>
      <w:rPr>
        <w:rFonts w:hint="default"/>
        <w:lang w:val="en-US" w:eastAsia="en-US" w:bidi="ar-SA"/>
      </w:rPr>
    </w:lvl>
    <w:lvl w:ilvl="3" w:tplc="B9F6B42A">
      <w:numFmt w:val="bullet"/>
      <w:lvlText w:val="•"/>
      <w:lvlJc w:val="left"/>
      <w:pPr>
        <w:ind w:left="3055" w:hanging="357"/>
      </w:pPr>
      <w:rPr>
        <w:rFonts w:hint="default"/>
        <w:lang w:val="en-US" w:eastAsia="en-US" w:bidi="ar-SA"/>
      </w:rPr>
    </w:lvl>
    <w:lvl w:ilvl="4" w:tplc="38323E6E">
      <w:numFmt w:val="bullet"/>
      <w:lvlText w:val="•"/>
      <w:lvlJc w:val="left"/>
      <w:pPr>
        <w:ind w:left="3993" w:hanging="357"/>
      </w:pPr>
      <w:rPr>
        <w:rFonts w:hint="default"/>
        <w:lang w:val="en-US" w:eastAsia="en-US" w:bidi="ar-SA"/>
      </w:rPr>
    </w:lvl>
    <w:lvl w:ilvl="5" w:tplc="8ED2BAEE">
      <w:numFmt w:val="bullet"/>
      <w:lvlText w:val="•"/>
      <w:lvlJc w:val="left"/>
      <w:pPr>
        <w:ind w:left="4931" w:hanging="357"/>
      </w:pPr>
      <w:rPr>
        <w:rFonts w:hint="default"/>
        <w:lang w:val="en-US" w:eastAsia="en-US" w:bidi="ar-SA"/>
      </w:rPr>
    </w:lvl>
    <w:lvl w:ilvl="6" w:tplc="B7163A0A">
      <w:numFmt w:val="bullet"/>
      <w:lvlText w:val="•"/>
      <w:lvlJc w:val="left"/>
      <w:pPr>
        <w:ind w:left="5868" w:hanging="357"/>
      </w:pPr>
      <w:rPr>
        <w:rFonts w:hint="default"/>
        <w:lang w:val="en-US" w:eastAsia="en-US" w:bidi="ar-SA"/>
      </w:rPr>
    </w:lvl>
    <w:lvl w:ilvl="7" w:tplc="E75423FC">
      <w:numFmt w:val="bullet"/>
      <w:lvlText w:val="•"/>
      <w:lvlJc w:val="left"/>
      <w:pPr>
        <w:ind w:left="6806" w:hanging="357"/>
      </w:pPr>
      <w:rPr>
        <w:rFonts w:hint="default"/>
        <w:lang w:val="en-US" w:eastAsia="en-US" w:bidi="ar-SA"/>
      </w:rPr>
    </w:lvl>
    <w:lvl w:ilvl="8" w:tplc="F3C454EA">
      <w:numFmt w:val="bullet"/>
      <w:lvlText w:val="•"/>
      <w:lvlJc w:val="left"/>
      <w:pPr>
        <w:ind w:left="7744" w:hanging="357"/>
      </w:pPr>
      <w:rPr>
        <w:rFonts w:hint="default"/>
        <w:lang w:val="en-US" w:eastAsia="en-US" w:bidi="ar-SA"/>
      </w:rPr>
    </w:lvl>
  </w:abstractNum>
  <w:abstractNum w:abstractNumId="4" w15:restartNumberingAfterBreak="0">
    <w:nsid w:val="40E6739B"/>
    <w:multiLevelType w:val="hybridMultilevel"/>
    <w:tmpl w:val="A42E1B90"/>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3CC210E"/>
    <w:multiLevelType w:val="hybridMultilevel"/>
    <w:tmpl w:val="A0D4654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587693439">
    <w:abstractNumId w:val="3"/>
  </w:num>
  <w:num w:numId="2" w16cid:durableId="1139155370">
    <w:abstractNumId w:val="4"/>
  </w:num>
  <w:num w:numId="3" w16cid:durableId="2019695226">
    <w:abstractNumId w:val="5"/>
  </w:num>
  <w:num w:numId="4" w16cid:durableId="1679579336">
    <w:abstractNumId w:val="1"/>
  </w:num>
  <w:num w:numId="5" w16cid:durableId="1840540380">
    <w:abstractNumId w:val="2"/>
  </w:num>
  <w:num w:numId="6" w16cid:durableId="638803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documentProtection w:edit="readOnly" w:enforcement="1" w:cryptProviderType="rsaAES" w:cryptAlgorithmClass="hash" w:cryptAlgorithmType="typeAny" w:cryptAlgorithmSid="14" w:cryptSpinCount="100000" w:hash="pLfxJ4TMjVfksd1JSSqfHWKA+MQroPV3cYT3jeErW2LPpq1bCj5heFQGkXawLmiFqBU6TYHfidkMhtsFMJBFUw==" w:salt="KoFm+bG85brjbHE1aNfi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FD"/>
    <w:rsid w:val="000B0FFD"/>
    <w:rsid w:val="00107901"/>
    <w:rsid w:val="001105D9"/>
    <w:rsid w:val="0016071B"/>
    <w:rsid w:val="002B6ABC"/>
    <w:rsid w:val="002E236A"/>
    <w:rsid w:val="00366739"/>
    <w:rsid w:val="00382375"/>
    <w:rsid w:val="00382AA8"/>
    <w:rsid w:val="003B62AD"/>
    <w:rsid w:val="00491611"/>
    <w:rsid w:val="005C7962"/>
    <w:rsid w:val="007A2DD3"/>
    <w:rsid w:val="0083494B"/>
    <w:rsid w:val="008826FB"/>
    <w:rsid w:val="0094765E"/>
    <w:rsid w:val="009B382C"/>
    <w:rsid w:val="00A464C0"/>
    <w:rsid w:val="00A936CA"/>
    <w:rsid w:val="00A93705"/>
    <w:rsid w:val="00AC60DA"/>
    <w:rsid w:val="00AD7469"/>
    <w:rsid w:val="00AF1997"/>
    <w:rsid w:val="00BB5015"/>
    <w:rsid w:val="00BF59A1"/>
    <w:rsid w:val="00C33821"/>
    <w:rsid w:val="00C852B3"/>
    <w:rsid w:val="00CA03CB"/>
    <w:rsid w:val="00CE385D"/>
    <w:rsid w:val="00D5415B"/>
    <w:rsid w:val="00D65BAF"/>
    <w:rsid w:val="00D65F4E"/>
    <w:rsid w:val="00DD545F"/>
    <w:rsid w:val="00E17BFC"/>
    <w:rsid w:val="00E56ADE"/>
    <w:rsid w:val="00F13E6A"/>
    <w:rsid w:val="00F87870"/>
    <w:rsid w:val="00FA1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8528"/>
  <w15:chartTrackingRefBased/>
  <w15:docId w15:val="{51BED401-715B-414E-9926-2852D248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39"/>
  </w:style>
  <w:style w:type="paragraph" w:styleId="Heading1">
    <w:name w:val="heading 1"/>
    <w:basedOn w:val="Normal"/>
    <w:next w:val="Normal"/>
    <w:link w:val="Heading1Char"/>
    <w:uiPriority w:val="9"/>
    <w:qFormat/>
    <w:rsid w:val="00A936CA"/>
    <w:pPr>
      <w:keepNext/>
      <w:keepLines/>
      <w:spacing w:before="360" w:after="80"/>
      <w:outlineLvl w:val="0"/>
    </w:pPr>
    <w:rPr>
      <w:rFonts w:ascii="Arial" w:eastAsiaTheme="majorEastAsia" w:hAnsi="Arial" w:cs="Arial"/>
      <w:sz w:val="32"/>
      <w:szCs w:val="32"/>
    </w:rPr>
  </w:style>
  <w:style w:type="paragraph" w:styleId="Heading2">
    <w:name w:val="heading 2"/>
    <w:basedOn w:val="Normal"/>
    <w:next w:val="Normal"/>
    <w:link w:val="Heading2Char"/>
    <w:uiPriority w:val="9"/>
    <w:semiHidden/>
    <w:unhideWhenUsed/>
    <w:qFormat/>
    <w:rsid w:val="005C7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6CA"/>
    <w:rPr>
      <w:rFonts w:ascii="Arial" w:eastAsiaTheme="majorEastAsia" w:hAnsi="Arial" w:cs="Arial"/>
      <w:sz w:val="32"/>
      <w:szCs w:val="32"/>
    </w:rPr>
  </w:style>
  <w:style w:type="character" w:customStyle="1" w:styleId="Heading2Char">
    <w:name w:val="Heading 2 Char"/>
    <w:basedOn w:val="DefaultParagraphFont"/>
    <w:link w:val="Heading2"/>
    <w:uiPriority w:val="9"/>
    <w:semiHidden/>
    <w:rsid w:val="005C7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962"/>
    <w:rPr>
      <w:rFonts w:eastAsiaTheme="majorEastAsia" w:cstheme="majorBidi"/>
      <w:color w:val="272727" w:themeColor="text1" w:themeTint="D8"/>
    </w:rPr>
  </w:style>
  <w:style w:type="paragraph" w:styleId="Title">
    <w:name w:val="Title"/>
    <w:basedOn w:val="Normal"/>
    <w:next w:val="Normal"/>
    <w:link w:val="TitleChar"/>
    <w:uiPriority w:val="10"/>
    <w:qFormat/>
    <w:rsid w:val="005C7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962"/>
    <w:pPr>
      <w:spacing w:before="160"/>
      <w:jc w:val="center"/>
    </w:pPr>
    <w:rPr>
      <w:i/>
      <w:iCs/>
      <w:color w:val="404040" w:themeColor="text1" w:themeTint="BF"/>
    </w:rPr>
  </w:style>
  <w:style w:type="character" w:customStyle="1" w:styleId="QuoteChar">
    <w:name w:val="Quote Char"/>
    <w:basedOn w:val="DefaultParagraphFont"/>
    <w:link w:val="Quote"/>
    <w:uiPriority w:val="29"/>
    <w:rsid w:val="005C7962"/>
    <w:rPr>
      <w:i/>
      <w:iCs/>
      <w:color w:val="404040" w:themeColor="text1" w:themeTint="BF"/>
    </w:rPr>
  </w:style>
  <w:style w:type="paragraph" w:styleId="ListParagraph">
    <w:name w:val="List Paragraph"/>
    <w:basedOn w:val="Normal"/>
    <w:link w:val="ListParagraphChar"/>
    <w:uiPriority w:val="1"/>
    <w:qFormat/>
    <w:rsid w:val="005C7962"/>
    <w:pPr>
      <w:ind w:left="720"/>
      <w:contextualSpacing/>
    </w:pPr>
  </w:style>
  <w:style w:type="character" w:styleId="IntenseEmphasis">
    <w:name w:val="Intense Emphasis"/>
    <w:basedOn w:val="DefaultParagraphFont"/>
    <w:uiPriority w:val="21"/>
    <w:qFormat/>
    <w:rsid w:val="005C7962"/>
    <w:rPr>
      <w:i/>
      <w:iCs/>
      <w:color w:val="0F4761" w:themeColor="accent1" w:themeShade="BF"/>
    </w:rPr>
  </w:style>
  <w:style w:type="paragraph" w:styleId="IntenseQuote">
    <w:name w:val="Intense Quote"/>
    <w:basedOn w:val="Normal"/>
    <w:next w:val="Normal"/>
    <w:link w:val="IntenseQuoteChar"/>
    <w:uiPriority w:val="30"/>
    <w:qFormat/>
    <w:rsid w:val="005C7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962"/>
    <w:rPr>
      <w:i/>
      <w:iCs/>
      <w:color w:val="0F4761" w:themeColor="accent1" w:themeShade="BF"/>
    </w:rPr>
  </w:style>
  <w:style w:type="character" w:styleId="IntenseReference">
    <w:name w:val="Intense Reference"/>
    <w:basedOn w:val="DefaultParagraphFont"/>
    <w:uiPriority w:val="32"/>
    <w:qFormat/>
    <w:rsid w:val="005C7962"/>
    <w:rPr>
      <w:b/>
      <w:bCs/>
      <w:smallCaps/>
      <w:color w:val="0F4761" w:themeColor="accent1" w:themeShade="BF"/>
      <w:spacing w:val="5"/>
    </w:rPr>
  </w:style>
  <w:style w:type="paragraph" w:styleId="Header">
    <w:name w:val="header"/>
    <w:basedOn w:val="Normal"/>
    <w:link w:val="HeaderChar"/>
    <w:uiPriority w:val="99"/>
    <w:unhideWhenUsed/>
    <w:rsid w:val="005C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962"/>
  </w:style>
  <w:style w:type="paragraph" w:styleId="Footer">
    <w:name w:val="footer"/>
    <w:basedOn w:val="Normal"/>
    <w:link w:val="FooterChar"/>
    <w:uiPriority w:val="99"/>
    <w:unhideWhenUsed/>
    <w:rsid w:val="005C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962"/>
  </w:style>
  <w:style w:type="paragraph" w:styleId="BodyText">
    <w:name w:val="Body Text"/>
    <w:basedOn w:val="Normal"/>
    <w:link w:val="BodyTextChar"/>
    <w:uiPriority w:val="1"/>
    <w:qFormat/>
    <w:rsid w:val="005C7962"/>
    <w:pPr>
      <w:widowControl w:val="0"/>
      <w:autoSpaceDE w:val="0"/>
      <w:autoSpaceDN w:val="0"/>
      <w:spacing w:after="0" w:line="240" w:lineRule="auto"/>
    </w:pPr>
    <w:rPr>
      <w:rFonts w:ascii="Times New Roman" w:eastAsia="Times New Roman" w:hAnsi="Times New Roman" w:cs="Times New Roman"/>
      <w:kern w:val="0"/>
      <w:sz w:val="21"/>
      <w:szCs w:val="21"/>
      <w:lang w:val="en-US"/>
      <w14:ligatures w14:val="none"/>
    </w:rPr>
  </w:style>
  <w:style w:type="character" w:customStyle="1" w:styleId="BodyTextChar">
    <w:name w:val="Body Text Char"/>
    <w:basedOn w:val="DefaultParagraphFont"/>
    <w:link w:val="BodyText"/>
    <w:uiPriority w:val="1"/>
    <w:rsid w:val="005C7962"/>
    <w:rPr>
      <w:rFonts w:ascii="Times New Roman" w:eastAsia="Times New Roman" w:hAnsi="Times New Roman" w:cs="Times New Roman"/>
      <w:kern w:val="0"/>
      <w:sz w:val="21"/>
      <w:szCs w:val="21"/>
      <w:lang w:val="en-US"/>
      <w14:ligatures w14:val="none"/>
    </w:rPr>
  </w:style>
  <w:style w:type="table" w:styleId="TableGrid">
    <w:name w:val="Table Grid"/>
    <w:basedOn w:val="TableNormal"/>
    <w:uiPriority w:val="39"/>
    <w:rsid w:val="00CA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03CB"/>
    <w:pPr>
      <w:widowControl w:val="0"/>
      <w:autoSpaceDE w:val="0"/>
      <w:autoSpaceDN w:val="0"/>
      <w:spacing w:after="0" w:line="240" w:lineRule="auto"/>
      <w:ind w:left="111"/>
    </w:pPr>
    <w:rPr>
      <w:rFonts w:ascii="Arial" w:eastAsia="Arial" w:hAnsi="Arial" w:cs="Arial"/>
      <w:kern w:val="0"/>
      <w:sz w:val="22"/>
      <w:szCs w:val="22"/>
      <w:lang w:val="en-US"/>
      <w14:ligatures w14:val="none"/>
    </w:rPr>
  </w:style>
  <w:style w:type="paragraph" w:customStyle="1" w:styleId="TOR">
    <w:name w:val="TOR"/>
    <w:basedOn w:val="ListParagraph"/>
    <w:link w:val="TORChar"/>
    <w:qFormat/>
    <w:rsid w:val="00366739"/>
    <w:pPr>
      <w:widowControl w:val="0"/>
      <w:numPr>
        <w:numId w:val="4"/>
      </w:numPr>
      <w:tabs>
        <w:tab w:val="left" w:pos="743"/>
      </w:tabs>
      <w:autoSpaceDE w:val="0"/>
      <w:autoSpaceDN w:val="0"/>
      <w:spacing w:after="60" w:line="21" w:lineRule="atLeast"/>
      <w:ind w:right="493"/>
      <w:contextualSpacing w:val="0"/>
    </w:pPr>
    <w:rPr>
      <w:rFonts w:ascii="Arial" w:hAnsi="Arial" w:cs="Arial"/>
      <w:color w:val="156082" w:themeColor="accent1"/>
      <w:sz w:val="20"/>
      <w:szCs w:val="20"/>
    </w:rPr>
  </w:style>
  <w:style w:type="character" w:customStyle="1" w:styleId="ListParagraphChar">
    <w:name w:val="List Paragraph Char"/>
    <w:basedOn w:val="DefaultParagraphFont"/>
    <w:link w:val="ListParagraph"/>
    <w:uiPriority w:val="1"/>
    <w:rsid w:val="00366739"/>
  </w:style>
  <w:style w:type="character" w:customStyle="1" w:styleId="TORChar">
    <w:name w:val="TOR Char"/>
    <w:basedOn w:val="ListParagraphChar"/>
    <w:link w:val="TOR"/>
    <w:rsid w:val="00366739"/>
    <w:rPr>
      <w:rFonts w:ascii="Arial" w:hAnsi="Arial" w:cs="Arial"/>
      <w:color w:val="156082" w:themeColor="accent1"/>
      <w:sz w:val="20"/>
      <w:szCs w:val="20"/>
    </w:rPr>
  </w:style>
  <w:style w:type="paragraph" w:customStyle="1" w:styleId="Submitter">
    <w:name w:val="Submitter"/>
    <w:basedOn w:val="BodyText"/>
    <w:link w:val="SubmitterChar"/>
    <w:qFormat/>
    <w:rsid w:val="00366739"/>
    <w:pPr>
      <w:spacing w:before="120" w:after="120"/>
    </w:pPr>
    <w:rPr>
      <w:rFonts w:ascii="Arial" w:hAnsi="Arial" w:cs="Arial"/>
      <w:sz w:val="24"/>
      <w:szCs w:val="24"/>
    </w:rPr>
  </w:style>
  <w:style w:type="character" w:customStyle="1" w:styleId="SubmitterChar">
    <w:name w:val="Submitter Char"/>
    <w:basedOn w:val="BodyTextChar"/>
    <w:link w:val="Submitter"/>
    <w:rsid w:val="00366739"/>
    <w:rPr>
      <w:rFonts w:ascii="Arial" w:eastAsia="Times New Roman" w:hAnsi="Arial" w:cs="Arial"/>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JPR\HomeDirs1\vidnpea\Desktop\CoI%20Whittlesea%20-%20Template%20for%20Submis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CoI Whittlesea - Template for Submissions</Template>
  <TotalTime>1</TotalTime>
  <Pages>3</Pages>
  <Words>555</Words>
  <Characters>3169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X Hondros (DGS)</dc:creator>
  <cp:keywords/>
  <dc:description/>
  <cp:lastModifiedBy>Melanie X Hondros (DGS)</cp:lastModifiedBy>
  <cp:revision>1</cp:revision>
  <cp:lastPrinted>2025-06-02T01:27:00Z</cp:lastPrinted>
  <dcterms:created xsi:type="dcterms:W3CDTF">2025-06-10T00:35:00Z</dcterms:created>
  <dcterms:modified xsi:type="dcterms:W3CDTF">2025-06-10T00:36:00Z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2025-06-10T00:36:32Z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41ccc408-ca63-4c71-bc81-0292f976b463</vt:lpwstr>
  </property>
  <property fmtid="{D5CDD505-2E9C-101B-9397-08002B2CF9AE}" pid="8" name="MSIP_Label_7158ebbd-6c5e-441f-bfc9-4eb8c11e3978_ContentBits">
    <vt:lpwstr>2</vt:lpwstr>
  </property>
  <property fmtid="{D5CDD505-2E9C-101B-9397-08002B2CF9AE}" pid="9" name="MSIP_Label_7158ebbd-6c5e-441f-bfc9-4eb8c11e3978_Tag">
    <vt:lpwstr>10, 0, 1, 1</vt:lpwstr>
  </property>
</Properties>
</file>