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86" w:rsidRPr="00084706" w:rsidRDefault="007F6D86" w:rsidP="007F6D86">
      <w:pPr>
        <w:pStyle w:val="Subtitle"/>
        <w:rPr>
          <w:rFonts w:cs="Arial"/>
        </w:rPr>
      </w:pPr>
    </w:p>
    <w:p w:rsidR="007F6D86" w:rsidRPr="00084706" w:rsidRDefault="00EF1918" w:rsidP="007F6D86">
      <w:pPr>
        <w:pStyle w:val="Subtitle"/>
        <w:rPr>
          <w:rFonts w:cs="Arial"/>
        </w:rPr>
      </w:pPr>
      <w:r>
        <w:rPr>
          <w:rFonts w:cs="Arial"/>
          <w:noProof/>
          <w:snapToGrid/>
        </w:rPr>
        <mc:AlternateContent>
          <mc:Choice Requires="wps">
            <w:drawing>
              <wp:anchor distT="0" distB="0" distL="114300" distR="114300" simplePos="0" relativeHeight="251658240" behindDoc="1" locked="1" layoutInCell="1" allowOverlap="1">
                <wp:simplePos x="0" y="0"/>
                <wp:positionH relativeFrom="page">
                  <wp:posOffset>495300</wp:posOffset>
                </wp:positionH>
                <wp:positionV relativeFrom="page">
                  <wp:posOffset>1343025</wp:posOffset>
                </wp:positionV>
                <wp:extent cx="6590665" cy="1343025"/>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1343025"/>
                        </a:xfrm>
                        <a:prstGeom prst="roundRect">
                          <a:avLst>
                            <a:gd name="adj" fmla="val 16667"/>
                          </a:avLst>
                        </a:pr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9pt;margin-top:105.75pt;width:518.95pt;height:10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" fillcolor="#b6dde8" stroked="f">
                <w10:wrap anchorx="page" anchory="page"/>
                <w10:anchorlock/>
              </v:roundrect>
            </w:pict>
          </mc:Fallback>
        </mc:AlternateContent>
      </w:r>
    </w:p>
    <w:p w:rsidR="00EA36AC" w:rsidRDefault="00EA36AC" w:rsidP="001A2811">
      <w:pPr>
        <w:numPr>
          <w:ilvl w:val="12"/>
          <w:numId w:val="0"/>
        </w:numPr>
        <w:jc w:val="center"/>
        <w:rPr>
          <w:rFonts w:ascii="Arial" w:hAnsi="Arial" w:cs="Arial"/>
          <w:b/>
        </w:rPr>
      </w:pPr>
    </w:p>
    <w:p w:rsidR="001A2811" w:rsidRPr="00AA3C44" w:rsidRDefault="001A2811" w:rsidP="001A2811">
      <w:pPr>
        <w:numPr>
          <w:ilvl w:val="12"/>
          <w:numId w:val="0"/>
        </w:numPr>
        <w:jc w:val="center"/>
        <w:rPr>
          <w:rFonts w:ascii="Arial" w:hAnsi="Arial" w:cs="Arial"/>
          <w:b/>
        </w:rPr>
      </w:pPr>
      <w:bookmarkStart w:id="0" w:name="_GoBack"/>
      <w:bookmarkEnd w:id="0"/>
      <w:r>
        <w:rPr>
          <w:rFonts w:ascii="Arial" w:hAnsi="Arial" w:cs="Arial"/>
          <w:b/>
        </w:rPr>
        <w:t>Tender Evaluation Plan</w:t>
      </w:r>
    </w:p>
    <w:p w:rsidR="007F6D86" w:rsidRPr="00084706" w:rsidRDefault="00EF1918" w:rsidP="00993C82">
      <w:pPr>
        <w:jc w:val="center"/>
        <w:rPr>
          <w:rFonts w:cs="Arial"/>
          <w:sz w:val="36"/>
          <w:szCs w:val="36"/>
        </w:rPr>
      </w:pPr>
      <w:r>
        <w:rPr>
          <w:rFonts w:ascii="Arial" w:hAnsi="Arial" w:cs="Arial"/>
          <w:b/>
          <w:noProof/>
          <w:szCs w:val="24"/>
        </w:rPr>
        <mc:AlternateContent>
          <mc:Choice Requires="wps">
            <w:drawing>
              <wp:anchor distT="0" distB="0" distL="114300" distR="114300" simplePos="0" relativeHeight="251660288" behindDoc="1" locked="1" layoutInCell="1" allowOverlap="1" wp14:anchorId="49DE19B5" wp14:editId="688D0F31">
                <wp:simplePos x="0" y="0"/>
                <wp:positionH relativeFrom="page">
                  <wp:posOffset>476250</wp:posOffset>
                </wp:positionH>
                <wp:positionV relativeFrom="page">
                  <wp:posOffset>1343025</wp:posOffset>
                </wp:positionV>
                <wp:extent cx="6590665" cy="1409700"/>
                <wp:effectExtent l="0" t="0" r="63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1409700"/>
                        </a:xfrm>
                        <a:prstGeom prst="roundRect">
                          <a:avLst>
                            <a:gd name="adj" fmla="val 16667"/>
                          </a:avLst>
                        </a:pr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7.5pt;margin-top:105.75pt;width:518.95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" fillcolor="#b6dde8" stroked="f">
                <w10:wrap anchorx="page" anchory="page"/>
                <w10:anchorlock/>
              </v:roundrect>
            </w:pict>
          </mc:Fallback>
        </mc:AlternateContent>
      </w:r>
    </w:p>
    <w:p w:rsidR="007F6D86" w:rsidRPr="00084706" w:rsidRDefault="007F6D86" w:rsidP="007F6D86">
      <w:pPr>
        <w:pStyle w:val="Subtitle"/>
        <w:rPr>
          <w:rFonts w:cs="Arial"/>
        </w:rPr>
      </w:pPr>
    </w:p>
    <w:p w:rsidR="001A2811" w:rsidRPr="007525E6" w:rsidRDefault="001A2811" w:rsidP="001A2811">
      <w:pPr>
        <w:tabs>
          <w:tab w:val="left" w:pos="2985"/>
          <w:tab w:val="right" w:leader="dot" w:pos="9214"/>
        </w:tabs>
        <w:rPr>
          <w:rFonts w:ascii="Arial" w:hAnsi="Arial" w:cs="Arial"/>
          <w:b/>
        </w:rPr>
      </w:pPr>
      <w:r w:rsidRPr="007525E6">
        <w:rPr>
          <w:rFonts w:ascii="Arial" w:hAnsi="Arial" w:cs="Arial"/>
          <w:b/>
        </w:rPr>
        <w:t xml:space="preserve">When to develop a </w:t>
      </w:r>
      <w:r>
        <w:rPr>
          <w:rFonts w:ascii="Arial" w:hAnsi="Arial" w:cs="Arial"/>
          <w:b/>
        </w:rPr>
        <w:t>Tender Evaluation</w:t>
      </w:r>
      <w:r w:rsidRPr="007525E6">
        <w:rPr>
          <w:rFonts w:ascii="Arial" w:hAnsi="Arial" w:cs="Arial"/>
          <w:b/>
        </w:rPr>
        <w:t xml:space="preserve"> Plan: </w:t>
      </w:r>
    </w:p>
    <w:p w:rsidR="007F6D86" w:rsidRPr="001A2811" w:rsidRDefault="001A2811" w:rsidP="001A2811">
      <w:pPr>
        <w:pStyle w:val="Subtitle"/>
        <w:jc w:val="left"/>
        <w:rPr>
          <w:rFonts w:cs="Arial"/>
          <w:b w:val="0"/>
          <w:sz w:val="22"/>
          <w:szCs w:val="22"/>
        </w:rPr>
      </w:pPr>
      <w:r>
        <w:rPr>
          <w:rFonts w:cs="Arial"/>
          <w:b w:val="0"/>
          <w:sz w:val="22"/>
          <w:szCs w:val="22"/>
        </w:rPr>
        <w:t xml:space="preserve">A Tender Evaluation Plan should be prepared after every tender evaluation. </w:t>
      </w:r>
    </w:p>
    <w:p w:rsidR="007F6D86" w:rsidRPr="00084706" w:rsidRDefault="007F6D86" w:rsidP="007F6D86">
      <w:pPr>
        <w:pStyle w:val="Subtitle"/>
        <w:rPr>
          <w:rFonts w:cs="Arial"/>
        </w:rPr>
      </w:pPr>
    </w:p>
    <w:p w:rsidR="003D51F9" w:rsidRPr="00084706" w:rsidRDefault="003D51F9">
      <w:pPr>
        <w:rPr>
          <w:rFonts w:ascii="Arial" w:hAnsi="Arial" w:cs="Arial"/>
          <w:b/>
        </w:rPr>
      </w:pPr>
      <w:r w:rsidRPr="00084706">
        <w:rPr>
          <w:rFonts w:ascii="Arial" w:hAnsi="Arial" w:cs="Arial"/>
          <w:b/>
        </w:rPr>
        <w:t>Background</w:t>
      </w:r>
    </w:p>
    <w:p w:rsidR="006760F8" w:rsidRDefault="006760F8" w:rsidP="006760F8">
      <w:pPr>
        <w:jc w:val="both"/>
        <w:rPr>
          <w:rFonts w:ascii="Arial" w:hAnsi="Arial" w:cs="Arial"/>
          <w:b/>
          <w:color w:val="FF0000"/>
        </w:rPr>
      </w:pPr>
      <w:r w:rsidRPr="006941B8">
        <w:rPr>
          <w:rFonts w:ascii="Arial" w:hAnsi="Arial" w:cs="Arial"/>
          <w:b/>
          <w:color w:val="FF0000"/>
        </w:rPr>
        <w:t xml:space="preserve">Give a short overview on the background of this procurement. </w:t>
      </w:r>
    </w:p>
    <w:p w:rsidR="006760F8" w:rsidRDefault="006760F8" w:rsidP="006760F8">
      <w:pPr>
        <w:jc w:val="both"/>
        <w:rPr>
          <w:rFonts w:ascii="Arial" w:hAnsi="Arial" w:cs="Arial"/>
          <w:b/>
          <w:color w:val="FF0000"/>
        </w:rPr>
      </w:pPr>
      <w:r>
        <w:rPr>
          <w:rFonts w:ascii="Arial" w:hAnsi="Arial" w:cs="Arial"/>
          <w:b/>
          <w:color w:val="FF0000"/>
        </w:rPr>
        <w:t>EXAMPLE:</w:t>
      </w:r>
    </w:p>
    <w:p w:rsidR="006760F8" w:rsidRPr="00BE16E5" w:rsidRDefault="006760F8" w:rsidP="006760F8">
      <w:pPr>
        <w:jc w:val="both"/>
        <w:rPr>
          <w:rFonts w:ascii="Arial" w:hAnsi="Arial" w:cs="Arial"/>
        </w:rPr>
      </w:pPr>
      <w:r>
        <w:rPr>
          <w:rFonts w:ascii="Arial" w:hAnsi="Arial" w:cs="Arial"/>
        </w:rPr>
        <w:t xml:space="preserve">What is being procured? </w:t>
      </w:r>
      <w:r w:rsidRPr="00BE16E5">
        <w:rPr>
          <w:rFonts w:ascii="Arial" w:hAnsi="Arial" w:cs="Arial"/>
        </w:rPr>
        <w:t xml:space="preserve">Does a current contract exist? When does it expire, etc </w:t>
      </w:r>
    </w:p>
    <w:p w:rsidR="003D51F9" w:rsidRPr="00084706" w:rsidRDefault="003D51F9" w:rsidP="00084706">
      <w:pPr>
        <w:spacing w:before="240"/>
        <w:rPr>
          <w:rFonts w:ascii="Arial" w:hAnsi="Arial" w:cs="Arial"/>
          <w:b/>
        </w:rPr>
      </w:pPr>
      <w:r w:rsidRPr="00084706">
        <w:rPr>
          <w:rFonts w:ascii="Arial" w:hAnsi="Arial" w:cs="Arial"/>
          <w:b/>
        </w:rPr>
        <w:t>Tender Evaluation Panel</w:t>
      </w:r>
    </w:p>
    <w:p w:rsidR="00552709" w:rsidRDefault="00552709" w:rsidP="00552709">
      <w:pPr>
        <w:rPr>
          <w:rFonts w:ascii="Arial" w:hAnsi="Arial" w:cs="Arial"/>
          <w:b/>
          <w:color w:val="FF0000"/>
        </w:rPr>
      </w:pPr>
      <w:r>
        <w:rPr>
          <w:rFonts w:ascii="Arial" w:hAnsi="Arial" w:cs="Arial"/>
          <w:b/>
          <w:color w:val="FF0000"/>
        </w:rPr>
        <w:t xml:space="preserve">List the tender evaluation panel members. </w:t>
      </w:r>
    </w:p>
    <w:p w:rsidR="00552709" w:rsidRPr="00AA3C44" w:rsidRDefault="00552709" w:rsidP="00552709">
      <w:pPr>
        <w:rPr>
          <w:rFonts w:ascii="Arial" w:hAnsi="Arial" w:cs="Arial"/>
        </w:rPr>
      </w:pPr>
      <w:r w:rsidRPr="006941B8">
        <w:rPr>
          <w:rFonts w:ascii="Arial" w:hAnsi="Arial" w:cs="Arial"/>
          <w:b/>
          <w:color w:val="FF0000"/>
        </w:rPr>
        <w:t>EXAMPLE</w:t>
      </w:r>
      <w:r>
        <w:rPr>
          <w:rFonts w:ascii="Arial" w:hAnsi="Arial" w:cs="Arial"/>
        </w:rPr>
        <w:t>:</w:t>
      </w:r>
    </w:p>
    <w:tbl>
      <w:tblPr>
        <w:tblStyle w:val="TableGrid"/>
        <w:tblW w:w="0" w:type="auto"/>
        <w:tblLayout w:type="fixed"/>
        <w:tblLook w:val="04A0" w:firstRow="1" w:lastRow="0" w:firstColumn="1" w:lastColumn="0" w:noHBand="0" w:noVBand="1"/>
      </w:tblPr>
      <w:tblGrid>
        <w:gridCol w:w="4705"/>
        <w:gridCol w:w="4706"/>
      </w:tblGrid>
      <w:tr w:rsidR="00552709" w:rsidRPr="00AA3C44" w:rsidTr="00670ECA">
        <w:tc>
          <w:tcPr>
            <w:tcW w:w="4705" w:type="dxa"/>
          </w:tcPr>
          <w:p w:rsidR="00552709" w:rsidRPr="00AA3C44" w:rsidRDefault="00552709" w:rsidP="00670ECA">
            <w:pPr>
              <w:rPr>
                <w:rFonts w:ascii="Arial" w:hAnsi="Arial" w:cs="Arial"/>
                <w:b/>
              </w:rPr>
            </w:pPr>
          </w:p>
          <w:p w:rsidR="00552709" w:rsidRPr="00AA3C44" w:rsidRDefault="00552709" w:rsidP="00670ECA">
            <w:pPr>
              <w:rPr>
                <w:rFonts w:ascii="Arial" w:hAnsi="Arial" w:cs="Arial"/>
                <w:b/>
              </w:rPr>
            </w:pPr>
            <w:r w:rsidRPr="00AA3C44">
              <w:rPr>
                <w:rFonts w:ascii="Arial" w:hAnsi="Arial" w:cs="Arial"/>
                <w:b/>
              </w:rPr>
              <w:t>Name</w:t>
            </w:r>
          </w:p>
        </w:tc>
        <w:tc>
          <w:tcPr>
            <w:tcW w:w="4706" w:type="dxa"/>
          </w:tcPr>
          <w:p w:rsidR="00552709" w:rsidRPr="00AA3C44" w:rsidRDefault="00552709" w:rsidP="00670ECA">
            <w:pPr>
              <w:rPr>
                <w:rFonts w:ascii="Arial" w:hAnsi="Arial" w:cs="Arial"/>
                <w:b/>
              </w:rPr>
            </w:pPr>
          </w:p>
          <w:p w:rsidR="00552709" w:rsidRPr="00AA3C44" w:rsidRDefault="00552709" w:rsidP="00670ECA">
            <w:pPr>
              <w:rPr>
                <w:rFonts w:ascii="Arial" w:hAnsi="Arial" w:cs="Arial"/>
                <w:b/>
              </w:rPr>
            </w:pPr>
            <w:r w:rsidRPr="00AA3C44">
              <w:rPr>
                <w:rFonts w:ascii="Arial" w:hAnsi="Arial" w:cs="Arial"/>
                <w:b/>
              </w:rPr>
              <w:t>Position</w:t>
            </w:r>
          </w:p>
          <w:p w:rsidR="00552709" w:rsidRPr="00AA3C44" w:rsidRDefault="00552709" w:rsidP="00670ECA">
            <w:pPr>
              <w:rPr>
                <w:rFonts w:ascii="Arial" w:hAnsi="Arial" w:cs="Arial"/>
                <w:b/>
              </w:rPr>
            </w:pPr>
          </w:p>
        </w:tc>
      </w:tr>
      <w:tr w:rsidR="00552709" w:rsidRPr="00AA3C44" w:rsidTr="00670ECA">
        <w:tc>
          <w:tcPr>
            <w:tcW w:w="4705" w:type="dxa"/>
          </w:tcPr>
          <w:p w:rsidR="00552709" w:rsidRPr="00AA3C44" w:rsidRDefault="00552709" w:rsidP="00670ECA">
            <w:pPr>
              <w:pStyle w:val="ListParagraph"/>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pStyle w:val="ListParagraph"/>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pStyle w:val="ListParagraph"/>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pStyle w:val="ListParagraph"/>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pStyle w:val="ListParagraph"/>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jc w:val="both"/>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rPr>
                <w:rFonts w:ascii="Arial" w:hAnsi="Arial" w:cs="Arial"/>
              </w:rPr>
            </w:pPr>
          </w:p>
        </w:tc>
        <w:tc>
          <w:tcPr>
            <w:tcW w:w="4706" w:type="dxa"/>
          </w:tcPr>
          <w:p w:rsidR="00552709" w:rsidRPr="00AA3C44" w:rsidRDefault="00552709" w:rsidP="00670ECA">
            <w:pPr>
              <w:rPr>
                <w:rFonts w:ascii="Arial" w:hAnsi="Arial" w:cs="Arial"/>
              </w:rPr>
            </w:pPr>
          </w:p>
        </w:tc>
      </w:tr>
      <w:tr w:rsidR="00552709" w:rsidRPr="00AA3C44" w:rsidTr="00670ECA">
        <w:tc>
          <w:tcPr>
            <w:tcW w:w="4705" w:type="dxa"/>
          </w:tcPr>
          <w:p w:rsidR="00552709" w:rsidRPr="00AA3C44" w:rsidRDefault="00552709" w:rsidP="00670ECA">
            <w:pPr>
              <w:jc w:val="both"/>
              <w:rPr>
                <w:rFonts w:ascii="Arial" w:hAnsi="Arial" w:cs="Arial"/>
              </w:rPr>
            </w:pPr>
          </w:p>
        </w:tc>
        <w:tc>
          <w:tcPr>
            <w:tcW w:w="4706" w:type="dxa"/>
          </w:tcPr>
          <w:p w:rsidR="00552709" w:rsidRPr="00AA3C44" w:rsidRDefault="00552709" w:rsidP="00670ECA">
            <w:pPr>
              <w:rPr>
                <w:rFonts w:ascii="Arial" w:hAnsi="Arial" w:cs="Arial"/>
              </w:rPr>
            </w:pPr>
          </w:p>
        </w:tc>
      </w:tr>
    </w:tbl>
    <w:p w:rsidR="00552709" w:rsidRPr="003E28A1" w:rsidRDefault="00552709" w:rsidP="00552709">
      <w:pPr>
        <w:jc w:val="both"/>
        <w:rPr>
          <w:rFonts w:ascii="Arial" w:hAnsi="Arial" w:cs="Arial"/>
        </w:rPr>
      </w:pPr>
      <w:r w:rsidRPr="003E28A1">
        <w:rPr>
          <w:rFonts w:ascii="Arial" w:hAnsi="Arial" w:cs="Arial"/>
        </w:rPr>
        <w:t>All team members will be required to submit the following:</w:t>
      </w:r>
    </w:p>
    <w:p w:rsidR="00552709" w:rsidRPr="003E28A1" w:rsidRDefault="00552709" w:rsidP="00552709">
      <w:pPr>
        <w:pStyle w:val="ListParagraph"/>
        <w:numPr>
          <w:ilvl w:val="0"/>
          <w:numId w:val="9"/>
        </w:numPr>
        <w:spacing w:after="0" w:line="240" w:lineRule="auto"/>
        <w:jc w:val="both"/>
        <w:rPr>
          <w:rFonts w:ascii="Arial" w:hAnsi="Arial" w:cs="Arial"/>
        </w:rPr>
      </w:pPr>
      <w:r w:rsidRPr="003E28A1">
        <w:rPr>
          <w:rFonts w:ascii="Arial" w:hAnsi="Arial" w:cs="Arial"/>
        </w:rPr>
        <w:t>Conflict of Interest form (template attached)</w:t>
      </w:r>
    </w:p>
    <w:p w:rsidR="00552709" w:rsidRPr="003E28A1" w:rsidRDefault="00552709" w:rsidP="00552709">
      <w:pPr>
        <w:pStyle w:val="ListParagraph"/>
        <w:numPr>
          <w:ilvl w:val="0"/>
          <w:numId w:val="9"/>
        </w:numPr>
        <w:spacing w:after="0" w:line="240" w:lineRule="auto"/>
        <w:jc w:val="both"/>
        <w:rPr>
          <w:rFonts w:ascii="Arial" w:hAnsi="Arial" w:cs="Arial"/>
        </w:rPr>
      </w:pPr>
      <w:r w:rsidRPr="003E28A1">
        <w:rPr>
          <w:rFonts w:ascii="Arial" w:hAnsi="Arial" w:cs="Arial"/>
        </w:rPr>
        <w:t>Deed of confidentiality (template attached)</w:t>
      </w:r>
    </w:p>
    <w:p w:rsidR="00552709" w:rsidRDefault="00552709">
      <w:pPr>
        <w:rPr>
          <w:rFonts w:ascii="Arial" w:hAnsi="Arial" w:cs="Arial"/>
          <w:b/>
        </w:rPr>
      </w:pPr>
    </w:p>
    <w:p w:rsidR="00552709" w:rsidRDefault="00552709">
      <w:pPr>
        <w:rPr>
          <w:rFonts w:ascii="Arial" w:hAnsi="Arial" w:cs="Arial"/>
          <w:b/>
        </w:rPr>
      </w:pPr>
    </w:p>
    <w:p w:rsidR="00552709" w:rsidRDefault="00552709">
      <w:pPr>
        <w:rPr>
          <w:rFonts w:ascii="Arial" w:hAnsi="Arial" w:cs="Arial"/>
          <w:b/>
        </w:rPr>
      </w:pPr>
    </w:p>
    <w:p w:rsidR="003D51F9" w:rsidRDefault="00CF460C">
      <w:pPr>
        <w:rPr>
          <w:rFonts w:ascii="Arial" w:hAnsi="Arial" w:cs="Arial"/>
          <w:b/>
        </w:rPr>
      </w:pPr>
      <w:r w:rsidRPr="00084706">
        <w:rPr>
          <w:rFonts w:ascii="Arial" w:hAnsi="Arial" w:cs="Arial"/>
          <w:b/>
        </w:rPr>
        <w:lastRenderedPageBreak/>
        <w:t>Tender Evaluation</w:t>
      </w:r>
      <w:r w:rsidR="003D51F9" w:rsidRPr="00084706">
        <w:rPr>
          <w:rFonts w:ascii="Arial" w:hAnsi="Arial" w:cs="Arial"/>
          <w:b/>
        </w:rPr>
        <w:t xml:space="preserve"> </w:t>
      </w:r>
      <w:r w:rsidR="00084706">
        <w:rPr>
          <w:rFonts w:ascii="Arial" w:hAnsi="Arial" w:cs="Arial"/>
          <w:b/>
        </w:rPr>
        <w:t>Guidelines</w:t>
      </w:r>
    </w:p>
    <w:p w:rsidR="00552709" w:rsidRPr="00552709" w:rsidRDefault="00552709">
      <w:pPr>
        <w:rPr>
          <w:rFonts w:ascii="Arial" w:hAnsi="Arial" w:cs="Arial"/>
          <w:b/>
          <w:color w:val="FF0000"/>
        </w:rPr>
      </w:pPr>
      <w:r w:rsidRPr="00552709">
        <w:rPr>
          <w:rFonts w:ascii="Arial" w:hAnsi="Arial" w:cs="Arial"/>
          <w:b/>
          <w:color w:val="FF0000"/>
        </w:rPr>
        <w:t>What is the process that has been decided on will guide the tender evaluation process?</w:t>
      </w:r>
    </w:p>
    <w:p w:rsidR="00552709" w:rsidRPr="00084706" w:rsidRDefault="00552709">
      <w:pPr>
        <w:rPr>
          <w:rFonts w:ascii="Arial" w:hAnsi="Arial" w:cs="Arial"/>
          <w:b/>
        </w:rPr>
      </w:pPr>
      <w:r w:rsidRPr="00552709">
        <w:rPr>
          <w:rFonts w:ascii="Arial" w:hAnsi="Arial" w:cs="Arial"/>
          <w:b/>
          <w:color w:val="FF0000"/>
        </w:rPr>
        <w:t>EXAMPLE</w:t>
      </w:r>
    </w:p>
    <w:p w:rsidR="007F6D86" w:rsidRPr="00084706" w:rsidRDefault="007F6D86" w:rsidP="007F6D86">
      <w:pPr>
        <w:autoSpaceDE w:val="0"/>
        <w:autoSpaceDN w:val="0"/>
        <w:adjustRightInd w:val="0"/>
        <w:spacing w:before="120"/>
        <w:jc w:val="both"/>
        <w:rPr>
          <w:rFonts w:ascii="Arial" w:hAnsi="Arial" w:cs="Arial"/>
          <w:bCs/>
          <w:iCs/>
          <w:color w:val="000000"/>
        </w:rPr>
      </w:pPr>
      <w:r w:rsidRPr="00084706">
        <w:rPr>
          <w:rFonts w:ascii="Arial" w:hAnsi="Arial" w:cs="Arial"/>
          <w:bCs/>
          <w:iCs/>
          <w:color w:val="000000"/>
        </w:rPr>
        <w:t>Evaluation panels must adhere faithfully to the tender conditions including applying the selection criteria set out therein.</w:t>
      </w:r>
    </w:p>
    <w:p w:rsidR="007F6D86" w:rsidRPr="00084706" w:rsidRDefault="001A2811">
      <w:pPr>
        <w:rPr>
          <w:rFonts w:ascii="Arial" w:hAnsi="Arial" w:cs="Arial"/>
        </w:rPr>
      </w:pPr>
      <w:r>
        <w:rPr>
          <w:rFonts w:ascii="Arial" w:hAnsi="Arial" w:cs="Arial"/>
        </w:rPr>
        <w:t xml:space="preserve">Probity Guidelines: </w:t>
      </w:r>
    </w:p>
    <w:p w:rsidR="00084706" w:rsidRPr="003353F1" w:rsidRDefault="00084706" w:rsidP="00084706">
      <w:pPr>
        <w:tabs>
          <w:tab w:val="left" w:pos="7088"/>
        </w:tabs>
        <w:ind w:left="720"/>
        <w:jc w:val="both"/>
        <w:rPr>
          <w:rFonts w:ascii="Arial" w:hAnsi="Arial" w:cs="Arial"/>
        </w:rPr>
      </w:pPr>
      <w:r w:rsidRPr="003353F1">
        <w:rPr>
          <w:rFonts w:ascii="Arial" w:hAnsi="Arial" w:cs="Arial"/>
        </w:rPr>
        <w:t>Outside parties with whom the councils have a business relationship may contact staff (who do not have a direct involvement in the tender) as part of the normal day to day relationship.  It is important that staff follow the following guidelines throughout the entire process:</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 xml:space="preserve">No discussion should be held with any tenderer about the selection process in relation to any aspect of any public tender process or the selection process without the prior approval or at the direction of the Chair of the </w:t>
      </w:r>
      <w:r w:rsidR="005C287C" w:rsidRPr="003353F1">
        <w:rPr>
          <w:rFonts w:ascii="Arial" w:hAnsi="Arial" w:cs="Arial"/>
        </w:rPr>
        <w:t xml:space="preserve">Tender Evaluation Panel </w:t>
      </w:r>
      <w:r w:rsidRPr="003353F1">
        <w:rPr>
          <w:rFonts w:ascii="Arial" w:hAnsi="Arial" w:cs="Arial"/>
        </w:rPr>
        <w:t>or his or her nominee.</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No tenderer should receive or be perceived to have received additional information to that which is publicly available in respect</w:t>
      </w:r>
      <w:r w:rsidR="00ED442D" w:rsidRPr="003353F1">
        <w:rPr>
          <w:rFonts w:ascii="Arial" w:hAnsi="Arial" w:cs="Arial"/>
        </w:rPr>
        <w:t xml:space="preserve"> of</w:t>
      </w:r>
      <w:r w:rsidRPr="003353F1">
        <w:rPr>
          <w:rFonts w:ascii="Arial" w:hAnsi="Arial" w:cs="Arial"/>
        </w:rPr>
        <w:t xml:space="preserve"> the selection process.</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 xml:space="preserve">Tenderers should be advised to deal directly with the contact persons nominated in the tender documents or with the Chair of the </w:t>
      </w:r>
      <w:r w:rsidR="005C287C" w:rsidRPr="003353F1">
        <w:rPr>
          <w:rFonts w:ascii="Arial" w:hAnsi="Arial" w:cs="Arial"/>
        </w:rPr>
        <w:t xml:space="preserve">Tender Evaluation Panel </w:t>
      </w:r>
      <w:r w:rsidRPr="003353F1">
        <w:rPr>
          <w:rFonts w:ascii="Arial" w:hAnsi="Arial" w:cs="Arial"/>
        </w:rPr>
        <w:t xml:space="preserve"> in all matters in relation to the selection process</w:t>
      </w:r>
      <w:r w:rsidR="00ED442D" w:rsidRPr="003353F1">
        <w:rPr>
          <w:rFonts w:ascii="Arial" w:hAnsi="Arial" w:cs="Arial"/>
        </w:rPr>
        <w:t>, public</w:t>
      </w:r>
      <w:r w:rsidRPr="003353F1">
        <w:rPr>
          <w:rFonts w:ascii="Arial" w:hAnsi="Arial" w:cs="Arial"/>
        </w:rPr>
        <w:t xml:space="preserve"> tender process or its current status. You should refuse to enter discussions of this nature.</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Should any tenderer request a copy of any document, he/she should b</w:t>
      </w:r>
      <w:r w:rsidR="005C287C" w:rsidRPr="003353F1">
        <w:rPr>
          <w:rFonts w:ascii="Arial" w:hAnsi="Arial" w:cs="Arial"/>
        </w:rPr>
        <w:t xml:space="preserve">e referred to the Chair of the Tender Evaluation Panel </w:t>
      </w:r>
      <w:r w:rsidRPr="003353F1">
        <w:rPr>
          <w:rFonts w:ascii="Arial" w:hAnsi="Arial" w:cs="Arial"/>
        </w:rPr>
        <w:t>.  No documents should be provided by staff.</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Unusual or exceptional invitations from any party with a declared interest in the project should not be accepted.</w:t>
      </w:r>
    </w:p>
    <w:p w:rsidR="00084706" w:rsidRPr="003353F1" w:rsidRDefault="00084706" w:rsidP="0008470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Routine business meetings and social activities continue as usual, but the council’s managers and employees must exercise caution, and must not discuss the evaluation, selection procedures, or contents of any tender.</w:t>
      </w:r>
    </w:p>
    <w:p w:rsidR="00CB0E36" w:rsidRPr="003353F1" w:rsidRDefault="00084706" w:rsidP="00CB0E36">
      <w:pPr>
        <w:numPr>
          <w:ilvl w:val="0"/>
          <w:numId w:val="3"/>
        </w:numPr>
        <w:tabs>
          <w:tab w:val="clear" w:pos="3195"/>
          <w:tab w:val="num" w:pos="1080"/>
        </w:tabs>
        <w:overflowPunct w:val="0"/>
        <w:autoSpaceDE w:val="0"/>
        <w:autoSpaceDN w:val="0"/>
        <w:adjustRightInd w:val="0"/>
        <w:spacing w:after="120" w:line="240" w:lineRule="auto"/>
        <w:ind w:left="1080"/>
        <w:jc w:val="both"/>
        <w:textAlignment w:val="baseline"/>
        <w:rPr>
          <w:rFonts w:ascii="Arial" w:hAnsi="Arial" w:cs="Arial"/>
        </w:rPr>
      </w:pPr>
      <w:r w:rsidRPr="003353F1">
        <w:rPr>
          <w:rFonts w:ascii="Arial" w:hAnsi="Arial" w:cs="Arial"/>
        </w:rPr>
        <w:t>Where any party in an unrelated business meeting or social situation seeks to raise issues in respect of the evaluation and selection procedures or contents of any tender, the employee should indicate that it is not appropriate to discuss such matters.</w:t>
      </w:r>
    </w:p>
    <w:p w:rsidR="00CB0E36" w:rsidRPr="003353F1" w:rsidRDefault="00ED442D" w:rsidP="00CB0E36">
      <w:pPr>
        <w:numPr>
          <w:ilvl w:val="0"/>
          <w:numId w:val="3"/>
        </w:numPr>
        <w:tabs>
          <w:tab w:val="clear" w:pos="3195"/>
          <w:tab w:val="num" w:pos="1440"/>
        </w:tabs>
        <w:overflowPunct w:val="0"/>
        <w:autoSpaceDE w:val="0"/>
        <w:autoSpaceDN w:val="0"/>
        <w:adjustRightInd w:val="0"/>
        <w:spacing w:before="120" w:after="0" w:line="240" w:lineRule="auto"/>
        <w:ind w:left="1080"/>
        <w:jc w:val="both"/>
        <w:textAlignment w:val="baseline"/>
        <w:rPr>
          <w:rFonts w:ascii="Arial" w:hAnsi="Arial" w:cs="Arial"/>
        </w:rPr>
      </w:pPr>
      <w:r w:rsidRPr="003353F1">
        <w:rPr>
          <w:rFonts w:ascii="Arial" w:hAnsi="Arial" w:cs="Arial"/>
        </w:rPr>
        <w:t>Evaluation criteria are</w:t>
      </w:r>
      <w:r w:rsidR="00084706" w:rsidRPr="003353F1">
        <w:rPr>
          <w:rFonts w:ascii="Arial" w:hAnsi="Arial" w:cs="Arial"/>
        </w:rPr>
        <w:t xml:space="preserve"> to be followed, and responses assessed a</w:t>
      </w:r>
      <w:r w:rsidR="00CB0E36" w:rsidRPr="003353F1">
        <w:rPr>
          <w:rFonts w:ascii="Arial" w:hAnsi="Arial" w:cs="Arial"/>
        </w:rPr>
        <w:t>gainst pre-determined criteria.</w:t>
      </w:r>
    </w:p>
    <w:p w:rsidR="00084706" w:rsidRPr="003353F1" w:rsidRDefault="00084706" w:rsidP="00CB0E36">
      <w:pPr>
        <w:numPr>
          <w:ilvl w:val="0"/>
          <w:numId w:val="3"/>
        </w:numPr>
        <w:tabs>
          <w:tab w:val="clear" w:pos="3195"/>
          <w:tab w:val="num" w:pos="1440"/>
        </w:tabs>
        <w:overflowPunct w:val="0"/>
        <w:autoSpaceDE w:val="0"/>
        <w:autoSpaceDN w:val="0"/>
        <w:adjustRightInd w:val="0"/>
        <w:spacing w:before="120" w:after="0" w:line="240" w:lineRule="auto"/>
        <w:ind w:left="1080"/>
        <w:jc w:val="both"/>
        <w:textAlignment w:val="baseline"/>
        <w:rPr>
          <w:rFonts w:ascii="Arial" w:hAnsi="Arial" w:cs="Arial"/>
        </w:rPr>
      </w:pPr>
      <w:r w:rsidRPr="003353F1">
        <w:rPr>
          <w:rFonts w:ascii="Arial" w:hAnsi="Arial" w:cs="Arial"/>
        </w:rPr>
        <w:t>Detail reasons for the choice of the preferred tenderer, and ensure these reasons are clear and defensible</w:t>
      </w:r>
      <w:r w:rsidR="00CB0E36" w:rsidRPr="003353F1">
        <w:rPr>
          <w:rFonts w:ascii="Arial" w:hAnsi="Arial" w:cs="Arial"/>
        </w:rPr>
        <w:t>.</w:t>
      </w:r>
    </w:p>
    <w:p w:rsidR="00CB0E36" w:rsidRPr="00CB0E36" w:rsidRDefault="00CB0E36" w:rsidP="00CB0E36">
      <w:pPr>
        <w:overflowPunct w:val="0"/>
        <w:autoSpaceDE w:val="0"/>
        <w:autoSpaceDN w:val="0"/>
        <w:adjustRightInd w:val="0"/>
        <w:spacing w:before="120" w:after="0" w:line="240" w:lineRule="auto"/>
        <w:ind w:left="1080"/>
        <w:jc w:val="both"/>
        <w:textAlignment w:val="baseline"/>
        <w:rPr>
          <w:rFonts w:ascii="Arial" w:hAnsi="Arial" w:cs="Arial"/>
          <w:i/>
        </w:rPr>
      </w:pPr>
    </w:p>
    <w:p w:rsidR="003353F1" w:rsidRDefault="003353F1" w:rsidP="007F6D86">
      <w:pPr>
        <w:pStyle w:val="NormalWeb"/>
        <w:spacing w:before="120" w:beforeAutospacing="0" w:after="0" w:afterAutospacing="0"/>
        <w:jc w:val="both"/>
        <w:rPr>
          <w:rFonts w:ascii="Arial" w:hAnsi="Arial" w:cs="Arial"/>
          <w:color w:val="000000"/>
          <w:sz w:val="22"/>
          <w:szCs w:val="22"/>
        </w:rPr>
      </w:pPr>
    </w:p>
    <w:p w:rsidR="007F6D86" w:rsidRPr="00084706" w:rsidRDefault="007F6D86" w:rsidP="007F6D86">
      <w:pPr>
        <w:pStyle w:val="NormalWeb"/>
        <w:spacing w:before="120" w:beforeAutospacing="0" w:after="0" w:afterAutospacing="0"/>
        <w:jc w:val="both"/>
        <w:rPr>
          <w:rFonts w:ascii="Arial" w:hAnsi="Arial" w:cs="Arial"/>
          <w:color w:val="000000"/>
          <w:sz w:val="22"/>
          <w:szCs w:val="22"/>
        </w:rPr>
      </w:pPr>
      <w:r w:rsidRPr="00084706">
        <w:rPr>
          <w:rFonts w:ascii="Arial" w:hAnsi="Arial" w:cs="Arial"/>
          <w:color w:val="000000"/>
          <w:sz w:val="22"/>
          <w:szCs w:val="22"/>
        </w:rPr>
        <w:lastRenderedPageBreak/>
        <w:t xml:space="preserve">Persons who are appointed to </w:t>
      </w:r>
      <w:r w:rsidRPr="00084706">
        <w:rPr>
          <w:rFonts w:ascii="Arial" w:hAnsi="Arial" w:cs="Arial"/>
          <w:bCs/>
          <w:iCs/>
          <w:color w:val="000000"/>
          <w:sz w:val="22"/>
          <w:szCs w:val="22"/>
        </w:rPr>
        <w:t xml:space="preserve">tender evaluation panels </w:t>
      </w:r>
      <w:r w:rsidRPr="00084706">
        <w:rPr>
          <w:rFonts w:ascii="Arial" w:hAnsi="Arial" w:cs="Arial"/>
          <w:color w:val="000000"/>
          <w:sz w:val="22"/>
          <w:szCs w:val="22"/>
        </w:rPr>
        <w:t>should adhere to the following requirements:</w:t>
      </w:r>
    </w:p>
    <w:p w:rsidR="007F6D86" w:rsidRPr="00552709" w:rsidRDefault="007F6D86" w:rsidP="00552709">
      <w:pPr>
        <w:pStyle w:val="ListParagraph"/>
        <w:numPr>
          <w:ilvl w:val="0"/>
          <w:numId w:val="1"/>
        </w:numPr>
        <w:spacing w:before="120" w:after="0" w:line="240" w:lineRule="auto"/>
        <w:jc w:val="both"/>
        <w:rPr>
          <w:rFonts w:ascii="Arial" w:hAnsi="Arial" w:cs="Arial"/>
          <w:color w:val="000000"/>
        </w:rPr>
      </w:pPr>
      <w:r w:rsidRPr="00552709">
        <w:rPr>
          <w:rFonts w:ascii="Arial" w:hAnsi="Arial" w:cs="Arial"/>
          <w:color w:val="000000"/>
        </w:rPr>
        <w:t>Act objectively and fairly throughout the tender evaluation process to ensure that all bidders are given an equal chance to succeed with their bid and that the integrity of the process is upheld.</w:t>
      </w:r>
    </w:p>
    <w:p w:rsidR="007F6D86" w:rsidRPr="00084706" w:rsidRDefault="007F6D86" w:rsidP="007F6D86">
      <w:pPr>
        <w:numPr>
          <w:ilvl w:val="0"/>
          <w:numId w:val="1"/>
        </w:numPr>
        <w:spacing w:before="100" w:beforeAutospacing="1" w:after="100" w:afterAutospacing="1" w:line="240" w:lineRule="auto"/>
        <w:jc w:val="both"/>
        <w:rPr>
          <w:rFonts w:ascii="Arial" w:hAnsi="Arial" w:cs="Arial"/>
          <w:color w:val="000000"/>
        </w:rPr>
      </w:pPr>
      <w:r w:rsidRPr="00084706">
        <w:rPr>
          <w:rFonts w:ascii="Arial" w:hAnsi="Arial" w:cs="Arial"/>
          <w:color w:val="000000"/>
        </w:rPr>
        <w:t>Hold information received as part of a bid in the strictest confidence and not release this information outside of the tender evaluation panel.</w:t>
      </w:r>
    </w:p>
    <w:p w:rsidR="00422141" w:rsidRDefault="007F6D86" w:rsidP="007F6D86">
      <w:pPr>
        <w:numPr>
          <w:ilvl w:val="0"/>
          <w:numId w:val="1"/>
        </w:numPr>
        <w:spacing w:before="100" w:beforeAutospacing="1" w:after="100" w:afterAutospacing="1" w:line="240" w:lineRule="auto"/>
        <w:jc w:val="both"/>
        <w:rPr>
          <w:rFonts w:ascii="Arial" w:hAnsi="Arial" w:cs="Arial"/>
          <w:color w:val="000000"/>
        </w:rPr>
      </w:pPr>
      <w:r w:rsidRPr="00084706">
        <w:rPr>
          <w:rFonts w:ascii="Arial" w:hAnsi="Arial" w:cs="Arial"/>
          <w:color w:val="000000"/>
        </w:rPr>
        <w:t xml:space="preserve">Not divulge information on the deliberations and decisions of the Tender Evaluation Panel at least until a formal recommendation has been approved by the appropriate officer or council and the successful bidder has been formally notified. </w:t>
      </w:r>
    </w:p>
    <w:p w:rsidR="007F6D86" w:rsidRPr="00084706" w:rsidRDefault="00780426" w:rsidP="007F6D86">
      <w:pPr>
        <w:numPr>
          <w:ilvl w:val="0"/>
          <w:numId w:val="1"/>
        </w:numPr>
        <w:spacing w:before="100" w:beforeAutospacing="1" w:after="100" w:afterAutospacing="1" w:line="240" w:lineRule="auto"/>
        <w:jc w:val="both"/>
        <w:rPr>
          <w:rFonts w:ascii="Arial" w:hAnsi="Arial" w:cs="Arial"/>
          <w:color w:val="000000"/>
        </w:rPr>
      </w:pPr>
      <w:r>
        <w:rPr>
          <w:rFonts w:ascii="Arial" w:hAnsi="Arial" w:cs="Arial"/>
          <w:color w:val="000000"/>
        </w:rPr>
        <w:t>`</w:t>
      </w:r>
      <w:r w:rsidR="007F6D86" w:rsidRPr="00084706">
        <w:rPr>
          <w:rFonts w:ascii="Arial" w:hAnsi="Arial" w:cs="Arial"/>
          <w:color w:val="000000"/>
        </w:rPr>
        <w:t xml:space="preserve"> A council may also resolve to designate information relating the award of a tender as confidential pursuant to section 77 of the Act.  The tender evaluation panel members must comply with the terms of such resolutions.</w:t>
      </w:r>
    </w:p>
    <w:p w:rsidR="007F6D86" w:rsidRDefault="00084706">
      <w:pPr>
        <w:rPr>
          <w:rFonts w:ascii="Arial" w:hAnsi="Arial" w:cs="Arial"/>
          <w:b/>
        </w:rPr>
      </w:pPr>
      <w:r w:rsidRPr="00084706">
        <w:rPr>
          <w:rFonts w:ascii="Arial" w:hAnsi="Arial" w:cs="Arial"/>
          <w:b/>
        </w:rPr>
        <w:t>Tender Evaluation</w:t>
      </w:r>
      <w:r>
        <w:rPr>
          <w:rFonts w:ascii="Arial" w:hAnsi="Arial" w:cs="Arial"/>
          <w:b/>
        </w:rPr>
        <w:t xml:space="preserve"> Process</w:t>
      </w:r>
    </w:p>
    <w:p w:rsidR="00552709" w:rsidRPr="00552709" w:rsidRDefault="00552709">
      <w:pPr>
        <w:rPr>
          <w:rFonts w:ascii="Arial" w:hAnsi="Arial" w:cs="Arial"/>
          <w:b/>
          <w:color w:val="FF0000"/>
        </w:rPr>
      </w:pPr>
      <w:r w:rsidRPr="00552709">
        <w:rPr>
          <w:rFonts w:ascii="Arial" w:hAnsi="Arial" w:cs="Arial"/>
          <w:b/>
          <w:color w:val="FF0000"/>
        </w:rPr>
        <w:t>What has been decided will be the tender evaluation process?</w:t>
      </w:r>
    </w:p>
    <w:p w:rsidR="00552709" w:rsidRPr="00552709" w:rsidRDefault="00552709">
      <w:pPr>
        <w:rPr>
          <w:rFonts w:ascii="Arial" w:hAnsi="Arial" w:cs="Arial"/>
          <w:b/>
          <w:color w:val="FF0000"/>
        </w:rPr>
      </w:pPr>
      <w:r w:rsidRPr="00552709">
        <w:rPr>
          <w:rFonts w:ascii="Arial" w:hAnsi="Arial" w:cs="Arial"/>
          <w:b/>
          <w:color w:val="FF0000"/>
        </w:rPr>
        <w:t>EXAMPLE:</w:t>
      </w:r>
    </w:p>
    <w:p w:rsidR="00422141" w:rsidRPr="00422141" w:rsidRDefault="00422141">
      <w:pPr>
        <w:rPr>
          <w:rFonts w:ascii="Arial" w:hAnsi="Arial" w:cs="Arial"/>
        </w:rPr>
      </w:pPr>
      <w:r w:rsidRPr="00422141">
        <w:rPr>
          <w:rFonts w:ascii="Arial" w:hAnsi="Arial" w:cs="Arial"/>
        </w:rPr>
        <w:t>The proposed process is as follows:</w:t>
      </w:r>
    </w:p>
    <w:p w:rsidR="00422141" w:rsidRDefault="00422141" w:rsidP="007E3B77">
      <w:pPr>
        <w:pStyle w:val="ListParagraph"/>
        <w:numPr>
          <w:ilvl w:val="0"/>
          <w:numId w:val="4"/>
        </w:numPr>
        <w:spacing w:before="240" w:after="840"/>
        <w:rPr>
          <w:rFonts w:ascii="Arial" w:hAnsi="Arial" w:cs="Arial"/>
        </w:rPr>
      </w:pPr>
      <w:r w:rsidRPr="00422141">
        <w:rPr>
          <w:rFonts w:ascii="Arial" w:hAnsi="Arial" w:cs="Arial"/>
        </w:rPr>
        <w:t>Consider probity matters outlined by the Probity Advisor</w:t>
      </w:r>
      <w:r w:rsidR="005C287C">
        <w:rPr>
          <w:rFonts w:ascii="Arial" w:hAnsi="Arial" w:cs="Arial"/>
        </w:rPr>
        <w:t xml:space="preserve"> </w:t>
      </w:r>
      <w:r w:rsidR="005C287C" w:rsidRPr="00552709">
        <w:rPr>
          <w:rFonts w:ascii="Arial" w:hAnsi="Arial" w:cs="Arial"/>
          <w:b/>
        </w:rPr>
        <w:t>(delete if not applicable)</w:t>
      </w:r>
    </w:p>
    <w:p w:rsidR="007E3B77" w:rsidRDefault="007E3B77" w:rsidP="007E3B77">
      <w:pPr>
        <w:pStyle w:val="ListParagraph"/>
        <w:spacing w:before="240" w:after="840"/>
        <w:rPr>
          <w:rFonts w:ascii="Arial" w:hAnsi="Arial" w:cs="Arial"/>
        </w:rPr>
      </w:pPr>
    </w:p>
    <w:p w:rsidR="00422141" w:rsidRDefault="00422141" w:rsidP="007E3B77">
      <w:pPr>
        <w:pStyle w:val="ListParagraph"/>
        <w:numPr>
          <w:ilvl w:val="0"/>
          <w:numId w:val="4"/>
        </w:numPr>
        <w:spacing w:before="240" w:after="0"/>
        <w:rPr>
          <w:rFonts w:ascii="Arial" w:hAnsi="Arial" w:cs="Arial"/>
        </w:rPr>
      </w:pPr>
      <w:r>
        <w:rPr>
          <w:rFonts w:ascii="Arial" w:hAnsi="Arial" w:cs="Arial"/>
        </w:rPr>
        <w:t xml:space="preserve">Consider </w:t>
      </w:r>
      <w:r w:rsidR="00AD6830">
        <w:rPr>
          <w:rFonts w:ascii="Arial" w:hAnsi="Arial" w:cs="Arial"/>
        </w:rPr>
        <w:t xml:space="preserve">the </w:t>
      </w:r>
      <w:r w:rsidR="00AD6830" w:rsidRPr="007E3B77">
        <w:rPr>
          <w:rFonts w:ascii="Arial" w:hAnsi="Arial" w:cs="Arial"/>
          <w:b/>
        </w:rPr>
        <w:t>conformance requirements</w:t>
      </w:r>
      <w:r w:rsidR="00AD6830">
        <w:rPr>
          <w:rFonts w:ascii="Arial" w:hAnsi="Arial" w:cs="Arial"/>
        </w:rPr>
        <w:t xml:space="preserve"> which require:</w:t>
      </w:r>
    </w:p>
    <w:p w:rsidR="00784857" w:rsidRPr="00AD6830" w:rsidRDefault="00784857" w:rsidP="00784857">
      <w:pPr>
        <w:spacing w:before="240" w:after="0"/>
        <w:ind w:left="851"/>
        <w:jc w:val="both"/>
        <w:rPr>
          <w:rFonts w:ascii="Arial" w:hAnsi="Arial" w:cs="Arial"/>
          <w:b/>
          <w:i/>
          <w:color w:val="000000" w:themeColor="text1"/>
        </w:rPr>
      </w:pPr>
      <w:r w:rsidRPr="00AD6830">
        <w:rPr>
          <w:rFonts w:ascii="Arial" w:hAnsi="Arial" w:cs="Arial"/>
          <w:b/>
          <w:i/>
          <w:color w:val="000000" w:themeColor="text1"/>
        </w:rPr>
        <w:t>Conformance Requirements</w:t>
      </w:r>
    </w:p>
    <w:p w:rsidR="00784857" w:rsidRPr="003353F1" w:rsidRDefault="00784857" w:rsidP="00784857">
      <w:pPr>
        <w:spacing w:before="120" w:after="120"/>
        <w:ind w:left="851"/>
        <w:jc w:val="both"/>
        <w:rPr>
          <w:rFonts w:ascii="Arial" w:hAnsi="Arial" w:cs="Arial"/>
        </w:rPr>
      </w:pPr>
      <w:r w:rsidRPr="003353F1">
        <w:rPr>
          <w:rFonts w:ascii="Arial" w:hAnsi="Arial" w:cs="Arial"/>
        </w:rPr>
        <w:t>Tenders will first be assessed for compliance with conformity requirements.  Initial conformity assessment will be as detailed in Section 8 Tender Submission.  Conformity assessment will include confirmation of:</w:t>
      </w:r>
    </w:p>
    <w:p w:rsidR="00784857" w:rsidRPr="003353F1" w:rsidRDefault="00AD6830" w:rsidP="00784857">
      <w:pPr>
        <w:pStyle w:val="StyleBulletArial"/>
        <w:numPr>
          <w:ilvl w:val="0"/>
          <w:numId w:val="5"/>
        </w:numPr>
        <w:ind w:left="1418" w:hanging="567"/>
      </w:pPr>
      <w:r w:rsidRPr="003353F1">
        <w:t>Statements</w:t>
      </w:r>
      <w:r w:rsidR="00784857" w:rsidRPr="003353F1">
        <w:t xml:space="preserve"> on Conformance</w:t>
      </w:r>
    </w:p>
    <w:p w:rsidR="00784857" w:rsidRPr="003353F1" w:rsidRDefault="00784857" w:rsidP="00784857">
      <w:pPr>
        <w:pStyle w:val="StyleBulletArial"/>
        <w:numPr>
          <w:ilvl w:val="0"/>
          <w:numId w:val="5"/>
        </w:numPr>
        <w:ind w:left="1418" w:hanging="567"/>
      </w:pPr>
      <w:r w:rsidRPr="003353F1">
        <w:t xml:space="preserve">Conflict of Interest </w:t>
      </w:r>
    </w:p>
    <w:p w:rsidR="00AD6830" w:rsidRPr="003353F1" w:rsidRDefault="00AD6830" w:rsidP="007276B1">
      <w:pPr>
        <w:pStyle w:val="ListParagraph"/>
        <w:numPr>
          <w:ilvl w:val="0"/>
          <w:numId w:val="4"/>
        </w:numPr>
        <w:spacing w:before="240"/>
        <w:rPr>
          <w:rFonts w:ascii="Arial" w:hAnsi="Arial" w:cs="Arial"/>
        </w:rPr>
      </w:pPr>
      <w:r w:rsidRPr="003353F1">
        <w:rPr>
          <w:rFonts w:ascii="Arial" w:hAnsi="Arial" w:cs="Arial"/>
        </w:rPr>
        <w:t xml:space="preserve">Consider the </w:t>
      </w:r>
      <w:r w:rsidRPr="003353F1">
        <w:rPr>
          <w:rFonts w:ascii="Arial" w:hAnsi="Arial" w:cs="Arial"/>
          <w:b/>
        </w:rPr>
        <w:t>mandatory requirements</w:t>
      </w:r>
      <w:r w:rsidRPr="003353F1">
        <w:rPr>
          <w:rFonts w:ascii="Arial" w:hAnsi="Arial" w:cs="Arial"/>
        </w:rPr>
        <w:t xml:space="preserve"> which require:</w:t>
      </w:r>
    </w:p>
    <w:p w:rsidR="00784857" w:rsidRPr="003353F1" w:rsidRDefault="00784857" w:rsidP="00AD6830">
      <w:pPr>
        <w:spacing w:before="120" w:after="0"/>
        <w:ind w:left="1276" w:hanging="425"/>
        <w:jc w:val="both"/>
        <w:rPr>
          <w:rFonts w:ascii="Arial" w:hAnsi="Arial" w:cs="Arial"/>
        </w:rPr>
      </w:pPr>
      <w:r w:rsidRPr="003353F1">
        <w:rPr>
          <w:rFonts w:ascii="Arial" w:hAnsi="Arial" w:cs="Arial"/>
        </w:rPr>
        <w:t>Mandatory Requirements</w:t>
      </w:r>
    </w:p>
    <w:p w:rsidR="00784857" w:rsidRPr="003353F1" w:rsidRDefault="00784857" w:rsidP="00AD6830">
      <w:pPr>
        <w:pStyle w:val="Heading2"/>
        <w:keepLines w:val="0"/>
        <w:numPr>
          <w:ilvl w:val="1"/>
          <w:numId w:val="0"/>
        </w:numPr>
        <w:tabs>
          <w:tab w:val="num" w:pos="851"/>
          <w:tab w:val="left" w:pos="1418"/>
        </w:tabs>
        <w:spacing w:before="120" w:line="240" w:lineRule="auto"/>
        <w:ind w:left="851"/>
        <w:jc w:val="both"/>
        <w:rPr>
          <w:rFonts w:ascii="Arial" w:hAnsi="Arial" w:cs="Arial"/>
          <w:b w:val="0"/>
          <w:color w:val="auto"/>
          <w:sz w:val="22"/>
          <w:szCs w:val="22"/>
        </w:rPr>
      </w:pPr>
      <w:r w:rsidRPr="003353F1">
        <w:rPr>
          <w:rFonts w:ascii="Arial" w:hAnsi="Arial" w:cs="Arial"/>
          <w:b w:val="0"/>
          <w:color w:val="auto"/>
          <w:sz w:val="22"/>
          <w:szCs w:val="22"/>
        </w:rPr>
        <w:tab/>
      </w:r>
      <w:r w:rsidRPr="003353F1">
        <w:rPr>
          <w:rFonts w:ascii="Arial" w:hAnsi="Arial" w:cs="Arial"/>
          <w:b w:val="0"/>
          <w:color w:val="auto"/>
          <w:sz w:val="22"/>
          <w:szCs w:val="22"/>
        </w:rPr>
        <w:tab/>
        <w:t>Occupational Health and Safety</w:t>
      </w:r>
    </w:p>
    <w:p w:rsidR="00784857" w:rsidRPr="003353F1" w:rsidRDefault="00784857" w:rsidP="00AD6830">
      <w:pPr>
        <w:spacing w:before="120" w:after="0"/>
        <w:ind w:left="1440" w:hanging="22"/>
        <w:jc w:val="both"/>
        <w:rPr>
          <w:rFonts w:ascii="Arial" w:hAnsi="Arial" w:cs="Arial"/>
        </w:rPr>
      </w:pPr>
      <w:r w:rsidRPr="003353F1">
        <w:rPr>
          <w:rFonts w:ascii="Arial" w:hAnsi="Arial" w:cs="Arial"/>
        </w:rPr>
        <w:t xml:space="preserve">The Contractor must complete </w:t>
      </w:r>
      <w:r w:rsidR="00CB0E36" w:rsidRPr="003353F1">
        <w:rPr>
          <w:rFonts w:ascii="Arial" w:hAnsi="Arial" w:cs="Arial"/>
        </w:rPr>
        <w:t xml:space="preserve">and </w:t>
      </w:r>
      <w:r w:rsidRPr="003353F1">
        <w:rPr>
          <w:rFonts w:ascii="Arial" w:hAnsi="Arial" w:cs="Arial"/>
        </w:rPr>
        <w:t xml:space="preserve">have in place a proven OHS system.  </w:t>
      </w:r>
    </w:p>
    <w:p w:rsidR="00784857" w:rsidRPr="003353F1" w:rsidRDefault="00552709" w:rsidP="00AD6830">
      <w:pPr>
        <w:pStyle w:val="Heading2"/>
        <w:keepLines w:val="0"/>
        <w:numPr>
          <w:ilvl w:val="1"/>
          <w:numId w:val="0"/>
        </w:numPr>
        <w:tabs>
          <w:tab w:val="num" w:pos="851"/>
        </w:tabs>
        <w:spacing w:before="120" w:line="240" w:lineRule="auto"/>
        <w:ind w:left="1440" w:hanging="589"/>
        <w:jc w:val="both"/>
        <w:rPr>
          <w:rFonts w:ascii="Arial" w:hAnsi="Arial" w:cs="Arial"/>
          <w:b w:val="0"/>
          <w:color w:val="auto"/>
          <w:sz w:val="22"/>
          <w:szCs w:val="22"/>
        </w:rPr>
      </w:pPr>
      <w:r w:rsidRPr="003353F1">
        <w:rPr>
          <w:rFonts w:ascii="Arial" w:hAnsi="Arial" w:cs="Arial"/>
          <w:b w:val="0"/>
          <w:color w:val="auto"/>
          <w:sz w:val="22"/>
          <w:szCs w:val="22"/>
        </w:rPr>
        <w:tab/>
      </w:r>
      <w:r w:rsidR="00784857" w:rsidRPr="003353F1">
        <w:rPr>
          <w:rFonts w:ascii="Arial" w:hAnsi="Arial" w:cs="Arial"/>
          <w:b w:val="0"/>
          <w:color w:val="auto"/>
          <w:sz w:val="22"/>
          <w:szCs w:val="22"/>
        </w:rPr>
        <w:t>Insurance’s and Industry Obligations</w:t>
      </w:r>
    </w:p>
    <w:p w:rsidR="00784857" w:rsidRPr="003353F1" w:rsidRDefault="00784857" w:rsidP="00AD6830">
      <w:pPr>
        <w:spacing w:before="120" w:after="0"/>
        <w:ind w:left="1440" w:hanging="22"/>
        <w:jc w:val="both"/>
        <w:rPr>
          <w:rFonts w:ascii="Arial" w:hAnsi="Arial" w:cs="Arial"/>
        </w:rPr>
      </w:pPr>
      <w:r w:rsidRPr="003353F1">
        <w:rPr>
          <w:rFonts w:ascii="Arial" w:hAnsi="Arial" w:cs="Arial"/>
        </w:rPr>
        <w:t xml:space="preserve">The Contractor must complete </w:t>
      </w:r>
      <w:r w:rsidR="005C287C" w:rsidRPr="003353F1">
        <w:rPr>
          <w:rFonts w:ascii="Arial" w:hAnsi="Arial" w:cs="Arial"/>
        </w:rPr>
        <w:t xml:space="preserve">schedules demonstrating </w:t>
      </w:r>
      <w:r w:rsidRPr="003353F1">
        <w:rPr>
          <w:rFonts w:ascii="Arial" w:hAnsi="Arial" w:cs="Arial"/>
        </w:rPr>
        <w:t xml:space="preserve">that all required insurance’s are in place and that all relevant industrial relations obligations will be met.  </w:t>
      </w:r>
    </w:p>
    <w:p w:rsidR="00784857" w:rsidRPr="003353F1" w:rsidRDefault="00552709" w:rsidP="00AD6830">
      <w:pPr>
        <w:spacing w:before="120" w:after="0"/>
        <w:ind w:left="873" w:hanging="22"/>
        <w:jc w:val="both"/>
        <w:rPr>
          <w:rFonts w:ascii="Arial" w:hAnsi="Arial" w:cs="Arial"/>
        </w:rPr>
      </w:pPr>
      <w:r w:rsidRPr="003353F1">
        <w:rPr>
          <w:rFonts w:ascii="Arial" w:hAnsi="Arial" w:cs="Arial"/>
        </w:rPr>
        <w:tab/>
      </w:r>
      <w:r w:rsidR="00784857" w:rsidRPr="003353F1">
        <w:rPr>
          <w:rFonts w:ascii="Arial" w:hAnsi="Arial" w:cs="Arial"/>
        </w:rPr>
        <w:tab/>
        <w:t>Financial Viability</w:t>
      </w:r>
    </w:p>
    <w:p w:rsidR="00784857" w:rsidRPr="003353F1" w:rsidRDefault="00784857" w:rsidP="00AD6830">
      <w:pPr>
        <w:tabs>
          <w:tab w:val="left" w:pos="1418"/>
        </w:tabs>
        <w:spacing w:before="120" w:after="0"/>
        <w:ind w:left="1418"/>
        <w:jc w:val="both"/>
        <w:rPr>
          <w:rFonts w:ascii="Arial" w:hAnsi="Arial" w:cs="Arial"/>
        </w:rPr>
      </w:pPr>
      <w:r w:rsidRPr="003353F1">
        <w:rPr>
          <w:rFonts w:ascii="Arial" w:hAnsi="Arial" w:cs="Arial"/>
        </w:rPr>
        <w:lastRenderedPageBreak/>
        <w:t>The Contractor must provide evidence of its ability to fund completion of the works and in the event of being unable to do so must provide an undertaking from their bank of its willingness to fund the works.</w:t>
      </w:r>
    </w:p>
    <w:p w:rsidR="00AD6830" w:rsidRPr="003353F1" w:rsidRDefault="00AD6830" w:rsidP="007276B1">
      <w:pPr>
        <w:pStyle w:val="ListParagraph"/>
        <w:numPr>
          <w:ilvl w:val="0"/>
          <w:numId w:val="4"/>
        </w:numPr>
        <w:spacing w:before="240"/>
        <w:rPr>
          <w:rFonts w:ascii="Arial" w:hAnsi="Arial" w:cs="Arial"/>
        </w:rPr>
      </w:pPr>
      <w:r w:rsidRPr="003353F1">
        <w:rPr>
          <w:rFonts w:ascii="Arial" w:hAnsi="Arial" w:cs="Arial"/>
        </w:rPr>
        <w:t xml:space="preserve">Scored the </w:t>
      </w:r>
      <w:r w:rsidR="00CB0E36" w:rsidRPr="003353F1">
        <w:rPr>
          <w:rFonts w:ascii="Arial" w:hAnsi="Arial" w:cs="Arial"/>
        </w:rPr>
        <w:t>selection criteria</w:t>
      </w:r>
      <w:r w:rsidRPr="003353F1">
        <w:rPr>
          <w:rFonts w:ascii="Arial" w:hAnsi="Arial" w:cs="Arial"/>
        </w:rPr>
        <w:t xml:space="preserve"> which are:</w:t>
      </w:r>
    </w:p>
    <w:p w:rsidR="00784857" w:rsidRPr="003353F1" w:rsidRDefault="00CB0E36" w:rsidP="00784857">
      <w:pPr>
        <w:ind w:left="851"/>
        <w:rPr>
          <w:rFonts w:ascii="Arial" w:hAnsi="Arial" w:cs="Arial"/>
        </w:rPr>
      </w:pPr>
      <w:r w:rsidRPr="003353F1">
        <w:rPr>
          <w:rFonts w:ascii="Arial" w:hAnsi="Arial" w:cs="Arial"/>
        </w:rPr>
        <w:t xml:space="preserve">Scored Evaluation </w:t>
      </w:r>
      <w:r w:rsidR="00784857" w:rsidRPr="003353F1">
        <w:rPr>
          <w:rFonts w:ascii="Arial" w:hAnsi="Arial" w:cs="Arial"/>
        </w:rPr>
        <w:t>Criteria and Weightings</w:t>
      </w:r>
    </w:p>
    <w:p w:rsidR="00CB0E36" w:rsidRPr="003353F1" w:rsidRDefault="00CB0E36" w:rsidP="00CB0E36">
      <w:pPr>
        <w:jc w:val="both"/>
        <w:rPr>
          <w:rFonts w:ascii="Arial" w:hAnsi="Arial" w:cs="Arial"/>
          <w:b/>
        </w:rPr>
      </w:pPr>
      <w:r w:rsidRPr="003353F1">
        <w:rPr>
          <w:rFonts w:ascii="Arial" w:hAnsi="Arial" w:cs="Arial"/>
          <w:b/>
        </w:rPr>
        <w:t xml:space="preserve">C: Scored Selection Criteria </w:t>
      </w:r>
    </w:p>
    <w:tbl>
      <w:tblPr>
        <w:tblStyle w:val="TableGrid"/>
        <w:tblW w:w="10031" w:type="dxa"/>
        <w:tblLayout w:type="fixed"/>
        <w:tblLook w:val="04A0" w:firstRow="1" w:lastRow="0" w:firstColumn="1" w:lastColumn="0" w:noHBand="0" w:noVBand="1"/>
      </w:tblPr>
      <w:tblGrid>
        <w:gridCol w:w="1242"/>
        <w:gridCol w:w="1985"/>
        <w:gridCol w:w="2268"/>
        <w:gridCol w:w="2693"/>
        <w:gridCol w:w="1843"/>
      </w:tblGrid>
      <w:tr w:rsidR="00CB0E36" w:rsidRPr="00AA3C44" w:rsidTr="003353F1">
        <w:tc>
          <w:tcPr>
            <w:tcW w:w="1242" w:type="dxa"/>
          </w:tcPr>
          <w:p w:rsidR="00CB0E36" w:rsidRPr="00AA3C44" w:rsidRDefault="00CB0E36" w:rsidP="00EF326E">
            <w:pPr>
              <w:jc w:val="both"/>
              <w:rPr>
                <w:rFonts w:ascii="Arial" w:hAnsi="Arial" w:cs="Arial"/>
                <w:b/>
              </w:rPr>
            </w:pPr>
          </w:p>
          <w:p w:rsidR="00CB0E36" w:rsidRPr="00AA3C44" w:rsidRDefault="00CB0E36" w:rsidP="00EF326E">
            <w:pPr>
              <w:jc w:val="both"/>
              <w:rPr>
                <w:rFonts w:ascii="Arial" w:hAnsi="Arial" w:cs="Arial"/>
                <w:b/>
              </w:rPr>
            </w:pPr>
            <w:r w:rsidRPr="00AA3C44">
              <w:rPr>
                <w:rFonts w:ascii="Arial" w:hAnsi="Arial" w:cs="Arial"/>
                <w:b/>
              </w:rPr>
              <w:t>Criterion</w:t>
            </w:r>
          </w:p>
        </w:tc>
        <w:tc>
          <w:tcPr>
            <w:tcW w:w="1985" w:type="dxa"/>
          </w:tcPr>
          <w:p w:rsidR="00CB0E36" w:rsidRPr="00AA3C44" w:rsidRDefault="00CB0E36" w:rsidP="00EF326E">
            <w:pPr>
              <w:jc w:val="both"/>
              <w:rPr>
                <w:rFonts w:ascii="Arial" w:hAnsi="Arial" w:cs="Arial"/>
                <w:b/>
              </w:rPr>
            </w:pPr>
          </w:p>
          <w:p w:rsidR="00CB0E36" w:rsidRPr="00AA3C44" w:rsidRDefault="00CB0E36" w:rsidP="00EF326E">
            <w:pPr>
              <w:jc w:val="both"/>
              <w:rPr>
                <w:rFonts w:ascii="Arial" w:hAnsi="Arial" w:cs="Arial"/>
                <w:b/>
              </w:rPr>
            </w:pPr>
            <w:r w:rsidRPr="00AA3C44">
              <w:rPr>
                <w:rFonts w:ascii="Arial" w:hAnsi="Arial" w:cs="Arial"/>
                <w:b/>
              </w:rPr>
              <w:t>Description</w:t>
            </w:r>
          </w:p>
        </w:tc>
        <w:tc>
          <w:tcPr>
            <w:tcW w:w="2268" w:type="dxa"/>
          </w:tcPr>
          <w:p w:rsidR="00CB0E36" w:rsidRPr="00AA3C44" w:rsidRDefault="00CB0E36" w:rsidP="00EF326E">
            <w:pPr>
              <w:jc w:val="both"/>
              <w:rPr>
                <w:rFonts w:ascii="Arial" w:hAnsi="Arial" w:cs="Arial"/>
                <w:b/>
              </w:rPr>
            </w:pPr>
          </w:p>
          <w:p w:rsidR="00CB0E36" w:rsidRPr="00AA3C44" w:rsidRDefault="00CB0E36" w:rsidP="00EF326E">
            <w:pPr>
              <w:jc w:val="both"/>
              <w:rPr>
                <w:rFonts w:ascii="Arial" w:hAnsi="Arial" w:cs="Arial"/>
                <w:b/>
              </w:rPr>
            </w:pPr>
            <w:r w:rsidRPr="00AA3C44">
              <w:rPr>
                <w:rFonts w:ascii="Arial" w:hAnsi="Arial" w:cs="Arial"/>
                <w:b/>
              </w:rPr>
              <w:t>Measure</w:t>
            </w:r>
          </w:p>
        </w:tc>
        <w:tc>
          <w:tcPr>
            <w:tcW w:w="2693" w:type="dxa"/>
          </w:tcPr>
          <w:p w:rsidR="00CB0E36" w:rsidRPr="00AA3C44" w:rsidRDefault="00CB0E36" w:rsidP="00EF326E">
            <w:pPr>
              <w:jc w:val="both"/>
              <w:rPr>
                <w:rFonts w:ascii="Arial" w:hAnsi="Arial" w:cs="Arial"/>
                <w:b/>
              </w:rPr>
            </w:pPr>
          </w:p>
          <w:p w:rsidR="00CB0E36" w:rsidRPr="00AA3C44" w:rsidRDefault="00CB0E36" w:rsidP="00EF326E">
            <w:pPr>
              <w:jc w:val="both"/>
              <w:rPr>
                <w:rFonts w:ascii="Arial" w:hAnsi="Arial" w:cs="Arial"/>
                <w:b/>
              </w:rPr>
            </w:pPr>
            <w:r w:rsidRPr="00AA3C44">
              <w:rPr>
                <w:rFonts w:ascii="Arial" w:hAnsi="Arial" w:cs="Arial"/>
                <w:b/>
              </w:rPr>
              <w:t>Method of measure</w:t>
            </w:r>
          </w:p>
          <w:p w:rsidR="00CB0E36" w:rsidRPr="00AA3C44" w:rsidRDefault="00CB0E36" w:rsidP="00EF326E">
            <w:pPr>
              <w:jc w:val="both"/>
              <w:rPr>
                <w:rFonts w:ascii="Arial" w:hAnsi="Arial" w:cs="Arial"/>
                <w:b/>
              </w:rPr>
            </w:pPr>
            <w:r w:rsidRPr="00AA3C44">
              <w:rPr>
                <w:rFonts w:ascii="Arial" w:hAnsi="Arial" w:cs="Arial"/>
                <w:b/>
              </w:rPr>
              <w:t xml:space="preserve"> </w:t>
            </w:r>
          </w:p>
        </w:tc>
        <w:tc>
          <w:tcPr>
            <w:tcW w:w="1843" w:type="dxa"/>
          </w:tcPr>
          <w:p w:rsidR="00CB0E36" w:rsidRPr="00AA3C44" w:rsidRDefault="00CB0E36" w:rsidP="00EF326E">
            <w:pPr>
              <w:jc w:val="both"/>
              <w:rPr>
                <w:rFonts w:ascii="Arial" w:hAnsi="Arial" w:cs="Arial"/>
                <w:b/>
              </w:rPr>
            </w:pPr>
          </w:p>
          <w:p w:rsidR="00CB0E36" w:rsidRPr="00AA3C44" w:rsidRDefault="00CB0E36" w:rsidP="00EF326E">
            <w:pPr>
              <w:jc w:val="both"/>
              <w:rPr>
                <w:rFonts w:ascii="Arial" w:hAnsi="Arial" w:cs="Arial"/>
                <w:b/>
              </w:rPr>
            </w:pPr>
            <w:r w:rsidRPr="00AA3C44">
              <w:rPr>
                <w:rFonts w:ascii="Arial" w:hAnsi="Arial" w:cs="Arial"/>
                <w:b/>
              </w:rPr>
              <w:t>Weighting</w:t>
            </w:r>
          </w:p>
        </w:tc>
      </w:tr>
      <w:tr w:rsidR="00CB0E36" w:rsidRPr="006405EC" w:rsidTr="003353F1">
        <w:tc>
          <w:tcPr>
            <w:tcW w:w="1242" w:type="dxa"/>
          </w:tcPr>
          <w:p w:rsidR="00CB0E36" w:rsidRDefault="00CB0E36" w:rsidP="00EF326E">
            <w:pPr>
              <w:rPr>
                <w:rFonts w:ascii="Arial" w:hAnsi="Arial" w:cs="Arial"/>
                <w:b/>
                <w:sz w:val="16"/>
                <w:szCs w:val="16"/>
              </w:rPr>
            </w:pPr>
            <w:r w:rsidRPr="006405EC">
              <w:rPr>
                <w:rFonts w:ascii="Arial" w:hAnsi="Arial" w:cs="Arial"/>
                <w:b/>
                <w:sz w:val="16"/>
                <w:szCs w:val="16"/>
              </w:rPr>
              <w:t>Level of Service/</w:t>
            </w:r>
          </w:p>
          <w:p w:rsidR="00CB0E36" w:rsidRPr="006405EC" w:rsidRDefault="00CB0E36" w:rsidP="00EF326E">
            <w:pPr>
              <w:rPr>
                <w:rFonts w:ascii="Arial" w:hAnsi="Arial" w:cs="Arial"/>
                <w:b/>
                <w:sz w:val="16"/>
                <w:szCs w:val="16"/>
              </w:rPr>
            </w:pPr>
            <w:r>
              <w:rPr>
                <w:rFonts w:ascii="Arial" w:hAnsi="Arial" w:cs="Arial"/>
                <w:b/>
                <w:sz w:val="16"/>
                <w:szCs w:val="16"/>
              </w:rPr>
              <w:t>C</w:t>
            </w:r>
            <w:r w:rsidRPr="006405EC">
              <w:rPr>
                <w:rFonts w:ascii="Arial" w:hAnsi="Arial" w:cs="Arial"/>
                <w:b/>
                <w:sz w:val="16"/>
                <w:szCs w:val="16"/>
              </w:rPr>
              <w:t>apability (Quality)</w:t>
            </w:r>
          </w:p>
        </w:tc>
        <w:tc>
          <w:tcPr>
            <w:tcW w:w="1985" w:type="dxa"/>
          </w:tcPr>
          <w:p w:rsidR="00CB0E36" w:rsidRPr="006405EC" w:rsidRDefault="00CB0E36" w:rsidP="00EF326E">
            <w:pPr>
              <w:rPr>
                <w:rFonts w:ascii="Arial" w:hAnsi="Arial" w:cs="Arial"/>
                <w:b/>
                <w:sz w:val="16"/>
                <w:szCs w:val="16"/>
              </w:rPr>
            </w:pPr>
            <w:r w:rsidRPr="006405EC">
              <w:rPr>
                <w:rFonts w:ascii="Arial" w:hAnsi="Arial" w:cs="Arial"/>
                <w:b/>
                <w:sz w:val="16"/>
                <w:szCs w:val="16"/>
              </w:rPr>
              <w:t>Ability to provide the works which meet the specified requirements</w:t>
            </w:r>
          </w:p>
        </w:tc>
        <w:tc>
          <w:tcPr>
            <w:tcW w:w="2268" w:type="dxa"/>
          </w:tcPr>
          <w:p w:rsidR="00CB0E36" w:rsidRPr="006405EC" w:rsidRDefault="00CB0E36" w:rsidP="00EF326E">
            <w:pPr>
              <w:rPr>
                <w:rFonts w:ascii="Arial" w:hAnsi="Arial" w:cs="Arial"/>
                <w:b/>
                <w:sz w:val="16"/>
                <w:szCs w:val="16"/>
              </w:rPr>
            </w:pPr>
            <w:r w:rsidRPr="006405EC">
              <w:rPr>
                <w:rFonts w:ascii="Arial" w:hAnsi="Arial" w:cs="Arial"/>
                <w:b/>
                <w:sz w:val="16"/>
                <w:szCs w:val="16"/>
              </w:rPr>
              <w:t>Proven record of specification compliance in past contracts</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u w:val="single"/>
              </w:rPr>
            </w:pPr>
            <w:r w:rsidRPr="006405EC">
              <w:rPr>
                <w:rFonts w:ascii="Arial" w:hAnsi="Arial" w:cs="Arial"/>
                <w:b/>
                <w:sz w:val="16"/>
                <w:szCs w:val="16"/>
              </w:rPr>
              <w:t>Quality of systems employed</w:t>
            </w:r>
            <w:r w:rsidRPr="006405EC">
              <w:rPr>
                <w:rFonts w:ascii="Arial" w:hAnsi="Arial" w:cs="Arial"/>
                <w:b/>
                <w:sz w:val="16"/>
                <w:szCs w:val="16"/>
                <w:u w:val="single"/>
              </w:rPr>
              <w:t xml:space="preserve"> </w:t>
            </w:r>
          </w:p>
        </w:tc>
        <w:tc>
          <w:tcPr>
            <w:tcW w:w="2693" w:type="dxa"/>
          </w:tcPr>
          <w:p w:rsidR="00CB0E36" w:rsidRPr="006405EC" w:rsidRDefault="00CB0E36" w:rsidP="00EF326E">
            <w:pPr>
              <w:rPr>
                <w:rFonts w:ascii="Arial" w:hAnsi="Arial" w:cs="Arial"/>
                <w:b/>
                <w:sz w:val="16"/>
                <w:szCs w:val="16"/>
              </w:rPr>
            </w:pPr>
            <w:r w:rsidRPr="006405EC">
              <w:rPr>
                <w:rFonts w:ascii="Arial" w:hAnsi="Arial" w:cs="Arial"/>
                <w:b/>
                <w:sz w:val="16"/>
                <w:szCs w:val="16"/>
              </w:rPr>
              <w:t xml:space="preserve">Demonstrated skills, including the ability to manage labour and plant in delivering quality finishes and to identify and manage all risks. </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r w:rsidRPr="006405EC">
              <w:rPr>
                <w:rFonts w:ascii="Arial" w:hAnsi="Arial" w:cs="Arial"/>
                <w:b/>
                <w:sz w:val="16"/>
                <w:szCs w:val="16"/>
              </w:rPr>
              <w:t>Proven record of timely completion of all works based on past contractual performances and using referee check</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r w:rsidRPr="006405EC">
              <w:rPr>
                <w:rFonts w:ascii="Arial" w:hAnsi="Arial" w:cs="Arial"/>
                <w:b/>
                <w:sz w:val="16"/>
                <w:szCs w:val="16"/>
              </w:rPr>
              <w:t>Standard Management and Quality Systems</w:t>
            </w:r>
          </w:p>
        </w:tc>
        <w:tc>
          <w:tcPr>
            <w:tcW w:w="1843" w:type="dxa"/>
          </w:tcPr>
          <w:p w:rsidR="00CB0E36" w:rsidRPr="006405EC" w:rsidRDefault="00CB0E36" w:rsidP="00EF326E">
            <w:pPr>
              <w:rPr>
                <w:rFonts w:ascii="Arial" w:hAnsi="Arial" w:cs="Arial"/>
                <w:b/>
                <w:sz w:val="16"/>
                <w:szCs w:val="16"/>
              </w:rPr>
            </w:pPr>
            <w:r w:rsidRPr="006405EC">
              <w:rPr>
                <w:rFonts w:ascii="Arial" w:hAnsi="Arial" w:cs="Arial"/>
                <w:b/>
                <w:sz w:val="16"/>
                <w:szCs w:val="16"/>
              </w:rPr>
              <w:t>20%</w:t>
            </w:r>
          </w:p>
        </w:tc>
      </w:tr>
      <w:tr w:rsidR="00CB0E36" w:rsidRPr="006405EC" w:rsidTr="003353F1">
        <w:tc>
          <w:tcPr>
            <w:tcW w:w="1242" w:type="dxa"/>
          </w:tcPr>
          <w:p w:rsidR="00CB0E36" w:rsidRPr="006405EC" w:rsidRDefault="00CB0E36" w:rsidP="00EF326E">
            <w:pPr>
              <w:rPr>
                <w:rFonts w:ascii="Arial" w:hAnsi="Arial" w:cs="Arial"/>
                <w:b/>
                <w:sz w:val="16"/>
                <w:szCs w:val="16"/>
              </w:rPr>
            </w:pPr>
            <w:r w:rsidRPr="006405EC">
              <w:rPr>
                <w:rFonts w:ascii="Arial" w:hAnsi="Arial" w:cs="Arial"/>
                <w:b/>
                <w:sz w:val="16"/>
                <w:szCs w:val="16"/>
              </w:rPr>
              <w:t xml:space="preserve">Capacity (Resources) </w:t>
            </w:r>
          </w:p>
        </w:tc>
        <w:tc>
          <w:tcPr>
            <w:tcW w:w="1985" w:type="dxa"/>
          </w:tcPr>
          <w:p w:rsidR="00CB0E36" w:rsidRPr="006405EC" w:rsidRDefault="00CB0E36" w:rsidP="00EF326E">
            <w:pPr>
              <w:rPr>
                <w:rFonts w:ascii="Arial" w:hAnsi="Arial" w:cs="Arial"/>
                <w:b/>
                <w:sz w:val="16"/>
                <w:szCs w:val="16"/>
              </w:rPr>
            </w:pPr>
            <w:r w:rsidRPr="006405EC">
              <w:rPr>
                <w:rFonts w:ascii="Arial" w:hAnsi="Arial" w:cs="Arial"/>
                <w:b/>
                <w:sz w:val="16"/>
                <w:szCs w:val="16"/>
              </w:rPr>
              <w:t xml:space="preserve">Ability to supply works within the timeframes required </w:t>
            </w:r>
          </w:p>
        </w:tc>
        <w:tc>
          <w:tcPr>
            <w:tcW w:w="2268" w:type="dxa"/>
          </w:tcPr>
          <w:p w:rsidR="00CB0E36" w:rsidRPr="006405EC" w:rsidRDefault="00CB0E36" w:rsidP="00EF326E">
            <w:pPr>
              <w:rPr>
                <w:rFonts w:ascii="Arial" w:hAnsi="Arial" w:cs="Arial"/>
                <w:b/>
                <w:sz w:val="16"/>
                <w:szCs w:val="16"/>
              </w:rPr>
            </w:pPr>
            <w:r w:rsidRPr="006405EC">
              <w:rPr>
                <w:rFonts w:ascii="Arial" w:hAnsi="Arial" w:cs="Arial"/>
                <w:b/>
                <w:sz w:val="16"/>
                <w:szCs w:val="16"/>
              </w:rPr>
              <w:t xml:space="preserve">Sufficient resources to ensure reliability of works. </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u w:val="single"/>
              </w:rPr>
            </w:pPr>
            <w:r w:rsidRPr="006405EC">
              <w:rPr>
                <w:rFonts w:ascii="Arial" w:hAnsi="Arial" w:cs="Arial"/>
                <w:b/>
                <w:sz w:val="16"/>
                <w:szCs w:val="16"/>
              </w:rPr>
              <w:t>Ability to carry out work within the required timeframes</w:t>
            </w:r>
            <w:r w:rsidRPr="006405EC">
              <w:rPr>
                <w:rFonts w:ascii="Arial" w:hAnsi="Arial" w:cs="Arial"/>
                <w:b/>
                <w:sz w:val="16"/>
                <w:szCs w:val="16"/>
                <w:u w:val="single"/>
              </w:rPr>
              <w:t xml:space="preserve"> </w:t>
            </w:r>
          </w:p>
        </w:tc>
        <w:tc>
          <w:tcPr>
            <w:tcW w:w="2693" w:type="dxa"/>
          </w:tcPr>
          <w:p w:rsidR="00CB0E36" w:rsidRPr="006405EC" w:rsidRDefault="00CB0E36" w:rsidP="00EF326E">
            <w:pPr>
              <w:rPr>
                <w:rFonts w:ascii="Arial" w:hAnsi="Arial" w:cs="Arial"/>
                <w:b/>
                <w:sz w:val="16"/>
                <w:szCs w:val="16"/>
              </w:rPr>
            </w:pPr>
            <w:r w:rsidRPr="006405EC">
              <w:rPr>
                <w:rFonts w:ascii="Arial" w:hAnsi="Arial" w:cs="Arial"/>
                <w:b/>
                <w:sz w:val="16"/>
                <w:szCs w:val="16"/>
              </w:rPr>
              <w:t>Resources committed to the contract, including skills and experience in delivering quality finishes</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r w:rsidRPr="006405EC">
              <w:rPr>
                <w:rFonts w:ascii="Arial" w:hAnsi="Arial" w:cs="Arial"/>
                <w:b/>
                <w:sz w:val="16"/>
                <w:szCs w:val="16"/>
              </w:rPr>
              <w:t>Current intended contractual commitments and extent of non-municipal operations, relative to available resources</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u w:val="single"/>
              </w:rPr>
            </w:pPr>
          </w:p>
        </w:tc>
        <w:tc>
          <w:tcPr>
            <w:tcW w:w="1843" w:type="dxa"/>
          </w:tcPr>
          <w:p w:rsidR="00CB0E36" w:rsidRPr="006405EC" w:rsidRDefault="00CB0E36" w:rsidP="00EF326E">
            <w:pPr>
              <w:rPr>
                <w:rFonts w:ascii="Arial" w:hAnsi="Arial" w:cs="Arial"/>
                <w:b/>
                <w:sz w:val="16"/>
                <w:szCs w:val="16"/>
              </w:rPr>
            </w:pPr>
            <w:r w:rsidRPr="006405EC">
              <w:rPr>
                <w:rFonts w:ascii="Arial" w:hAnsi="Arial" w:cs="Arial"/>
                <w:b/>
                <w:sz w:val="16"/>
                <w:szCs w:val="16"/>
              </w:rPr>
              <w:t>20%</w:t>
            </w:r>
          </w:p>
        </w:tc>
      </w:tr>
      <w:tr w:rsidR="00CB0E36" w:rsidRPr="006405EC" w:rsidTr="003353F1">
        <w:tc>
          <w:tcPr>
            <w:tcW w:w="1242" w:type="dxa"/>
          </w:tcPr>
          <w:p w:rsidR="00CB0E36" w:rsidRPr="006405EC" w:rsidRDefault="00CB0E36" w:rsidP="00EF326E">
            <w:pPr>
              <w:rPr>
                <w:rFonts w:ascii="Arial" w:hAnsi="Arial" w:cs="Arial"/>
                <w:b/>
                <w:sz w:val="16"/>
                <w:szCs w:val="16"/>
              </w:rPr>
            </w:pPr>
            <w:r w:rsidRPr="006405EC">
              <w:rPr>
                <w:rFonts w:ascii="Arial" w:hAnsi="Arial" w:cs="Arial"/>
                <w:b/>
                <w:sz w:val="16"/>
                <w:szCs w:val="16"/>
              </w:rPr>
              <w:t xml:space="preserve">Financial Benefit </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r w:rsidRPr="006405EC">
              <w:rPr>
                <w:rFonts w:ascii="Arial" w:hAnsi="Arial" w:cs="Arial"/>
                <w:b/>
                <w:sz w:val="16"/>
                <w:szCs w:val="16"/>
              </w:rPr>
              <w:t>(Price)</w:t>
            </w:r>
          </w:p>
        </w:tc>
        <w:tc>
          <w:tcPr>
            <w:tcW w:w="1985" w:type="dxa"/>
          </w:tcPr>
          <w:p w:rsidR="00CB0E36" w:rsidRPr="006405EC" w:rsidRDefault="00CB0E36" w:rsidP="00EF326E">
            <w:pPr>
              <w:rPr>
                <w:rFonts w:ascii="Arial" w:hAnsi="Arial" w:cs="Arial"/>
                <w:b/>
                <w:sz w:val="16"/>
                <w:szCs w:val="16"/>
              </w:rPr>
            </w:pPr>
            <w:r w:rsidRPr="006405EC">
              <w:rPr>
                <w:rFonts w:ascii="Arial" w:hAnsi="Arial" w:cs="Arial"/>
                <w:b/>
                <w:sz w:val="16"/>
                <w:szCs w:val="16"/>
              </w:rPr>
              <w:t>Overall value for money  of each proposal to council</w:t>
            </w:r>
          </w:p>
        </w:tc>
        <w:tc>
          <w:tcPr>
            <w:tcW w:w="2268" w:type="dxa"/>
          </w:tcPr>
          <w:p w:rsidR="00CB0E36" w:rsidRPr="006405EC" w:rsidRDefault="00CB0E36" w:rsidP="00EF326E">
            <w:pPr>
              <w:rPr>
                <w:rFonts w:ascii="Arial" w:hAnsi="Arial" w:cs="Arial"/>
                <w:b/>
                <w:sz w:val="16"/>
                <w:szCs w:val="16"/>
              </w:rPr>
            </w:pPr>
            <w:r w:rsidRPr="006405EC">
              <w:rPr>
                <w:rFonts w:ascii="Arial" w:hAnsi="Arial" w:cs="Arial"/>
                <w:b/>
                <w:sz w:val="16"/>
                <w:szCs w:val="16"/>
              </w:rPr>
              <w:t>Tendered prices</w:t>
            </w:r>
          </w:p>
        </w:tc>
        <w:tc>
          <w:tcPr>
            <w:tcW w:w="2693" w:type="dxa"/>
          </w:tcPr>
          <w:p w:rsidR="00CB0E36" w:rsidRPr="006405EC" w:rsidRDefault="00CB0E36" w:rsidP="00EF326E">
            <w:pPr>
              <w:rPr>
                <w:rFonts w:ascii="Arial" w:hAnsi="Arial" w:cs="Arial"/>
                <w:b/>
                <w:sz w:val="16"/>
                <w:szCs w:val="16"/>
              </w:rPr>
            </w:pPr>
            <w:r w:rsidRPr="006405EC">
              <w:rPr>
                <w:rFonts w:ascii="Arial" w:hAnsi="Arial" w:cs="Arial"/>
                <w:b/>
                <w:sz w:val="16"/>
                <w:szCs w:val="16"/>
              </w:rPr>
              <w:t>Comparison of the price with other submitted tender prices</w:t>
            </w:r>
          </w:p>
          <w:p w:rsidR="00CB0E36" w:rsidRPr="006405EC" w:rsidRDefault="00CB0E36" w:rsidP="00EF326E">
            <w:pPr>
              <w:rPr>
                <w:rFonts w:ascii="Arial" w:hAnsi="Arial" w:cs="Arial"/>
                <w:b/>
                <w:sz w:val="16"/>
                <w:szCs w:val="16"/>
              </w:rPr>
            </w:pPr>
          </w:p>
          <w:p w:rsidR="00CB0E36" w:rsidRPr="006405EC" w:rsidRDefault="00CB0E36" w:rsidP="00EF326E">
            <w:pPr>
              <w:rPr>
                <w:rFonts w:ascii="Arial" w:hAnsi="Arial" w:cs="Arial"/>
                <w:b/>
                <w:sz w:val="16"/>
                <w:szCs w:val="16"/>
              </w:rPr>
            </w:pPr>
            <w:r w:rsidRPr="006405EC">
              <w:rPr>
                <w:rFonts w:ascii="Arial" w:hAnsi="Arial" w:cs="Arial"/>
                <w:b/>
                <w:sz w:val="16"/>
                <w:szCs w:val="16"/>
              </w:rPr>
              <w:t>Local content</w:t>
            </w:r>
          </w:p>
        </w:tc>
        <w:tc>
          <w:tcPr>
            <w:tcW w:w="1843" w:type="dxa"/>
          </w:tcPr>
          <w:p w:rsidR="00CB0E36" w:rsidRPr="006405EC" w:rsidRDefault="00CB0E36" w:rsidP="00EF326E">
            <w:pPr>
              <w:rPr>
                <w:rFonts w:ascii="Arial" w:hAnsi="Arial" w:cs="Arial"/>
                <w:b/>
                <w:sz w:val="16"/>
                <w:szCs w:val="16"/>
              </w:rPr>
            </w:pPr>
            <w:r w:rsidRPr="006405EC">
              <w:rPr>
                <w:rFonts w:ascii="Arial" w:hAnsi="Arial" w:cs="Arial"/>
                <w:b/>
                <w:sz w:val="16"/>
                <w:szCs w:val="16"/>
              </w:rPr>
              <w:t>60%</w:t>
            </w:r>
          </w:p>
        </w:tc>
      </w:tr>
    </w:tbl>
    <w:p w:rsidR="00CB0E36" w:rsidRPr="006405EC" w:rsidRDefault="00CB0E36" w:rsidP="00CB0E36">
      <w:pPr>
        <w:jc w:val="both"/>
        <w:rPr>
          <w:rFonts w:ascii="Arial" w:hAnsi="Arial" w:cs="Arial"/>
          <w:b/>
          <w:sz w:val="16"/>
          <w:szCs w:val="16"/>
        </w:rPr>
      </w:pPr>
    </w:p>
    <w:p w:rsidR="00AD6830" w:rsidRDefault="00AD6830" w:rsidP="00AD6830">
      <w:pPr>
        <w:pStyle w:val="ListParagraph"/>
        <w:numPr>
          <w:ilvl w:val="0"/>
          <w:numId w:val="4"/>
        </w:numPr>
        <w:rPr>
          <w:rFonts w:ascii="Arial" w:hAnsi="Arial" w:cs="Arial"/>
        </w:rPr>
      </w:pPr>
      <w:r>
        <w:rPr>
          <w:rFonts w:ascii="Arial" w:hAnsi="Arial" w:cs="Arial"/>
        </w:rPr>
        <w:t>Under</w:t>
      </w:r>
      <w:r w:rsidR="007E3B77">
        <w:rPr>
          <w:rFonts w:ascii="Arial" w:hAnsi="Arial" w:cs="Arial"/>
        </w:rPr>
        <w:t>take</w:t>
      </w:r>
      <w:r>
        <w:rPr>
          <w:rFonts w:ascii="Arial" w:hAnsi="Arial" w:cs="Arial"/>
        </w:rPr>
        <w:t xml:space="preserve"> the scoring of selection criteria as follows:</w:t>
      </w:r>
    </w:p>
    <w:p w:rsidR="00AD6830" w:rsidRDefault="00AD6830" w:rsidP="00AD6830">
      <w:pPr>
        <w:pStyle w:val="ListParagraph"/>
        <w:numPr>
          <w:ilvl w:val="1"/>
          <w:numId w:val="4"/>
        </w:numPr>
        <w:spacing w:before="60"/>
        <w:rPr>
          <w:rFonts w:ascii="Arial" w:hAnsi="Arial" w:cs="Arial"/>
        </w:rPr>
      </w:pPr>
      <w:r w:rsidRPr="00AD6830">
        <w:rPr>
          <w:rFonts w:ascii="Arial" w:hAnsi="Arial" w:cs="Arial"/>
        </w:rPr>
        <w:t xml:space="preserve">Each council will score each tender against the </w:t>
      </w:r>
      <w:r w:rsidRPr="00AD6830">
        <w:rPr>
          <w:rFonts w:ascii="Arial" w:hAnsi="Arial" w:cs="Arial"/>
          <w:color w:val="000000" w:themeColor="text1"/>
        </w:rPr>
        <w:t>Level of Service / Capability and Capacity (Resources)</w:t>
      </w:r>
      <w:r w:rsidR="008048FA">
        <w:rPr>
          <w:rFonts w:ascii="Arial" w:hAnsi="Arial" w:cs="Arial"/>
          <w:color w:val="000000" w:themeColor="text1"/>
        </w:rPr>
        <w:t xml:space="preserve"> </w:t>
      </w:r>
      <w:r w:rsidRPr="00AD6830">
        <w:rPr>
          <w:rFonts w:ascii="Arial" w:hAnsi="Arial" w:cs="Arial"/>
        </w:rPr>
        <w:t>selection criteria</w:t>
      </w:r>
      <w:r w:rsidR="008048FA">
        <w:rPr>
          <w:rFonts w:ascii="Arial" w:hAnsi="Arial" w:cs="Arial"/>
        </w:rPr>
        <w:t xml:space="preserve"> using the follow ratings</w:t>
      </w:r>
      <w:r w:rsidR="007834C2">
        <w:rPr>
          <w:rFonts w:ascii="Arial" w:hAnsi="Arial" w:cs="Arial"/>
        </w:rPr>
        <w:t xml:space="preserve"> prior to the tender evaluation meeting</w:t>
      </w:r>
      <w:r w:rsidR="008048FA">
        <w:rPr>
          <w:rFonts w:ascii="Arial" w:hAnsi="Arial" w:cs="Arial"/>
        </w:rPr>
        <w:t>:</w:t>
      </w:r>
    </w:p>
    <w:tbl>
      <w:tblPr>
        <w:tblW w:w="3300" w:type="dxa"/>
        <w:jc w:val="center"/>
        <w:tblInd w:w="96" w:type="dxa"/>
        <w:tblLook w:val="04A0" w:firstRow="1" w:lastRow="0" w:firstColumn="1" w:lastColumn="0" w:noHBand="0" w:noVBand="1"/>
      </w:tblPr>
      <w:tblGrid>
        <w:gridCol w:w="2340"/>
        <w:gridCol w:w="960"/>
      </w:tblGrid>
      <w:tr w:rsidR="008048FA" w:rsidRPr="00CB0E36" w:rsidTr="008048FA">
        <w:trPr>
          <w:trHeight w:val="255"/>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Excellent</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100/100</w:t>
            </w:r>
          </w:p>
        </w:tc>
      </w:tr>
      <w:tr w:rsidR="008048FA" w:rsidRPr="00CB0E36" w:rsidTr="008048FA">
        <w:trPr>
          <w:trHeight w:val="255"/>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Very Good</w:t>
            </w:r>
          </w:p>
        </w:tc>
        <w:tc>
          <w:tcPr>
            <w:tcW w:w="960" w:type="dxa"/>
            <w:tcBorders>
              <w:top w:val="nil"/>
              <w:left w:val="nil"/>
              <w:bottom w:val="single" w:sz="4"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80/100</w:t>
            </w:r>
          </w:p>
        </w:tc>
      </w:tr>
      <w:tr w:rsidR="008048FA" w:rsidRPr="00CB0E36" w:rsidTr="008048FA">
        <w:trPr>
          <w:trHeight w:val="255"/>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Good</w:t>
            </w:r>
          </w:p>
        </w:tc>
        <w:tc>
          <w:tcPr>
            <w:tcW w:w="960" w:type="dxa"/>
            <w:tcBorders>
              <w:top w:val="nil"/>
              <w:left w:val="nil"/>
              <w:bottom w:val="single" w:sz="4"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60/100</w:t>
            </w:r>
          </w:p>
        </w:tc>
      </w:tr>
      <w:tr w:rsidR="008048FA" w:rsidRPr="00CB0E36" w:rsidTr="008048FA">
        <w:trPr>
          <w:trHeight w:val="255"/>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Fair</w:t>
            </w:r>
          </w:p>
        </w:tc>
        <w:tc>
          <w:tcPr>
            <w:tcW w:w="960" w:type="dxa"/>
            <w:tcBorders>
              <w:top w:val="nil"/>
              <w:left w:val="nil"/>
              <w:bottom w:val="single" w:sz="4"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40/100</w:t>
            </w:r>
          </w:p>
        </w:tc>
      </w:tr>
      <w:tr w:rsidR="008048FA" w:rsidRPr="00CB0E36" w:rsidTr="008048FA">
        <w:trPr>
          <w:trHeight w:val="255"/>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Poor</w:t>
            </w:r>
          </w:p>
        </w:tc>
        <w:tc>
          <w:tcPr>
            <w:tcW w:w="960" w:type="dxa"/>
            <w:tcBorders>
              <w:top w:val="nil"/>
              <w:left w:val="nil"/>
              <w:bottom w:val="single" w:sz="4"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20/100</w:t>
            </w:r>
          </w:p>
        </w:tc>
      </w:tr>
      <w:tr w:rsidR="008048FA" w:rsidRPr="00CB0E36" w:rsidTr="008048FA">
        <w:trPr>
          <w:trHeight w:val="270"/>
          <w:jc w:val="center"/>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rsidR="008048FA" w:rsidRPr="00CB0E36" w:rsidRDefault="008048FA" w:rsidP="008048FA">
            <w:pPr>
              <w:spacing w:after="0" w:line="240" w:lineRule="auto"/>
              <w:rPr>
                <w:rFonts w:ascii="Arial" w:eastAsia="Times New Roman" w:hAnsi="Arial" w:cs="Arial"/>
                <w:b/>
                <w:bCs/>
                <w:sz w:val="20"/>
                <w:szCs w:val="20"/>
              </w:rPr>
            </w:pPr>
            <w:r w:rsidRPr="00CB0E36">
              <w:rPr>
                <w:rFonts w:ascii="Arial" w:eastAsia="Times New Roman" w:hAnsi="Arial" w:cs="Arial"/>
                <w:b/>
                <w:bCs/>
                <w:sz w:val="20"/>
                <w:szCs w:val="20"/>
              </w:rPr>
              <w:t>Unacceptable</w:t>
            </w:r>
          </w:p>
        </w:tc>
        <w:tc>
          <w:tcPr>
            <w:tcW w:w="960" w:type="dxa"/>
            <w:tcBorders>
              <w:top w:val="nil"/>
              <w:left w:val="nil"/>
              <w:bottom w:val="single" w:sz="8" w:space="0" w:color="auto"/>
              <w:right w:val="single" w:sz="8" w:space="0" w:color="auto"/>
            </w:tcBorders>
            <w:shd w:val="clear" w:color="auto" w:fill="auto"/>
            <w:noWrap/>
            <w:vAlign w:val="bottom"/>
            <w:hideMark/>
          </w:tcPr>
          <w:p w:rsidR="008048FA" w:rsidRPr="00CB0E36" w:rsidRDefault="008048FA" w:rsidP="008048FA">
            <w:pPr>
              <w:spacing w:after="0" w:line="240" w:lineRule="auto"/>
              <w:jc w:val="center"/>
              <w:rPr>
                <w:rFonts w:ascii="Arial" w:eastAsia="Times New Roman" w:hAnsi="Arial" w:cs="Arial"/>
                <w:b/>
                <w:bCs/>
                <w:sz w:val="20"/>
                <w:szCs w:val="20"/>
              </w:rPr>
            </w:pPr>
            <w:r w:rsidRPr="00CB0E36">
              <w:rPr>
                <w:rFonts w:ascii="Arial" w:eastAsia="Times New Roman" w:hAnsi="Arial" w:cs="Arial"/>
                <w:b/>
                <w:bCs/>
                <w:sz w:val="20"/>
                <w:szCs w:val="20"/>
              </w:rPr>
              <w:t>0/100</w:t>
            </w:r>
          </w:p>
        </w:tc>
      </w:tr>
    </w:tbl>
    <w:p w:rsidR="007E3B77" w:rsidRPr="00CB0E36" w:rsidRDefault="007E3B77" w:rsidP="00AD6830">
      <w:pPr>
        <w:pStyle w:val="ListParagraph"/>
        <w:numPr>
          <w:ilvl w:val="1"/>
          <w:numId w:val="4"/>
        </w:numPr>
        <w:spacing w:before="60"/>
        <w:rPr>
          <w:rFonts w:ascii="Arial" w:hAnsi="Arial" w:cs="Arial"/>
        </w:rPr>
      </w:pPr>
      <w:r w:rsidRPr="00CB0E36">
        <w:rPr>
          <w:rFonts w:ascii="Arial" w:hAnsi="Arial" w:cs="Arial"/>
        </w:rPr>
        <w:t>The weightings will be applied to each score</w:t>
      </w:r>
    </w:p>
    <w:p w:rsidR="00AD6830" w:rsidRDefault="00AD6830" w:rsidP="00AD6830">
      <w:pPr>
        <w:pStyle w:val="ListParagraph"/>
        <w:numPr>
          <w:ilvl w:val="1"/>
          <w:numId w:val="4"/>
        </w:numPr>
        <w:rPr>
          <w:rFonts w:ascii="Arial" w:hAnsi="Arial" w:cs="Arial"/>
        </w:rPr>
      </w:pPr>
      <w:r>
        <w:rPr>
          <w:rFonts w:ascii="Arial" w:hAnsi="Arial" w:cs="Arial"/>
        </w:rPr>
        <w:t xml:space="preserve">An </w:t>
      </w:r>
      <w:r w:rsidRPr="007E3B77">
        <w:rPr>
          <w:rFonts w:ascii="Arial" w:hAnsi="Arial" w:cs="Arial"/>
          <w:b/>
        </w:rPr>
        <w:t>average score</w:t>
      </w:r>
      <w:r>
        <w:rPr>
          <w:rFonts w:ascii="Arial" w:hAnsi="Arial" w:cs="Arial"/>
        </w:rPr>
        <w:t xml:space="preserve"> will be derived</w:t>
      </w:r>
      <w:r w:rsidR="007834C2">
        <w:rPr>
          <w:rFonts w:ascii="Arial" w:hAnsi="Arial" w:cs="Arial"/>
        </w:rPr>
        <w:t xml:space="preserve"> at the tender evaluation meeting.</w:t>
      </w:r>
    </w:p>
    <w:p w:rsidR="00AD6830" w:rsidRDefault="00AD6830" w:rsidP="007E3B77">
      <w:pPr>
        <w:pStyle w:val="ListParagraph"/>
        <w:numPr>
          <w:ilvl w:val="1"/>
          <w:numId w:val="4"/>
        </w:numPr>
        <w:spacing w:before="120"/>
        <w:rPr>
          <w:rFonts w:ascii="Arial" w:hAnsi="Arial" w:cs="Arial"/>
        </w:rPr>
      </w:pPr>
      <w:r>
        <w:rPr>
          <w:rFonts w:ascii="Arial" w:hAnsi="Arial" w:cs="Arial"/>
        </w:rPr>
        <w:lastRenderedPageBreak/>
        <w:t>All participant</w:t>
      </w:r>
      <w:r w:rsidR="007276B1">
        <w:rPr>
          <w:rFonts w:ascii="Arial" w:hAnsi="Arial" w:cs="Arial"/>
        </w:rPr>
        <w:t>s</w:t>
      </w:r>
      <w:r>
        <w:rPr>
          <w:rFonts w:ascii="Arial" w:hAnsi="Arial" w:cs="Arial"/>
        </w:rPr>
        <w:t xml:space="preserve"> will determine an </w:t>
      </w:r>
      <w:r w:rsidRPr="007E3B77">
        <w:rPr>
          <w:rFonts w:ascii="Arial" w:hAnsi="Arial" w:cs="Arial"/>
          <w:b/>
        </w:rPr>
        <w:t>agreed score</w:t>
      </w:r>
      <w:r>
        <w:rPr>
          <w:rFonts w:ascii="Arial" w:hAnsi="Arial" w:cs="Arial"/>
        </w:rPr>
        <w:t xml:space="preserve"> (which may be the average </w:t>
      </w:r>
      <w:r w:rsidR="007E3B77">
        <w:rPr>
          <w:rFonts w:ascii="Arial" w:hAnsi="Arial" w:cs="Arial"/>
        </w:rPr>
        <w:t>score</w:t>
      </w:r>
      <w:r>
        <w:rPr>
          <w:rFonts w:ascii="Arial" w:hAnsi="Arial" w:cs="Arial"/>
        </w:rPr>
        <w:t xml:space="preserve">) </w:t>
      </w:r>
    </w:p>
    <w:p w:rsidR="007E3B77" w:rsidRDefault="007E3B77" w:rsidP="007E3B77">
      <w:pPr>
        <w:pStyle w:val="ListParagraph"/>
        <w:spacing w:before="120"/>
        <w:ind w:left="1440"/>
        <w:rPr>
          <w:rFonts w:ascii="Arial" w:hAnsi="Arial" w:cs="Arial"/>
        </w:rPr>
      </w:pPr>
    </w:p>
    <w:p w:rsidR="007E3B77" w:rsidRDefault="007E3B77" w:rsidP="007E3B77">
      <w:pPr>
        <w:pStyle w:val="ListParagraph"/>
        <w:numPr>
          <w:ilvl w:val="0"/>
          <w:numId w:val="4"/>
        </w:numPr>
        <w:spacing w:before="600"/>
        <w:rPr>
          <w:rFonts w:ascii="Arial" w:hAnsi="Arial" w:cs="Arial"/>
        </w:rPr>
      </w:pPr>
      <w:r>
        <w:rPr>
          <w:rFonts w:ascii="Arial" w:hAnsi="Arial" w:cs="Arial"/>
        </w:rPr>
        <w:t>Undertake the scoring of pricing as follows:</w:t>
      </w:r>
    </w:p>
    <w:p w:rsidR="00D47165" w:rsidRPr="00552709" w:rsidRDefault="007E3B77" w:rsidP="00552709">
      <w:pPr>
        <w:ind w:left="851"/>
        <w:jc w:val="both"/>
        <w:rPr>
          <w:rFonts w:ascii="Arial" w:hAnsi="Arial" w:cs="Arial"/>
          <w:color w:val="000000" w:themeColor="text1"/>
        </w:rPr>
      </w:pPr>
      <w:r>
        <w:rPr>
          <w:rFonts w:ascii="Arial" w:hAnsi="Arial" w:cs="Arial"/>
          <w:color w:val="000000" w:themeColor="text1"/>
        </w:rPr>
        <w:t>Methodology for applying volume to the prices received to be discussed and agreed.</w:t>
      </w:r>
      <w:r w:rsidR="00552709">
        <w:rPr>
          <w:rFonts w:ascii="Arial" w:hAnsi="Arial" w:cs="Arial"/>
          <w:color w:val="000000" w:themeColor="text1"/>
        </w:rPr>
        <w:t xml:space="preserve"> </w:t>
      </w:r>
      <w:r w:rsidR="00D47165" w:rsidRPr="00CB0E36">
        <w:rPr>
          <w:rFonts w:ascii="Arial" w:hAnsi="Arial" w:cs="Arial"/>
        </w:rPr>
        <w:t>The recommended formula for assessing the values derived is:</w:t>
      </w:r>
    </w:p>
    <w:p w:rsidR="008048FA" w:rsidRPr="00CB0E36" w:rsidRDefault="008048FA" w:rsidP="007276B1">
      <w:pPr>
        <w:tabs>
          <w:tab w:val="left" w:pos="6237"/>
        </w:tabs>
        <w:autoSpaceDE w:val="0"/>
        <w:autoSpaceDN w:val="0"/>
        <w:adjustRightInd w:val="0"/>
        <w:spacing w:before="120" w:after="0"/>
        <w:ind w:left="851"/>
        <w:jc w:val="center"/>
        <w:rPr>
          <w:rFonts w:ascii="Arial" w:hAnsi="Arial" w:cs="Arial"/>
          <w:bCs/>
          <w:iCs/>
          <w:u w:val="single"/>
        </w:rPr>
      </w:pPr>
      <w:r w:rsidRPr="00CB0E36">
        <w:rPr>
          <w:rFonts w:ascii="Arial" w:hAnsi="Arial" w:cs="Arial"/>
          <w:bCs/>
          <w:iCs/>
        </w:rPr>
        <w:t xml:space="preserve">Price Score               =               </w:t>
      </w:r>
      <w:r w:rsidRPr="00CB0E36">
        <w:rPr>
          <w:rFonts w:ascii="Arial" w:hAnsi="Arial" w:cs="Arial"/>
          <w:bCs/>
          <w:iCs/>
          <w:u w:val="single"/>
        </w:rPr>
        <w:t>Lowest Tender Price X 100</w:t>
      </w:r>
    </w:p>
    <w:p w:rsidR="008048FA" w:rsidRPr="00CB0E36" w:rsidRDefault="007276B1" w:rsidP="007276B1">
      <w:pPr>
        <w:tabs>
          <w:tab w:val="left" w:pos="6237"/>
        </w:tabs>
        <w:autoSpaceDE w:val="0"/>
        <w:autoSpaceDN w:val="0"/>
        <w:adjustRightInd w:val="0"/>
        <w:spacing w:after="120"/>
        <w:ind w:left="851"/>
        <w:rPr>
          <w:rFonts w:ascii="Arial" w:hAnsi="Arial" w:cs="Arial"/>
          <w:bCs/>
          <w:iCs/>
        </w:rPr>
      </w:pPr>
      <w:r w:rsidRPr="00CB0E36">
        <w:rPr>
          <w:rFonts w:ascii="Arial" w:hAnsi="Arial" w:cs="Arial"/>
          <w:bCs/>
          <w:iCs/>
        </w:rPr>
        <w:tab/>
      </w:r>
      <w:r w:rsidR="008048FA" w:rsidRPr="00CB0E36">
        <w:rPr>
          <w:rFonts w:ascii="Arial" w:hAnsi="Arial" w:cs="Arial"/>
          <w:bCs/>
          <w:iCs/>
        </w:rPr>
        <w:t>Tender Price</w:t>
      </w:r>
    </w:p>
    <w:p w:rsidR="007276B1" w:rsidRDefault="007276B1" w:rsidP="007276B1">
      <w:pPr>
        <w:tabs>
          <w:tab w:val="left" w:pos="6237"/>
        </w:tabs>
        <w:autoSpaceDE w:val="0"/>
        <w:autoSpaceDN w:val="0"/>
        <w:adjustRightInd w:val="0"/>
        <w:spacing w:after="120"/>
        <w:ind w:left="851"/>
        <w:rPr>
          <w:rFonts w:ascii="Arial" w:hAnsi="Arial" w:cs="Arial"/>
          <w:bCs/>
          <w:iCs/>
          <w:color w:val="000000"/>
        </w:rPr>
      </w:pPr>
      <w:r>
        <w:rPr>
          <w:rFonts w:ascii="Arial" w:hAnsi="Arial" w:cs="Arial"/>
          <w:bCs/>
          <w:iCs/>
          <w:color w:val="000000"/>
        </w:rPr>
        <w:t>Where “Tender Price” is the price of the tender being evaluated.</w:t>
      </w:r>
    </w:p>
    <w:p w:rsidR="007276B1" w:rsidRDefault="007276B1" w:rsidP="007276B1">
      <w:pPr>
        <w:pStyle w:val="ListParagraph"/>
        <w:numPr>
          <w:ilvl w:val="0"/>
          <w:numId w:val="4"/>
        </w:numPr>
        <w:spacing w:before="100" w:beforeAutospacing="1"/>
        <w:rPr>
          <w:rFonts w:ascii="Arial" w:hAnsi="Arial" w:cs="Arial"/>
          <w:color w:val="000000" w:themeColor="text1"/>
        </w:rPr>
      </w:pPr>
      <w:r>
        <w:rPr>
          <w:rFonts w:ascii="Arial" w:hAnsi="Arial" w:cs="Arial"/>
          <w:color w:val="000000" w:themeColor="text1"/>
        </w:rPr>
        <w:t>Clarification of matters arising from tender evaluation.</w:t>
      </w:r>
    </w:p>
    <w:p w:rsidR="007276B1" w:rsidRDefault="007276B1" w:rsidP="007276B1">
      <w:pPr>
        <w:pStyle w:val="ListParagraph"/>
        <w:spacing w:before="1080"/>
        <w:rPr>
          <w:rFonts w:ascii="Arial" w:hAnsi="Arial" w:cs="Arial"/>
          <w:color w:val="000000" w:themeColor="text1"/>
        </w:rPr>
      </w:pPr>
    </w:p>
    <w:p w:rsidR="007276B1" w:rsidRDefault="007276B1" w:rsidP="007276B1">
      <w:pPr>
        <w:pStyle w:val="ListParagraph"/>
        <w:numPr>
          <w:ilvl w:val="0"/>
          <w:numId w:val="4"/>
        </w:numPr>
        <w:spacing w:before="100" w:beforeAutospacing="1"/>
        <w:rPr>
          <w:rFonts w:ascii="Arial" w:hAnsi="Arial" w:cs="Arial"/>
          <w:color w:val="000000" w:themeColor="text1"/>
        </w:rPr>
      </w:pPr>
      <w:r>
        <w:rPr>
          <w:rFonts w:ascii="Arial" w:hAnsi="Arial" w:cs="Arial"/>
          <w:color w:val="000000" w:themeColor="text1"/>
        </w:rPr>
        <w:t>Finalisation of Scoring</w:t>
      </w:r>
    </w:p>
    <w:p w:rsidR="007276B1" w:rsidRPr="007276B1" w:rsidRDefault="007276B1" w:rsidP="007276B1">
      <w:pPr>
        <w:pStyle w:val="ListParagraph"/>
        <w:rPr>
          <w:rFonts w:ascii="Arial" w:hAnsi="Arial" w:cs="Arial"/>
          <w:color w:val="000000" w:themeColor="text1"/>
        </w:rPr>
      </w:pPr>
    </w:p>
    <w:p w:rsidR="007276B1" w:rsidRDefault="007276B1" w:rsidP="007276B1">
      <w:pPr>
        <w:pStyle w:val="ListParagraph"/>
        <w:numPr>
          <w:ilvl w:val="0"/>
          <w:numId w:val="4"/>
        </w:numPr>
        <w:spacing w:before="100" w:beforeAutospacing="1"/>
        <w:rPr>
          <w:rFonts w:ascii="Arial" w:hAnsi="Arial" w:cs="Arial"/>
          <w:color w:val="000000" w:themeColor="text1"/>
        </w:rPr>
      </w:pPr>
      <w:r>
        <w:rPr>
          <w:rFonts w:ascii="Arial" w:hAnsi="Arial" w:cs="Arial"/>
          <w:color w:val="000000" w:themeColor="text1"/>
        </w:rPr>
        <w:t>Short listing based on weighted scoring</w:t>
      </w:r>
    </w:p>
    <w:p w:rsidR="007276B1" w:rsidRDefault="007276B1" w:rsidP="007276B1">
      <w:pPr>
        <w:pStyle w:val="ListParagraph"/>
        <w:spacing w:before="100" w:beforeAutospacing="1"/>
        <w:rPr>
          <w:rFonts w:ascii="Arial" w:hAnsi="Arial" w:cs="Arial"/>
          <w:color w:val="000000" w:themeColor="text1"/>
        </w:rPr>
      </w:pPr>
    </w:p>
    <w:p w:rsidR="007276B1" w:rsidRDefault="007276B1" w:rsidP="007276B1">
      <w:pPr>
        <w:pStyle w:val="ListParagraph"/>
        <w:numPr>
          <w:ilvl w:val="0"/>
          <w:numId w:val="4"/>
        </w:numPr>
        <w:spacing w:before="100" w:beforeAutospacing="1"/>
        <w:rPr>
          <w:rFonts w:ascii="Arial" w:hAnsi="Arial" w:cs="Arial"/>
          <w:color w:val="000000" w:themeColor="text1"/>
        </w:rPr>
      </w:pPr>
      <w:r>
        <w:rPr>
          <w:rFonts w:ascii="Arial" w:hAnsi="Arial" w:cs="Arial"/>
          <w:color w:val="000000" w:themeColor="text1"/>
        </w:rPr>
        <w:t>Financial due diligence – references , financial capacity assessment</w:t>
      </w:r>
    </w:p>
    <w:p w:rsidR="007276B1" w:rsidRPr="007276B1" w:rsidRDefault="007276B1" w:rsidP="007276B1">
      <w:pPr>
        <w:pStyle w:val="ListParagraph"/>
        <w:rPr>
          <w:rFonts w:ascii="Arial" w:hAnsi="Arial" w:cs="Arial"/>
          <w:color w:val="000000" w:themeColor="text1"/>
        </w:rPr>
      </w:pPr>
    </w:p>
    <w:p w:rsidR="007276B1" w:rsidRPr="007276B1" w:rsidRDefault="007276B1" w:rsidP="007276B1">
      <w:pPr>
        <w:pStyle w:val="ListParagraph"/>
        <w:numPr>
          <w:ilvl w:val="0"/>
          <w:numId w:val="4"/>
        </w:numPr>
        <w:spacing w:before="100" w:beforeAutospacing="1"/>
        <w:rPr>
          <w:rFonts w:ascii="Arial" w:hAnsi="Arial" w:cs="Arial"/>
          <w:color w:val="000000" w:themeColor="text1"/>
        </w:rPr>
      </w:pPr>
      <w:r>
        <w:rPr>
          <w:rFonts w:ascii="Arial" w:hAnsi="Arial" w:cs="Arial"/>
          <w:color w:val="000000" w:themeColor="text1"/>
        </w:rPr>
        <w:t>Recommendation</w:t>
      </w:r>
      <w:r w:rsidR="00E74854">
        <w:rPr>
          <w:rFonts w:ascii="Arial" w:hAnsi="Arial" w:cs="Arial"/>
          <w:color w:val="000000" w:themeColor="text1"/>
        </w:rPr>
        <w:t xml:space="preserve"> </w:t>
      </w:r>
    </w:p>
    <w:sectPr w:rsidR="007276B1" w:rsidRPr="007276B1" w:rsidSect="003353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0C" w:rsidRDefault="0085550C" w:rsidP="0085550C">
      <w:pPr>
        <w:spacing w:after="0" w:line="240" w:lineRule="auto"/>
      </w:pPr>
      <w:r>
        <w:separator/>
      </w:r>
    </w:p>
  </w:endnote>
  <w:endnote w:type="continuationSeparator" w:id="0">
    <w:p w:rsidR="0085550C" w:rsidRDefault="0085550C" w:rsidP="0085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F2" w:rsidRDefault="00CD7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9463"/>
      <w:docPartObj>
        <w:docPartGallery w:val="Page Numbers (Bottom of Page)"/>
        <w:docPartUnique/>
      </w:docPartObj>
    </w:sdtPr>
    <w:sdtEndPr/>
    <w:sdtContent>
      <w:p w:rsidR="001A2811" w:rsidRDefault="00993C82">
        <w:pPr>
          <w:pStyle w:val="Footer"/>
          <w:jc w:val="right"/>
        </w:pPr>
        <w:r>
          <w:fldChar w:fldCharType="begin"/>
        </w:r>
        <w:r>
          <w:instrText xml:space="preserve"> PAGE   \* MERGEFORMAT </w:instrText>
        </w:r>
        <w:r>
          <w:fldChar w:fldCharType="separate"/>
        </w:r>
        <w:r w:rsidR="00EA36AC">
          <w:rPr>
            <w:noProof/>
          </w:rPr>
          <w:t>5</w:t>
        </w:r>
        <w:r>
          <w:rPr>
            <w:noProof/>
          </w:rPr>
          <w:fldChar w:fldCharType="end"/>
        </w:r>
      </w:p>
    </w:sdtContent>
  </w:sdt>
  <w:p w:rsidR="0085550C" w:rsidRPr="00CD7AF2" w:rsidRDefault="001A2811" w:rsidP="00CD76BB">
    <w:pPr>
      <w:pStyle w:val="Footer"/>
      <w:rPr>
        <w:sz w:val="16"/>
        <w:szCs w:val="16"/>
      </w:rPr>
    </w:pPr>
    <w:r w:rsidRPr="00CD7AF2">
      <w:rPr>
        <w:sz w:val="16"/>
        <w:szCs w:val="16"/>
      </w:rPr>
      <w:t>LGRF Template</w:t>
    </w:r>
  </w:p>
  <w:p w:rsidR="001A2811" w:rsidRPr="00CD7AF2" w:rsidRDefault="001A2811" w:rsidP="00CD76BB">
    <w:pPr>
      <w:pStyle w:val="Footer"/>
      <w:rPr>
        <w:sz w:val="16"/>
        <w:szCs w:val="16"/>
      </w:rPr>
    </w:pPr>
    <w:r w:rsidRPr="00CD7AF2">
      <w:rPr>
        <w:sz w:val="16"/>
        <w:szCs w:val="16"/>
      </w:rPr>
      <w:t xml:space="preserve">Tender Evaluation Plan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F2" w:rsidRDefault="00CD7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0C" w:rsidRDefault="0085550C" w:rsidP="0085550C">
      <w:pPr>
        <w:spacing w:after="0" w:line="240" w:lineRule="auto"/>
      </w:pPr>
      <w:r>
        <w:separator/>
      </w:r>
    </w:p>
  </w:footnote>
  <w:footnote w:type="continuationSeparator" w:id="0">
    <w:p w:rsidR="0085550C" w:rsidRDefault="0085550C" w:rsidP="00855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F2" w:rsidRDefault="00CD7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0C" w:rsidRDefault="003E45AC" w:rsidP="005C287C">
    <w:pPr>
      <w:pStyle w:val="Header"/>
    </w:pPr>
    <w:r w:rsidRPr="003E45AC">
      <w:rPr>
        <w:noProof/>
      </w:rPr>
      <w:drawing>
        <wp:inline distT="0" distB="0" distL="0" distR="0">
          <wp:extent cx="5731510" cy="742621"/>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31510" cy="74262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F2" w:rsidRDefault="00CD7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355"/>
    <w:multiLevelType w:val="hybridMultilevel"/>
    <w:tmpl w:val="C7CC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7D0391"/>
    <w:multiLevelType w:val="hybridMultilevel"/>
    <w:tmpl w:val="F2EE15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4A5986"/>
    <w:multiLevelType w:val="hybridMultilevel"/>
    <w:tmpl w:val="4E26986A"/>
    <w:lvl w:ilvl="0" w:tplc="8E7CB2D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E146D2"/>
    <w:multiLevelType w:val="singleLevel"/>
    <w:tmpl w:val="7A14EB62"/>
    <w:lvl w:ilvl="0">
      <w:numFmt w:val="bullet"/>
      <w:lvlText w:val="-"/>
      <w:lvlJc w:val="left"/>
      <w:pPr>
        <w:tabs>
          <w:tab w:val="num" w:pos="3195"/>
        </w:tabs>
        <w:ind w:left="3195" w:hanging="360"/>
      </w:pPr>
      <w:rPr>
        <w:rFonts w:ascii="Times New Roman" w:hAnsi="Times New Roman" w:hint="default"/>
      </w:rPr>
    </w:lvl>
  </w:abstractNum>
  <w:abstractNum w:abstractNumId="4">
    <w:nsid w:val="44727CF5"/>
    <w:multiLevelType w:val="multilevel"/>
    <w:tmpl w:val="6D66429C"/>
    <w:lvl w:ilvl="0">
      <w:start w:val="1"/>
      <w:numFmt w:val="lowerLetter"/>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9975A3"/>
    <w:multiLevelType w:val="multilevel"/>
    <w:tmpl w:val="8AF2FB8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E2749FB"/>
    <w:multiLevelType w:val="singleLevel"/>
    <w:tmpl w:val="CFFEDF12"/>
    <w:lvl w:ilvl="0">
      <w:start w:val="1"/>
      <w:numFmt w:val="bullet"/>
      <w:pStyle w:val="FPCopyNo"/>
      <w:lvlText w:val="●"/>
      <w:lvlJc w:val="left"/>
      <w:pPr>
        <w:tabs>
          <w:tab w:val="num" w:pos="360"/>
        </w:tabs>
        <w:ind w:left="360" w:hanging="360"/>
      </w:pPr>
      <w:rPr>
        <w:rFonts w:ascii="Times New Roman" w:hAnsi="Times New Roman" w:hint="default"/>
        <w:sz w:val="20"/>
      </w:rPr>
    </w:lvl>
  </w:abstractNum>
  <w:abstractNum w:abstractNumId="7">
    <w:nsid w:val="61FE1A4E"/>
    <w:multiLevelType w:val="hybridMultilevel"/>
    <w:tmpl w:val="9642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506099"/>
    <w:multiLevelType w:val="hybridMultilevel"/>
    <w:tmpl w:val="50DCA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6"/>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86"/>
    <w:rsid w:val="00012318"/>
    <w:rsid w:val="0001788A"/>
    <w:rsid w:val="00020703"/>
    <w:rsid w:val="00027BF5"/>
    <w:rsid w:val="0003210D"/>
    <w:rsid w:val="00040BBA"/>
    <w:rsid w:val="000519A0"/>
    <w:rsid w:val="00063F31"/>
    <w:rsid w:val="000668EC"/>
    <w:rsid w:val="00066B7F"/>
    <w:rsid w:val="00066E32"/>
    <w:rsid w:val="00077E8F"/>
    <w:rsid w:val="00084706"/>
    <w:rsid w:val="000A7E63"/>
    <w:rsid w:val="000C3915"/>
    <w:rsid w:val="000C5454"/>
    <w:rsid w:val="000C5587"/>
    <w:rsid w:val="000C6E0B"/>
    <w:rsid w:val="00102393"/>
    <w:rsid w:val="00115803"/>
    <w:rsid w:val="0011719D"/>
    <w:rsid w:val="00117A8D"/>
    <w:rsid w:val="00120B99"/>
    <w:rsid w:val="00121D84"/>
    <w:rsid w:val="001336DF"/>
    <w:rsid w:val="0013687A"/>
    <w:rsid w:val="001376C8"/>
    <w:rsid w:val="001451A9"/>
    <w:rsid w:val="00156E3E"/>
    <w:rsid w:val="0019193C"/>
    <w:rsid w:val="001A2811"/>
    <w:rsid w:val="001D4125"/>
    <w:rsid w:val="001F1A13"/>
    <w:rsid w:val="0021227C"/>
    <w:rsid w:val="0021459B"/>
    <w:rsid w:val="00215B50"/>
    <w:rsid w:val="00217C91"/>
    <w:rsid w:val="00225BAC"/>
    <w:rsid w:val="00231912"/>
    <w:rsid w:val="00246D45"/>
    <w:rsid w:val="00257862"/>
    <w:rsid w:val="00260696"/>
    <w:rsid w:val="0028734F"/>
    <w:rsid w:val="002A0E35"/>
    <w:rsid w:val="002A7AF8"/>
    <w:rsid w:val="002B0BDC"/>
    <w:rsid w:val="002B4513"/>
    <w:rsid w:val="002D6C83"/>
    <w:rsid w:val="002F427C"/>
    <w:rsid w:val="00330392"/>
    <w:rsid w:val="00331DE9"/>
    <w:rsid w:val="003353F1"/>
    <w:rsid w:val="00372E80"/>
    <w:rsid w:val="003862C9"/>
    <w:rsid w:val="00387840"/>
    <w:rsid w:val="003B10C4"/>
    <w:rsid w:val="003D51F9"/>
    <w:rsid w:val="003E45AC"/>
    <w:rsid w:val="003F6191"/>
    <w:rsid w:val="00404003"/>
    <w:rsid w:val="00422141"/>
    <w:rsid w:val="00425EB4"/>
    <w:rsid w:val="0042797B"/>
    <w:rsid w:val="00433E87"/>
    <w:rsid w:val="004446C8"/>
    <w:rsid w:val="00457150"/>
    <w:rsid w:val="0046074D"/>
    <w:rsid w:val="00480283"/>
    <w:rsid w:val="0048135D"/>
    <w:rsid w:val="00491626"/>
    <w:rsid w:val="004920B8"/>
    <w:rsid w:val="00494DAE"/>
    <w:rsid w:val="004A433D"/>
    <w:rsid w:val="004E4E71"/>
    <w:rsid w:val="00552709"/>
    <w:rsid w:val="00552A2E"/>
    <w:rsid w:val="0056521D"/>
    <w:rsid w:val="00570163"/>
    <w:rsid w:val="005808DB"/>
    <w:rsid w:val="005817B2"/>
    <w:rsid w:val="005869C0"/>
    <w:rsid w:val="00595552"/>
    <w:rsid w:val="005C287C"/>
    <w:rsid w:val="005D21F7"/>
    <w:rsid w:val="005E7CFE"/>
    <w:rsid w:val="005F1004"/>
    <w:rsid w:val="005F21F5"/>
    <w:rsid w:val="005F2520"/>
    <w:rsid w:val="00613DFF"/>
    <w:rsid w:val="006142CD"/>
    <w:rsid w:val="006309FA"/>
    <w:rsid w:val="006538A1"/>
    <w:rsid w:val="006760F8"/>
    <w:rsid w:val="006875FE"/>
    <w:rsid w:val="006A45D0"/>
    <w:rsid w:val="006B5CC1"/>
    <w:rsid w:val="006D4871"/>
    <w:rsid w:val="006E59A2"/>
    <w:rsid w:val="006F1A9F"/>
    <w:rsid w:val="00725B30"/>
    <w:rsid w:val="007276B1"/>
    <w:rsid w:val="00750081"/>
    <w:rsid w:val="00751116"/>
    <w:rsid w:val="00761F5E"/>
    <w:rsid w:val="00763BA3"/>
    <w:rsid w:val="0076476E"/>
    <w:rsid w:val="007719F5"/>
    <w:rsid w:val="00780426"/>
    <w:rsid w:val="007834C2"/>
    <w:rsid w:val="00784857"/>
    <w:rsid w:val="0079107B"/>
    <w:rsid w:val="007A36B0"/>
    <w:rsid w:val="007B6ACB"/>
    <w:rsid w:val="007D4AFB"/>
    <w:rsid w:val="007E3B77"/>
    <w:rsid w:val="007F089A"/>
    <w:rsid w:val="007F202C"/>
    <w:rsid w:val="007F6D86"/>
    <w:rsid w:val="008048FA"/>
    <w:rsid w:val="008119D3"/>
    <w:rsid w:val="008324BE"/>
    <w:rsid w:val="00833A53"/>
    <w:rsid w:val="00834489"/>
    <w:rsid w:val="00835E8C"/>
    <w:rsid w:val="0085550C"/>
    <w:rsid w:val="0086108E"/>
    <w:rsid w:val="00870AFC"/>
    <w:rsid w:val="008B493D"/>
    <w:rsid w:val="008B63C0"/>
    <w:rsid w:val="009019DD"/>
    <w:rsid w:val="00905C84"/>
    <w:rsid w:val="00937DB8"/>
    <w:rsid w:val="00946984"/>
    <w:rsid w:val="00951F17"/>
    <w:rsid w:val="00956B2E"/>
    <w:rsid w:val="00957937"/>
    <w:rsid w:val="00977676"/>
    <w:rsid w:val="00977C4E"/>
    <w:rsid w:val="009906FC"/>
    <w:rsid w:val="00993C82"/>
    <w:rsid w:val="009A244A"/>
    <w:rsid w:val="009B796B"/>
    <w:rsid w:val="009E3723"/>
    <w:rsid w:val="009E4D3B"/>
    <w:rsid w:val="00A035BB"/>
    <w:rsid w:val="00A40BCF"/>
    <w:rsid w:val="00A44453"/>
    <w:rsid w:val="00A66806"/>
    <w:rsid w:val="00A822D5"/>
    <w:rsid w:val="00A87143"/>
    <w:rsid w:val="00A92010"/>
    <w:rsid w:val="00AB1716"/>
    <w:rsid w:val="00AD6830"/>
    <w:rsid w:val="00AD6CA7"/>
    <w:rsid w:val="00AE4AC0"/>
    <w:rsid w:val="00AF281D"/>
    <w:rsid w:val="00AF63EC"/>
    <w:rsid w:val="00B15F97"/>
    <w:rsid w:val="00B25770"/>
    <w:rsid w:val="00B37AA6"/>
    <w:rsid w:val="00B56E3A"/>
    <w:rsid w:val="00B71507"/>
    <w:rsid w:val="00B81BA3"/>
    <w:rsid w:val="00B95055"/>
    <w:rsid w:val="00B97B42"/>
    <w:rsid w:val="00BC3A72"/>
    <w:rsid w:val="00BC5559"/>
    <w:rsid w:val="00BD25AD"/>
    <w:rsid w:val="00BF34CF"/>
    <w:rsid w:val="00BF54F1"/>
    <w:rsid w:val="00BF7353"/>
    <w:rsid w:val="00C143E4"/>
    <w:rsid w:val="00C15B39"/>
    <w:rsid w:val="00C17C6E"/>
    <w:rsid w:val="00C33DBF"/>
    <w:rsid w:val="00C3728C"/>
    <w:rsid w:val="00C472E0"/>
    <w:rsid w:val="00C65E3F"/>
    <w:rsid w:val="00C70940"/>
    <w:rsid w:val="00C80C90"/>
    <w:rsid w:val="00C81EF1"/>
    <w:rsid w:val="00C83E67"/>
    <w:rsid w:val="00C83F08"/>
    <w:rsid w:val="00C85401"/>
    <w:rsid w:val="00C90B3F"/>
    <w:rsid w:val="00C94E87"/>
    <w:rsid w:val="00CA5C7A"/>
    <w:rsid w:val="00CB0E36"/>
    <w:rsid w:val="00CB32C7"/>
    <w:rsid w:val="00CD76BB"/>
    <w:rsid w:val="00CD7AF2"/>
    <w:rsid w:val="00CF460C"/>
    <w:rsid w:val="00D02115"/>
    <w:rsid w:val="00D13802"/>
    <w:rsid w:val="00D359EB"/>
    <w:rsid w:val="00D36AAB"/>
    <w:rsid w:val="00D47165"/>
    <w:rsid w:val="00D55C69"/>
    <w:rsid w:val="00D573BC"/>
    <w:rsid w:val="00D57A96"/>
    <w:rsid w:val="00D62FE4"/>
    <w:rsid w:val="00DB0CB2"/>
    <w:rsid w:val="00DB69E8"/>
    <w:rsid w:val="00DC27A1"/>
    <w:rsid w:val="00DC547A"/>
    <w:rsid w:val="00DF1803"/>
    <w:rsid w:val="00DF2684"/>
    <w:rsid w:val="00E31BF2"/>
    <w:rsid w:val="00E455D3"/>
    <w:rsid w:val="00E455FC"/>
    <w:rsid w:val="00E5316F"/>
    <w:rsid w:val="00E571A1"/>
    <w:rsid w:val="00E74854"/>
    <w:rsid w:val="00E81001"/>
    <w:rsid w:val="00E862B1"/>
    <w:rsid w:val="00E93D0B"/>
    <w:rsid w:val="00E96D9C"/>
    <w:rsid w:val="00EA36AC"/>
    <w:rsid w:val="00ED442D"/>
    <w:rsid w:val="00EF1918"/>
    <w:rsid w:val="00F20DB3"/>
    <w:rsid w:val="00F42FB2"/>
    <w:rsid w:val="00F4487D"/>
    <w:rsid w:val="00F578D1"/>
    <w:rsid w:val="00FA01DE"/>
    <w:rsid w:val="00FB1DE1"/>
    <w:rsid w:val="00FD33D8"/>
    <w:rsid w:val="00FE1C14"/>
    <w:rsid w:val="00FE3777"/>
    <w:rsid w:val="00FE79FC"/>
    <w:rsid w:val="00FF2A28"/>
    <w:rsid w:val="00FF4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470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784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F6D86"/>
    <w:pPr>
      <w:widowControl w:val="0"/>
      <w:spacing w:after="0" w:line="240" w:lineRule="auto"/>
      <w:jc w:val="center"/>
    </w:pPr>
    <w:rPr>
      <w:rFonts w:ascii="Arial" w:eastAsia="Times New Roman" w:hAnsi="Arial" w:cs="Times New Roman"/>
      <w:b/>
      <w:snapToGrid w:val="0"/>
      <w:sz w:val="28"/>
      <w:szCs w:val="20"/>
    </w:rPr>
  </w:style>
  <w:style w:type="character" w:customStyle="1" w:styleId="SubtitleChar">
    <w:name w:val="Subtitle Char"/>
    <w:basedOn w:val="DefaultParagraphFont"/>
    <w:link w:val="Subtitle"/>
    <w:rsid w:val="007F6D86"/>
    <w:rPr>
      <w:rFonts w:ascii="Arial" w:eastAsia="Times New Roman" w:hAnsi="Arial" w:cs="Times New Roman"/>
      <w:b/>
      <w:snapToGrid w:val="0"/>
      <w:sz w:val="28"/>
      <w:szCs w:val="20"/>
    </w:rPr>
  </w:style>
  <w:style w:type="table" w:styleId="TableGrid">
    <w:name w:val="Table Grid"/>
    <w:basedOn w:val="TableNormal"/>
    <w:uiPriority w:val="59"/>
    <w:rsid w:val="007F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D86"/>
    <w:rPr>
      <w:rFonts w:ascii="Tahoma" w:hAnsi="Tahoma" w:cs="Tahoma"/>
      <w:sz w:val="16"/>
      <w:szCs w:val="16"/>
    </w:rPr>
  </w:style>
  <w:style w:type="paragraph" w:styleId="NormalWeb">
    <w:name w:val="Normal (Web)"/>
    <w:basedOn w:val="Normal"/>
    <w:link w:val="NormalWebChar"/>
    <w:uiPriority w:val="99"/>
    <w:unhideWhenUsed/>
    <w:rsid w:val="007F6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F6D86"/>
    <w:rPr>
      <w:rFonts w:ascii="Times New Roman" w:eastAsia="Times New Roman" w:hAnsi="Times New Roman" w:cs="Times New Roman"/>
      <w:sz w:val="24"/>
      <w:szCs w:val="24"/>
      <w:lang w:eastAsia="en-AU"/>
    </w:rPr>
  </w:style>
  <w:style w:type="paragraph" w:customStyle="1" w:styleId="Tableheading">
    <w:name w:val="Table heading"/>
    <w:basedOn w:val="Normal"/>
    <w:rsid w:val="003D51F9"/>
    <w:pPr>
      <w:spacing w:after="240" w:line="240" w:lineRule="atLeast"/>
      <w:jc w:val="both"/>
    </w:pPr>
    <w:rPr>
      <w:rFonts w:ascii="Arial" w:eastAsia="Times New Roman" w:hAnsi="Arial" w:cs="Times New Roman"/>
      <w:b/>
      <w:sz w:val="18"/>
      <w:szCs w:val="20"/>
    </w:rPr>
  </w:style>
  <w:style w:type="paragraph" w:customStyle="1" w:styleId="TableText">
    <w:name w:val="Table Text"/>
    <w:basedOn w:val="BodyText"/>
    <w:link w:val="TableTextChar"/>
    <w:rsid w:val="003D51F9"/>
    <w:pPr>
      <w:spacing w:after="240" w:line="240" w:lineRule="auto"/>
      <w:jc w:val="both"/>
    </w:pPr>
    <w:rPr>
      <w:rFonts w:ascii="Arial" w:eastAsia="Times New Roman" w:hAnsi="Arial" w:cs="Times New Roman"/>
      <w:sz w:val="18"/>
      <w:szCs w:val="20"/>
    </w:rPr>
  </w:style>
  <w:style w:type="character" w:customStyle="1" w:styleId="TableTextChar">
    <w:name w:val="Table Text Char"/>
    <w:basedOn w:val="DefaultParagraphFont"/>
    <w:link w:val="TableText"/>
    <w:rsid w:val="003D51F9"/>
    <w:rPr>
      <w:rFonts w:ascii="Arial" w:eastAsia="Times New Roman" w:hAnsi="Arial" w:cs="Times New Roman"/>
      <w:sz w:val="18"/>
      <w:szCs w:val="20"/>
    </w:rPr>
  </w:style>
  <w:style w:type="paragraph" w:styleId="BodyText">
    <w:name w:val="Body Text"/>
    <w:basedOn w:val="Normal"/>
    <w:link w:val="BodyTextChar"/>
    <w:uiPriority w:val="99"/>
    <w:semiHidden/>
    <w:unhideWhenUsed/>
    <w:rsid w:val="003D51F9"/>
    <w:pPr>
      <w:spacing w:after="120"/>
    </w:pPr>
  </w:style>
  <w:style w:type="character" w:customStyle="1" w:styleId="BodyTextChar">
    <w:name w:val="Body Text Char"/>
    <w:basedOn w:val="DefaultParagraphFont"/>
    <w:link w:val="BodyText"/>
    <w:uiPriority w:val="99"/>
    <w:semiHidden/>
    <w:rsid w:val="003D51F9"/>
  </w:style>
  <w:style w:type="paragraph" w:styleId="Header">
    <w:name w:val="header"/>
    <w:basedOn w:val="Normal"/>
    <w:link w:val="HeaderChar"/>
    <w:rsid w:val="00CF460C"/>
    <w:pPr>
      <w:tabs>
        <w:tab w:val="center" w:pos="4153"/>
        <w:tab w:val="right" w:pos="8306"/>
      </w:tabs>
      <w:spacing w:after="240" w:line="240" w:lineRule="atLeast"/>
      <w:jc w:val="both"/>
    </w:pPr>
    <w:rPr>
      <w:rFonts w:ascii="Arial" w:eastAsia="Times New Roman" w:hAnsi="Arial" w:cs="Times New Roman"/>
      <w:sz w:val="20"/>
      <w:szCs w:val="20"/>
    </w:rPr>
  </w:style>
  <w:style w:type="character" w:customStyle="1" w:styleId="HeaderChar">
    <w:name w:val="Header Char"/>
    <w:basedOn w:val="DefaultParagraphFont"/>
    <w:link w:val="Header"/>
    <w:rsid w:val="00CF460C"/>
    <w:rPr>
      <w:rFonts w:ascii="Arial" w:eastAsia="Times New Roman" w:hAnsi="Arial" w:cs="Times New Roman"/>
      <w:sz w:val="20"/>
      <w:szCs w:val="20"/>
    </w:rPr>
  </w:style>
  <w:style w:type="paragraph" w:styleId="ListParagraph">
    <w:name w:val="List Paragraph"/>
    <w:basedOn w:val="Normal"/>
    <w:uiPriority w:val="34"/>
    <w:qFormat/>
    <w:rsid w:val="00CF460C"/>
    <w:pPr>
      <w:ind w:left="720"/>
      <w:contextualSpacing/>
    </w:pPr>
  </w:style>
  <w:style w:type="character" w:customStyle="1" w:styleId="Heading1Char">
    <w:name w:val="Heading 1 Char"/>
    <w:basedOn w:val="DefaultParagraphFont"/>
    <w:link w:val="Heading1"/>
    <w:rsid w:val="0008470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784857"/>
    <w:rPr>
      <w:rFonts w:asciiTheme="majorHAnsi" w:eastAsiaTheme="majorEastAsia" w:hAnsiTheme="majorHAnsi" w:cstheme="majorBidi"/>
      <w:b/>
      <w:bCs/>
      <w:color w:val="4F81BD" w:themeColor="accent1"/>
      <w:sz w:val="26"/>
      <w:szCs w:val="26"/>
    </w:rPr>
  </w:style>
  <w:style w:type="paragraph" w:customStyle="1" w:styleId="StyleBodyTextArial">
    <w:name w:val="Style Body Text + Arial"/>
    <w:basedOn w:val="BodyText"/>
    <w:link w:val="StyleBodyTextArialChar"/>
    <w:autoRedefine/>
    <w:rsid w:val="00784857"/>
    <w:pPr>
      <w:tabs>
        <w:tab w:val="num" w:pos="851"/>
      </w:tabs>
      <w:spacing w:before="240" w:line="240" w:lineRule="auto"/>
      <w:ind w:left="851"/>
      <w:jc w:val="both"/>
    </w:pPr>
    <w:rPr>
      <w:rFonts w:ascii="Arial" w:eastAsia="Times New Roman" w:hAnsi="Arial" w:cs="Times New Roman"/>
      <w:color w:val="000000" w:themeColor="text1"/>
      <w:lang w:val="en-GB"/>
    </w:rPr>
  </w:style>
  <w:style w:type="character" w:customStyle="1" w:styleId="StyleBodyTextArialChar">
    <w:name w:val="Style Body Text + Arial Char"/>
    <w:basedOn w:val="BodyTextChar"/>
    <w:link w:val="StyleBodyTextArial"/>
    <w:rsid w:val="00784857"/>
    <w:rPr>
      <w:rFonts w:ascii="Arial" w:eastAsia="Times New Roman" w:hAnsi="Arial" w:cs="Times New Roman"/>
      <w:color w:val="000000" w:themeColor="text1"/>
      <w:lang w:val="en-GB"/>
    </w:rPr>
  </w:style>
  <w:style w:type="paragraph" w:customStyle="1" w:styleId="FPCopyNo">
    <w:name w:val="FPCopyNo"/>
    <w:basedOn w:val="Normal"/>
    <w:rsid w:val="00784857"/>
    <w:pPr>
      <w:numPr>
        <w:numId w:val="5"/>
      </w:numPr>
      <w:tabs>
        <w:tab w:val="clear" w:pos="360"/>
      </w:tabs>
      <w:spacing w:after="0" w:line="240" w:lineRule="auto"/>
      <w:ind w:left="0" w:right="895" w:firstLine="0"/>
      <w:jc w:val="right"/>
    </w:pPr>
    <w:rPr>
      <w:rFonts w:ascii="Arial" w:eastAsia="Times New Roman" w:hAnsi="Arial" w:cs="Times New Roman"/>
      <w:b/>
      <w:w w:val="150"/>
      <w:sz w:val="32"/>
      <w:szCs w:val="20"/>
    </w:rPr>
  </w:style>
  <w:style w:type="paragraph" w:customStyle="1" w:styleId="Bullet">
    <w:name w:val="Bullet"/>
    <w:basedOn w:val="Normal"/>
    <w:rsid w:val="00784857"/>
    <w:pPr>
      <w:numPr>
        <w:numId w:val="6"/>
      </w:numPr>
      <w:tabs>
        <w:tab w:val="left" w:pos="1418"/>
      </w:tabs>
      <w:spacing w:before="240" w:after="0" w:line="240" w:lineRule="auto"/>
      <w:ind w:left="1418" w:hanging="567"/>
      <w:jc w:val="both"/>
    </w:pPr>
    <w:rPr>
      <w:rFonts w:ascii="Times New Roman" w:eastAsia="Times New Roman" w:hAnsi="Times New Roman" w:cs="Times New Roman"/>
      <w:szCs w:val="20"/>
    </w:rPr>
  </w:style>
  <w:style w:type="paragraph" w:customStyle="1" w:styleId="StyleBodyTextIndentArial">
    <w:name w:val="Style Body Text Indent + Arial"/>
    <w:basedOn w:val="BodyTextIndent"/>
    <w:link w:val="StyleBodyTextIndentArialChar"/>
    <w:autoRedefine/>
    <w:rsid w:val="00AD6830"/>
    <w:pPr>
      <w:keepLines/>
      <w:tabs>
        <w:tab w:val="num" w:pos="176"/>
        <w:tab w:val="left" w:pos="2127"/>
        <w:tab w:val="left" w:pos="2835"/>
        <w:tab w:val="right" w:pos="9356"/>
      </w:tabs>
      <w:spacing w:before="120" w:after="0" w:line="240" w:lineRule="auto"/>
      <w:ind w:left="1440"/>
      <w:jc w:val="both"/>
    </w:pPr>
    <w:rPr>
      <w:rFonts w:ascii="Arial" w:eastAsia="Times New Roman" w:hAnsi="Arial" w:cs="Arial"/>
      <w:bCs/>
      <w:color w:val="000000" w:themeColor="text1"/>
    </w:rPr>
  </w:style>
  <w:style w:type="character" w:customStyle="1" w:styleId="StyleBodyTextIndentArialChar">
    <w:name w:val="Style Body Text Indent + Arial Char"/>
    <w:basedOn w:val="DefaultParagraphFont"/>
    <w:link w:val="StyleBodyTextIndentArial"/>
    <w:rsid w:val="00AD6830"/>
    <w:rPr>
      <w:rFonts w:ascii="Arial" w:eastAsia="Times New Roman" w:hAnsi="Arial" w:cs="Arial"/>
      <w:bCs/>
      <w:color w:val="000000" w:themeColor="text1"/>
    </w:rPr>
  </w:style>
  <w:style w:type="paragraph" w:customStyle="1" w:styleId="StyleBulletArial">
    <w:name w:val="Style Bullet + Arial"/>
    <w:basedOn w:val="Bullet"/>
    <w:link w:val="StyleBulletArialChar"/>
    <w:rsid w:val="00784857"/>
    <w:pPr>
      <w:keepLines/>
    </w:pPr>
    <w:rPr>
      <w:rFonts w:ascii="Arial" w:hAnsi="Arial"/>
      <w:szCs w:val="22"/>
    </w:rPr>
  </w:style>
  <w:style w:type="character" w:customStyle="1" w:styleId="StyleBulletArialChar">
    <w:name w:val="Style Bullet + Arial Char"/>
    <w:basedOn w:val="DefaultParagraphFont"/>
    <w:link w:val="StyleBulletArial"/>
    <w:rsid w:val="00784857"/>
    <w:rPr>
      <w:rFonts w:ascii="Arial" w:eastAsia="Times New Roman" w:hAnsi="Arial" w:cs="Times New Roman"/>
    </w:rPr>
  </w:style>
  <w:style w:type="paragraph" w:styleId="BodyTextIndent">
    <w:name w:val="Body Text Indent"/>
    <w:basedOn w:val="Normal"/>
    <w:link w:val="BodyTextIndentChar"/>
    <w:uiPriority w:val="99"/>
    <w:semiHidden/>
    <w:unhideWhenUsed/>
    <w:rsid w:val="00784857"/>
    <w:pPr>
      <w:spacing w:after="120"/>
      <w:ind w:left="283"/>
    </w:pPr>
  </w:style>
  <w:style w:type="character" w:customStyle="1" w:styleId="BodyTextIndentChar">
    <w:name w:val="Body Text Indent Char"/>
    <w:basedOn w:val="DefaultParagraphFont"/>
    <w:link w:val="BodyTextIndent"/>
    <w:uiPriority w:val="99"/>
    <w:semiHidden/>
    <w:rsid w:val="00784857"/>
  </w:style>
  <w:style w:type="paragraph" w:styleId="BodyText3">
    <w:name w:val="Body Text 3"/>
    <w:basedOn w:val="Normal"/>
    <w:link w:val="BodyText3Char"/>
    <w:rsid w:val="008048F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048FA"/>
    <w:rPr>
      <w:rFonts w:ascii="Times New Roman" w:eastAsia="Times New Roman" w:hAnsi="Times New Roman" w:cs="Times New Roman"/>
      <w:sz w:val="16"/>
      <w:szCs w:val="16"/>
      <w:lang w:eastAsia="en-AU"/>
    </w:rPr>
  </w:style>
  <w:style w:type="paragraph" w:styleId="Footer">
    <w:name w:val="footer"/>
    <w:basedOn w:val="Normal"/>
    <w:link w:val="FooterChar"/>
    <w:uiPriority w:val="99"/>
    <w:unhideWhenUsed/>
    <w:rsid w:val="00855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470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784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F6D86"/>
    <w:pPr>
      <w:widowControl w:val="0"/>
      <w:spacing w:after="0" w:line="240" w:lineRule="auto"/>
      <w:jc w:val="center"/>
    </w:pPr>
    <w:rPr>
      <w:rFonts w:ascii="Arial" w:eastAsia="Times New Roman" w:hAnsi="Arial" w:cs="Times New Roman"/>
      <w:b/>
      <w:snapToGrid w:val="0"/>
      <w:sz w:val="28"/>
      <w:szCs w:val="20"/>
    </w:rPr>
  </w:style>
  <w:style w:type="character" w:customStyle="1" w:styleId="SubtitleChar">
    <w:name w:val="Subtitle Char"/>
    <w:basedOn w:val="DefaultParagraphFont"/>
    <w:link w:val="Subtitle"/>
    <w:rsid w:val="007F6D86"/>
    <w:rPr>
      <w:rFonts w:ascii="Arial" w:eastAsia="Times New Roman" w:hAnsi="Arial" w:cs="Times New Roman"/>
      <w:b/>
      <w:snapToGrid w:val="0"/>
      <w:sz w:val="28"/>
      <w:szCs w:val="20"/>
    </w:rPr>
  </w:style>
  <w:style w:type="table" w:styleId="TableGrid">
    <w:name w:val="Table Grid"/>
    <w:basedOn w:val="TableNormal"/>
    <w:uiPriority w:val="59"/>
    <w:rsid w:val="007F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D86"/>
    <w:rPr>
      <w:rFonts w:ascii="Tahoma" w:hAnsi="Tahoma" w:cs="Tahoma"/>
      <w:sz w:val="16"/>
      <w:szCs w:val="16"/>
    </w:rPr>
  </w:style>
  <w:style w:type="paragraph" w:styleId="NormalWeb">
    <w:name w:val="Normal (Web)"/>
    <w:basedOn w:val="Normal"/>
    <w:link w:val="NormalWebChar"/>
    <w:uiPriority w:val="99"/>
    <w:unhideWhenUsed/>
    <w:rsid w:val="007F6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F6D86"/>
    <w:rPr>
      <w:rFonts w:ascii="Times New Roman" w:eastAsia="Times New Roman" w:hAnsi="Times New Roman" w:cs="Times New Roman"/>
      <w:sz w:val="24"/>
      <w:szCs w:val="24"/>
      <w:lang w:eastAsia="en-AU"/>
    </w:rPr>
  </w:style>
  <w:style w:type="paragraph" w:customStyle="1" w:styleId="Tableheading">
    <w:name w:val="Table heading"/>
    <w:basedOn w:val="Normal"/>
    <w:rsid w:val="003D51F9"/>
    <w:pPr>
      <w:spacing w:after="240" w:line="240" w:lineRule="atLeast"/>
      <w:jc w:val="both"/>
    </w:pPr>
    <w:rPr>
      <w:rFonts w:ascii="Arial" w:eastAsia="Times New Roman" w:hAnsi="Arial" w:cs="Times New Roman"/>
      <w:b/>
      <w:sz w:val="18"/>
      <w:szCs w:val="20"/>
    </w:rPr>
  </w:style>
  <w:style w:type="paragraph" w:customStyle="1" w:styleId="TableText">
    <w:name w:val="Table Text"/>
    <w:basedOn w:val="BodyText"/>
    <w:link w:val="TableTextChar"/>
    <w:rsid w:val="003D51F9"/>
    <w:pPr>
      <w:spacing w:after="240" w:line="240" w:lineRule="auto"/>
      <w:jc w:val="both"/>
    </w:pPr>
    <w:rPr>
      <w:rFonts w:ascii="Arial" w:eastAsia="Times New Roman" w:hAnsi="Arial" w:cs="Times New Roman"/>
      <w:sz w:val="18"/>
      <w:szCs w:val="20"/>
    </w:rPr>
  </w:style>
  <w:style w:type="character" w:customStyle="1" w:styleId="TableTextChar">
    <w:name w:val="Table Text Char"/>
    <w:basedOn w:val="DefaultParagraphFont"/>
    <w:link w:val="TableText"/>
    <w:rsid w:val="003D51F9"/>
    <w:rPr>
      <w:rFonts w:ascii="Arial" w:eastAsia="Times New Roman" w:hAnsi="Arial" w:cs="Times New Roman"/>
      <w:sz w:val="18"/>
      <w:szCs w:val="20"/>
    </w:rPr>
  </w:style>
  <w:style w:type="paragraph" w:styleId="BodyText">
    <w:name w:val="Body Text"/>
    <w:basedOn w:val="Normal"/>
    <w:link w:val="BodyTextChar"/>
    <w:uiPriority w:val="99"/>
    <w:semiHidden/>
    <w:unhideWhenUsed/>
    <w:rsid w:val="003D51F9"/>
    <w:pPr>
      <w:spacing w:after="120"/>
    </w:pPr>
  </w:style>
  <w:style w:type="character" w:customStyle="1" w:styleId="BodyTextChar">
    <w:name w:val="Body Text Char"/>
    <w:basedOn w:val="DefaultParagraphFont"/>
    <w:link w:val="BodyText"/>
    <w:uiPriority w:val="99"/>
    <w:semiHidden/>
    <w:rsid w:val="003D51F9"/>
  </w:style>
  <w:style w:type="paragraph" w:styleId="Header">
    <w:name w:val="header"/>
    <w:basedOn w:val="Normal"/>
    <w:link w:val="HeaderChar"/>
    <w:rsid w:val="00CF460C"/>
    <w:pPr>
      <w:tabs>
        <w:tab w:val="center" w:pos="4153"/>
        <w:tab w:val="right" w:pos="8306"/>
      </w:tabs>
      <w:spacing w:after="240" w:line="240" w:lineRule="atLeast"/>
      <w:jc w:val="both"/>
    </w:pPr>
    <w:rPr>
      <w:rFonts w:ascii="Arial" w:eastAsia="Times New Roman" w:hAnsi="Arial" w:cs="Times New Roman"/>
      <w:sz w:val="20"/>
      <w:szCs w:val="20"/>
    </w:rPr>
  </w:style>
  <w:style w:type="character" w:customStyle="1" w:styleId="HeaderChar">
    <w:name w:val="Header Char"/>
    <w:basedOn w:val="DefaultParagraphFont"/>
    <w:link w:val="Header"/>
    <w:rsid w:val="00CF460C"/>
    <w:rPr>
      <w:rFonts w:ascii="Arial" w:eastAsia="Times New Roman" w:hAnsi="Arial" w:cs="Times New Roman"/>
      <w:sz w:val="20"/>
      <w:szCs w:val="20"/>
    </w:rPr>
  </w:style>
  <w:style w:type="paragraph" w:styleId="ListParagraph">
    <w:name w:val="List Paragraph"/>
    <w:basedOn w:val="Normal"/>
    <w:uiPriority w:val="34"/>
    <w:qFormat/>
    <w:rsid w:val="00CF460C"/>
    <w:pPr>
      <w:ind w:left="720"/>
      <w:contextualSpacing/>
    </w:pPr>
  </w:style>
  <w:style w:type="character" w:customStyle="1" w:styleId="Heading1Char">
    <w:name w:val="Heading 1 Char"/>
    <w:basedOn w:val="DefaultParagraphFont"/>
    <w:link w:val="Heading1"/>
    <w:rsid w:val="0008470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784857"/>
    <w:rPr>
      <w:rFonts w:asciiTheme="majorHAnsi" w:eastAsiaTheme="majorEastAsia" w:hAnsiTheme="majorHAnsi" w:cstheme="majorBidi"/>
      <w:b/>
      <w:bCs/>
      <w:color w:val="4F81BD" w:themeColor="accent1"/>
      <w:sz w:val="26"/>
      <w:szCs w:val="26"/>
    </w:rPr>
  </w:style>
  <w:style w:type="paragraph" w:customStyle="1" w:styleId="StyleBodyTextArial">
    <w:name w:val="Style Body Text + Arial"/>
    <w:basedOn w:val="BodyText"/>
    <w:link w:val="StyleBodyTextArialChar"/>
    <w:autoRedefine/>
    <w:rsid w:val="00784857"/>
    <w:pPr>
      <w:tabs>
        <w:tab w:val="num" w:pos="851"/>
      </w:tabs>
      <w:spacing w:before="240" w:line="240" w:lineRule="auto"/>
      <w:ind w:left="851"/>
      <w:jc w:val="both"/>
    </w:pPr>
    <w:rPr>
      <w:rFonts w:ascii="Arial" w:eastAsia="Times New Roman" w:hAnsi="Arial" w:cs="Times New Roman"/>
      <w:color w:val="000000" w:themeColor="text1"/>
      <w:lang w:val="en-GB"/>
    </w:rPr>
  </w:style>
  <w:style w:type="character" w:customStyle="1" w:styleId="StyleBodyTextArialChar">
    <w:name w:val="Style Body Text + Arial Char"/>
    <w:basedOn w:val="BodyTextChar"/>
    <w:link w:val="StyleBodyTextArial"/>
    <w:rsid w:val="00784857"/>
    <w:rPr>
      <w:rFonts w:ascii="Arial" w:eastAsia="Times New Roman" w:hAnsi="Arial" w:cs="Times New Roman"/>
      <w:color w:val="000000" w:themeColor="text1"/>
      <w:lang w:val="en-GB"/>
    </w:rPr>
  </w:style>
  <w:style w:type="paragraph" w:customStyle="1" w:styleId="FPCopyNo">
    <w:name w:val="FPCopyNo"/>
    <w:basedOn w:val="Normal"/>
    <w:rsid w:val="00784857"/>
    <w:pPr>
      <w:numPr>
        <w:numId w:val="5"/>
      </w:numPr>
      <w:tabs>
        <w:tab w:val="clear" w:pos="360"/>
      </w:tabs>
      <w:spacing w:after="0" w:line="240" w:lineRule="auto"/>
      <w:ind w:left="0" w:right="895" w:firstLine="0"/>
      <w:jc w:val="right"/>
    </w:pPr>
    <w:rPr>
      <w:rFonts w:ascii="Arial" w:eastAsia="Times New Roman" w:hAnsi="Arial" w:cs="Times New Roman"/>
      <w:b/>
      <w:w w:val="150"/>
      <w:sz w:val="32"/>
      <w:szCs w:val="20"/>
    </w:rPr>
  </w:style>
  <w:style w:type="paragraph" w:customStyle="1" w:styleId="Bullet">
    <w:name w:val="Bullet"/>
    <w:basedOn w:val="Normal"/>
    <w:rsid w:val="00784857"/>
    <w:pPr>
      <w:numPr>
        <w:numId w:val="6"/>
      </w:numPr>
      <w:tabs>
        <w:tab w:val="left" w:pos="1418"/>
      </w:tabs>
      <w:spacing w:before="240" w:after="0" w:line="240" w:lineRule="auto"/>
      <w:ind w:left="1418" w:hanging="567"/>
      <w:jc w:val="both"/>
    </w:pPr>
    <w:rPr>
      <w:rFonts w:ascii="Times New Roman" w:eastAsia="Times New Roman" w:hAnsi="Times New Roman" w:cs="Times New Roman"/>
      <w:szCs w:val="20"/>
    </w:rPr>
  </w:style>
  <w:style w:type="paragraph" w:customStyle="1" w:styleId="StyleBodyTextIndentArial">
    <w:name w:val="Style Body Text Indent + Arial"/>
    <w:basedOn w:val="BodyTextIndent"/>
    <w:link w:val="StyleBodyTextIndentArialChar"/>
    <w:autoRedefine/>
    <w:rsid w:val="00AD6830"/>
    <w:pPr>
      <w:keepLines/>
      <w:tabs>
        <w:tab w:val="num" w:pos="176"/>
        <w:tab w:val="left" w:pos="2127"/>
        <w:tab w:val="left" w:pos="2835"/>
        <w:tab w:val="right" w:pos="9356"/>
      </w:tabs>
      <w:spacing w:before="120" w:after="0" w:line="240" w:lineRule="auto"/>
      <w:ind w:left="1440"/>
      <w:jc w:val="both"/>
    </w:pPr>
    <w:rPr>
      <w:rFonts w:ascii="Arial" w:eastAsia="Times New Roman" w:hAnsi="Arial" w:cs="Arial"/>
      <w:bCs/>
      <w:color w:val="000000" w:themeColor="text1"/>
    </w:rPr>
  </w:style>
  <w:style w:type="character" w:customStyle="1" w:styleId="StyleBodyTextIndentArialChar">
    <w:name w:val="Style Body Text Indent + Arial Char"/>
    <w:basedOn w:val="DefaultParagraphFont"/>
    <w:link w:val="StyleBodyTextIndentArial"/>
    <w:rsid w:val="00AD6830"/>
    <w:rPr>
      <w:rFonts w:ascii="Arial" w:eastAsia="Times New Roman" w:hAnsi="Arial" w:cs="Arial"/>
      <w:bCs/>
      <w:color w:val="000000" w:themeColor="text1"/>
    </w:rPr>
  </w:style>
  <w:style w:type="paragraph" w:customStyle="1" w:styleId="StyleBulletArial">
    <w:name w:val="Style Bullet + Arial"/>
    <w:basedOn w:val="Bullet"/>
    <w:link w:val="StyleBulletArialChar"/>
    <w:rsid w:val="00784857"/>
    <w:pPr>
      <w:keepLines/>
    </w:pPr>
    <w:rPr>
      <w:rFonts w:ascii="Arial" w:hAnsi="Arial"/>
      <w:szCs w:val="22"/>
    </w:rPr>
  </w:style>
  <w:style w:type="character" w:customStyle="1" w:styleId="StyleBulletArialChar">
    <w:name w:val="Style Bullet + Arial Char"/>
    <w:basedOn w:val="DefaultParagraphFont"/>
    <w:link w:val="StyleBulletArial"/>
    <w:rsid w:val="00784857"/>
    <w:rPr>
      <w:rFonts w:ascii="Arial" w:eastAsia="Times New Roman" w:hAnsi="Arial" w:cs="Times New Roman"/>
    </w:rPr>
  </w:style>
  <w:style w:type="paragraph" w:styleId="BodyTextIndent">
    <w:name w:val="Body Text Indent"/>
    <w:basedOn w:val="Normal"/>
    <w:link w:val="BodyTextIndentChar"/>
    <w:uiPriority w:val="99"/>
    <w:semiHidden/>
    <w:unhideWhenUsed/>
    <w:rsid w:val="00784857"/>
    <w:pPr>
      <w:spacing w:after="120"/>
      <w:ind w:left="283"/>
    </w:pPr>
  </w:style>
  <w:style w:type="character" w:customStyle="1" w:styleId="BodyTextIndentChar">
    <w:name w:val="Body Text Indent Char"/>
    <w:basedOn w:val="DefaultParagraphFont"/>
    <w:link w:val="BodyTextIndent"/>
    <w:uiPriority w:val="99"/>
    <w:semiHidden/>
    <w:rsid w:val="00784857"/>
  </w:style>
  <w:style w:type="paragraph" w:styleId="BodyText3">
    <w:name w:val="Body Text 3"/>
    <w:basedOn w:val="Normal"/>
    <w:link w:val="BodyText3Char"/>
    <w:rsid w:val="008048F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048FA"/>
    <w:rPr>
      <w:rFonts w:ascii="Times New Roman" w:eastAsia="Times New Roman" w:hAnsi="Times New Roman" w:cs="Times New Roman"/>
      <w:sz w:val="16"/>
      <w:szCs w:val="16"/>
      <w:lang w:eastAsia="en-AU"/>
    </w:rPr>
  </w:style>
  <w:style w:type="paragraph" w:styleId="Footer">
    <w:name w:val="footer"/>
    <w:basedOn w:val="Normal"/>
    <w:link w:val="FooterChar"/>
    <w:uiPriority w:val="99"/>
    <w:unhideWhenUsed/>
    <w:rsid w:val="00855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F3DB-3843-4ABD-A9B6-4FA2326D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wyatts</dc:creator>
  <cp:lastModifiedBy>Julia Keeble</cp:lastModifiedBy>
  <cp:revision>4</cp:revision>
  <cp:lastPrinted>2016-04-27T05:35:00Z</cp:lastPrinted>
  <dcterms:created xsi:type="dcterms:W3CDTF">2016-04-27T05:33:00Z</dcterms:created>
  <dcterms:modified xsi:type="dcterms:W3CDTF">2016-04-27T05:35:00Z</dcterms:modified>
</cp:coreProperties>
</file>