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58A8078C" w14:textId="77777777" w:rsidR="00EC3A39" w:rsidRDefault="00EC3A39" w:rsidP="00DC58AF">
      <w:pPr>
        <w:pStyle w:val="Subtitle"/>
      </w:pPr>
    </w:p>
    <w:p w14:paraId="5D6F8E4B" w14:textId="77777777" w:rsidR="00EC3A39" w:rsidRDefault="00EC3A39" w:rsidP="00DC58AF">
      <w:pPr>
        <w:pStyle w:val="Subtitle"/>
      </w:pPr>
    </w:p>
    <w:p w14:paraId="50D84CD7" w14:textId="2A41DA51" w:rsidR="00EC3A39" w:rsidRDefault="00EC3A39" w:rsidP="7157DC1A">
      <w:pPr>
        <w:pStyle w:val="Subtitle"/>
        <w:ind w:right="1552"/>
      </w:pPr>
      <w:r>
        <w:t>Treasury Corporation of Victoria loans to Victorian Councils</w:t>
      </w:r>
    </w:p>
    <w:p w14:paraId="040B9357" w14:textId="790EF3E8" w:rsidR="000948B0" w:rsidRPr="00EC0832" w:rsidRDefault="00EC3A39" w:rsidP="00EC3A39">
      <w:pPr>
        <w:pStyle w:val="Subtitle"/>
        <w:rPr>
          <w:lang w:eastAsia="en-AU"/>
        </w:rPr>
      </w:pPr>
      <w:r>
        <w:t>2023</w:t>
      </w:r>
    </w:p>
    <w:p w14:paraId="1129B37F" w14:textId="0FFEEFFF" w:rsidR="001A76F3" w:rsidRDefault="001A76F3" w:rsidP="007036D2">
      <w:r>
        <w:br w:type="page"/>
      </w:r>
    </w:p>
    <w:p w14:paraId="4249BBD7" w14:textId="77777777" w:rsidR="007036D2" w:rsidRPr="009E6227" w:rsidRDefault="007036D2" w:rsidP="009E6227"/>
    <w:sdt>
      <w:sdtPr>
        <w:rPr>
          <w:rFonts w:asciiTheme="minorHAnsi" w:hAnsiTheme="minorHAnsi"/>
          <w:bCs w:val="0"/>
          <w:color w:val="000000" w:themeColor="text1"/>
          <w:sz w:val="18"/>
        </w:rPr>
        <w:id w:val="752633592"/>
        <w:docPartObj>
          <w:docPartGallery w:val="Table of Contents"/>
          <w:docPartUnique/>
        </w:docPartObj>
      </w:sdtPr>
      <w:sdtContent>
        <w:p w14:paraId="4A77DE7C" w14:textId="6877CA33" w:rsidR="005F2A8E" w:rsidRDefault="003211D1">
          <w:pPr>
            <w:pStyle w:val="TOC1"/>
            <w:rPr>
              <w:rFonts w:asciiTheme="minorHAnsi" w:eastAsiaTheme="minorEastAsia" w:hAnsiTheme="minorHAnsi" w:cstheme="minorBidi"/>
              <w:bCs w:val="0"/>
              <w:color w:val="auto"/>
              <w:szCs w:val="22"/>
              <w:lang w:eastAsia="en-AU"/>
            </w:rPr>
          </w:pPr>
          <w:r>
            <w:fldChar w:fldCharType="begin"/>
          </w:r>
          <w:r w:rsidR="00262E24">
            <w:instrText>TOC \o "1-2" \h \z \u</w:instrText>
          </w:r>
          <w:r>
            <w:fldChar w:fldCharType="separate"/>
          </w:r>
          <w:hyperlink w:anchor="_Toc138251046" w:history="1">
            <w:r w:rsidR="005F2A8E" w:rsidRPr="00563C7A">
              <w:rPr>
                <w:rStyle w:val="Hyperlink"/>
              </w:rPr>
              <w:t>Acronyms</w:t>
            </w:r>
            <w:r w:rsidR="005F2A8E">
              <w:rPr>
                <w:webHidden/>
              </w:rPr>
              <w:tab/>
            </w:r>
            <w:r w:rsidR="005F2A8E">
              <w:rPr>
                <w:webHidden/>
              </w:rPr>
              <w:fldChar w:fldCharType="begin"/>
            </w:r>
            <w:r w:rsidR="005F2A8E">
              <w:rPr>
                <w:webHidden/>
              </w:rPr>
              <w:instrText xml:space="preserve"> PAGEREF _Toc138251046 \h </w:instrText>
            </w:r>
            <w:r w:rsidR="005F2A8E">
              <w:rPr>
                <w:webHidden/>
              </w:rPr>
            </w:r>
            <w:r w:rsidR="005F2A8E">
              <w:rPr>
                <w:webHidden/>
              </w:rPr>
              <w:fldChar w:fldCharType="separate"/>
            </w:r>
            <w:r w:rsidR="00644313">
              <w:rPr>
                <w:webHidden/>
              </w:rPr>
              <w:t>3</w:t>
            </w:r>
            <w:r w:rsidR="005F2A8E">
              <w:rPr>
                <w:webHidden/>
              </w:rPr>
              <w:fldChar w:fldCharType="end"/>
            </w:r>
          </w:hyperlink>
        </w:p>
        <w:p w14:paraId="739F1508" w14:textId="3D2E03CF" w:rsidR="005F2A8E" w:rsidRDefault="00000000">
          <w:pPr>
            <w:pStyle w:val="TOC1"/>
            <w:rPr>
              <w:rFonts w:asciiTheme="minorHAnsi" w:eastAsiaTheme="minorEastAsia" w:hAnsiTheme="minorHAnsi" w:cstheme="minorBidi"/>
              <w:bCs w:val="0"/>
              <w:color w:val="auto"/>
              <w:szCs w:val="22"/>
              <w:lang w:eastAsia="en-AU"/>
            </w:rPr>
          </w:pPr>
          <w:hyperlink w:anchor="_Toc138251047" w:history="1">
            <w:r w:rsidR="005F2A8E" w:rsidRPr="00563C7A">
              <w:rPr>
                <w:rStyle w:val="Hyperlink"/>
              </w:rPr>
              <w:t>Introduction</w:t>
            </w:r>
            <w:r w:rsidR="005F2A8E">
              <w:rPr>
                <w:webHidden/>
              </w:rPr>
              <w:tab/>
            </w:r>
            <w:r w:rsidR="005F2A8E">
              <w:rPr>
                <w:webHidden/>
              </w:rPr>
              <w:fldChar w:fldCharType="begin"/>
            </w:r>
            <w:r w:rsidR="005F2A8E">
              <w:rPr>
                <w:webHidden/>
              </w:rPr>
              <w:instrText xml:space="preserve"> PAGEREF _Toc138251047 \h </w:instrText>
            </w:r>
            <w:r w:rsidR="005F2A8E">
              <w:rPr>
                <w:webHidden/>
              </w:rPr>
            </w:r>
            <w:r w:rsidR="005F2A8E">
              <w:rPr>
                <w:webHidden/>
              </w:rPr>
              <w:fldChar w:fldCharType="separate"/>
            </w:r>
            <w:r w:rsidR="00644313">
              <w:rPr>
                <w:webHidden/>
              </w:rPr>
              <w:t>4</w:t>
            </w:r>
            <w:r w:rsidR="005F2A8E">
              <w:rPr>
                <w:webHidden/>
              </w:rPr>
              <w:fldChar w:fldCharType="end"/>
            </w:r>
          </w:hyperlink>
        </w:p>
        <w:p w14:paraId="38F6D9E1" w14:textId="3BAEEC76" w:rsidR="005F2A8E" w:rsidRDefault="00000000">
          <w:pPr>
            <w:pStyle w:val="TOC1"/>
            <w:rPr>
              <w:rFonts w:asciiTheme="minorHAnsi" w:eastAsiaTheme="minorEastAsia" w:hAnsiTheme="minorHAnsi" w:cstheme="minorBidi"/>
              <w:bCs w:val="0"/>
              <w:color w:val="auto"/>
              <w:szCs w:val="22"/>
              <w:lang w:eastAsia="en-AU"/>
            </w:rPr>
          </w:pPr>
          <w:hyperlink w:anchor="_Toc138251048" w:history="1">
            <w:r w:rsidR="005F2A8E" w:rsidRPr="00563C7A">
              <w:rPr>
                <w:rStyle w:val="Hyperlink"/>
              </w:rPr>
              <w:t>About the loans framework</w:t>
            </w:r>
            <w:r w:rsidR="005F2A8E">
              <w:rPr>
                <w:webHidden/>
              </w:rPr>
              <w:tab/>
            </w:r>
            <w:r w:rsidR="005F2A8E">
              <w:rPr>
                <w:webHidden/>
              </w:rPr>
              <w:fldChar w:fldCharType="begin"/>
            </w:r>
            <w:r w:rsidR="005F2A8E">
              <w:rPr>
                <w:webHidden/>
              </w:rPr>
              <w:instrText xml:space="preserve"> PAGEREF _Toc138251048 \h </w:instrText>
            </w:r>
            <w:r w:rsidR="005F2A8E">
              <w:rPr>
                <w:webHidden/>
              </w:rPr>
            </w:r>
            <w:r w:rsidR="005F2A8E">
              <w:rPr>
                <w:webHidden/>
              </w:rPr>
              <w:fldChar w:fldCharType="separate"/>
            </w:r>
            <w:r w:rsidR="00644313">
              <w:rPr>
                <w:webHidden/>
              </w:rPr>
              <w:t>5</w:t>
            </w:r>
            <w:r w:rsidR="005F2A8E">
              <w:rPr>
                <w:webHidden/>
              </w:rPr>
              <w:fldChar w:fldCharType="end"/>
            </w:r>
          </w:hyperlink>
        </w:p>
        <w:p w14:paraId="71115DE2" w14:textId="0FDABE42" w:rsidR="005F2A8E" w:rsidRDefault="00000000">
          <w:pPr>
            <w:pStyle w:val="TOC2"/>
            <w:rPr>
              <w:rFonts w:eastAsiaTheme="minorEastAsia" w:cstheme="minorBidi"/>
              <w:color w:val="auto"/>
              <w:sz w:val="22"/>
              <w:szCs w:val="22"/>
              <w:lang w:eastAsia="en-AU"/>
            </w:rPr>
          </w:pPr>
          <w:hyperlink w:anchor="_Toc138251049" w:history="1">
            <w:r w:rsidR="005F2A8E" w:rsidRPr="00563C7A">
              <w:rPr>
                <w:rStyle w:val="Hyperlink"/>
              </w:rPr>
              <w:t>Overview of the loans framework</w:t>
            </w:r>
            <w:r w:rsidR="005F2A8E">
              <w:rPr>
                <w:webHidden/>
              </w:rPr>
              <w:tab/>
            </w:r>
            <w:r w:rsidR="005F2A8E">
              <w:rPr>
                <w:webHidden/>
              </w:rPr>
              <w:fldChar w:fldCharType="begin"/>
            </w:r>
            <w:r w:rsidR="005F2A8E">
              <w:rPr>
                <w:webHidden/>
              </w:rPr>
              <w:instrText xml:space="preserve"> PAGEREF _Toc138251049 \h </w:instrText>
            </w:r>
            <w:r w:rsidR="005F2A8E">
              <w:rPr>
                <w:webHidden/>
              </w:rPr>
            </w:r>
            <w:r w:rsidR="005F2A8E">
              <w:rPr>
                <w:webHidden/>
              </w:rPr>
              <w:fldChar w:fldCharType="separate"/>
            </w:r>
            <w:r w:rsidR="00644313">
              <w:rPr>
                <w:webHidden/>
              </w:rPr>
              <w:t>5</w:t>
            </w:r>
            <w:r w:rsidR="005F2A8E">
              <w:rPr>
                <w:webHidden/>
              </w:rPr>
              <w:fldChar w:fldCharType="end"/>
            </w:r>
          </w:hyperlink>
        </w:p>
        <w:p w14:paraId="424B9C71" w14:textId="0348D435" w:rsidR="005F2A8E" w:rsidRDefault="00000000">
          <w:pPr>
            <w:pStyle w:val="TOC2"/>
            <w:rPr>
              <w:rFonts w:eastAsiaTheme="minorEastAsia" w:cstheme="minorBidi"/>
              <w:color w:val="auto"/>
              <w:sz w:val="22"/>
              <w:szCs w:val="22"/>
              <w:lang w:eastAsia="en-AU"/>
            </w:rPr>
          </w:pPr>
          <w:hyperlink w:anchor="_Toc138251050" w:history="1">
            <w:r w:rsidR="005F2A8E" w:rsidRPr="00563C7A">
              <w:rPr>
                <w:rStyle w:val="Hyperlink"/>
              </w:rPr>
              <w:t>What are the objectives of making TCV loans available to councils?</w:t>
            </w:r>
            <w:r w:rsidR="005F2A8E">
              <w:rPr>
                <w:webHidden/>
              </w:rPr>
              <w:tab/>
            </w:r>
            <w:r w:rsidR="005F2A8E">
              <w:rPr>
                <w:webHidden/>
              </w:rPr>
              <w:fldChar w:fldCharType="begin"/>
            </w:r>
            <w:r w:rsidR="005F2A8E">
              <w:rPr>
                <w:webHidden/>
              </w:rPr>
              <w:instrText xml:space="preserve"> PAGEREF _Toc138251050 \h </w:instrText>
            </w:r>
            <w:r w:rsidR="005F2A8E">
              <w:rPr>
                <w:webHidden/>
              </w:rPr>
            </w:r>
            <w:r w:rsidR="005F2A8E">
              <w:rPr>
                <w:webHidden/>
              </w:rPr>
              <w:fldChar w:fldCharType="separate"/>
            </w:r>
            <w:r w:rsidR="00644313">
              <w:rPr>
                <w:webHidden/>
              </w:rPr>
              <w:t>6</w:t>
            </w:r>
            <w:r w:rsidR="005F2A8E">
              <w:rPr>
                <w:webHidden/>
              </w:rPr>
              <w:fldChar w:fldCharType="end"/>
            </w:r>
          </w:hyperlink>
        </w:p>
        <w:p w14:paraId="69BD5FE8" w14:textId="082E4E8A" w:rsidR="005F2A8E" w:rsidRDefault="00000000">
          <w:pPr>
            <w:pStyle w:val="TOC2"/>
            <w:rPr>
              <w:rFonts w:eastAsiaTheme="minorEastAsia" w:cstheme="minorBidi"/>
              <w:color w:val="auto"/>
              <w:sz w:val="22"/>
              <w:szCs w:val="22"/>
              <w:lang w:eastAsia="en-AU"/>
            </w:rPr>
          </w:pPr>
          <w:hyperlink w:anchor="_Toc138251051" w:history="1">
            <w:r w:rsidR="005F2A8E" w:rsidRPr="00563C7A">
              <w:rPr>
                <w:rStyle w:val="Hyperlink"/>
              </w:rPr>
              <w:t>How much can be applied for?</w:t>
            </w:r>
            <w:r w:rsidR="005F2A8E">
              <w:rPr>
                <w:webHidden/>
              </w:rPr>
              <w:tab/>
            </w:r>
            <w:r w:rsidR="005F2A8E">
              <w:rPr>
                <w:webHidden/>
              </w:rPr>
              <w:fldChar w:fldCharType="begin"/>
            </w:r>
            <w:r w:rsidR="005F2A8E">
              <w:rPr>
                <w:webHidden/>
              </w:rPr>
              <w:instrText xml:space="preserve"> PAGEREF _Toc138251051 \h </w:instrText>
            </w:r>
            <w:r w:rsidR="005F2A8E">
              <w:rPr>
                <w:webHidden/>
              </w:rPr>
            </w:r>
            <w:r w:rsidR="005F2A8E">
              <w:rPr>
                <w:webHidden/>
              </w:rPr>
              <w:fldChar w:fldCharType="separate"/>
            </w:r>
            <w:r w:rsidR="00644313">
              <w:rPr>
                <w:webHidden/>
              </w:rPr>
              <w:t>6</w:t>
            </w:r>
            <w:r w:rsidR="005F2A8E">
              <w:rPr>
                <w:webHidden/>
              </w:rPr>
              <w:fldChar w:fldCharType="end"/>
            </w:r>
          </w:hyperlink>
        </w:p>
        <w:p w14:paraId="211544B7" w14:textId="3AF47251" w:rsidR="005F2A8E" w:rsidRDefault="00000000">
          <w:pPr>
            <w:pStyle w:val="TOC2"/>
            <w:rPr>
              <w:rFonts w:eastAsiaTheme="minorEastAsia" w:cstheme="minorBidi"/>
              <w:color w:val="auto"/>
              <w:sz w:val="22"/>
              <w:szCs w:val="22"/>
              <w:lang w:eastAsia="en-AU"/>
            </w:rPr>
          </w:pPr>
          <w:hyperlink w:anchor="_Toc138251052" w:history="1">
            <w:r w:rsidR="005F2A8E" w:rsidRPr="00563C7A">
              <w:rPr>
                <w:rStyle w:val="Hyperlink"/>
              </w:rPr>
              <w:t>How is the loans framework administered?</w:t>
            </w:r>
            <w:r w:rsidR="005F2A8E">
              <w:rPr>
                <w:webHidden/>
              </w:rPr>
              <w:tab/>
            </w:r>
            <w:r w:rsidR="005F2A8E">
              <w:rPr>
                <w:webHidden/>
              </w:rPr>
              <w:fldChar w:fldCharType="begin"/>
            </w:r>
            <w:r w:rsidR="005F2A8E">
              <w:rPr>
                <w:webHidden/>
              </w:rPr>
              <w:instrText xml:space="preserve"> PAGEREF _Toc138251052 \h </w:instrText>
            </w:r>
            <w:r w:rsidR="005F2A8E">
              <w:rPr>
                <w:webHidden/>
              </w:rPr>
            </w:r>
            <w:r w:rsidR="005F2A8E">
              <w:rPr>
                <w:webHidden/>
              </w:rPr>
              <w:fldChar w:fldCharType="separate"/>
            </w:r>
            <w:r w:rsidR="00644313">
              <w:rPr>
                <w:webHidden/>
              </w:rPr>
              <w:t>7</w:t>
            </w:r>
            <w:r w:rsidR="005F2A8E">
              <w:rPr>
                <w:webHidden/>
              </w:rPr>
              <w:fldChar w:fldCharType="end"/>
            </w:r>
          </w:hyperlink>
        </w:p>
        <w:p w14:paraId="47F9D681" w14:textId="762A0BE5" w:rsidR="005F2A8E" w:rsidRDefault="00000000">
          <w:pPr>
            <w:pStyle w:val="TOC2"/>
            <w:rPr>
              <w:rFonts w:eastAsiaTheme="minorEastAsia" w:cstheme="minorBidi"/>
              <w:color w:val="auto"/>
              <w:sz w:val="22"/>
              <w:szCs w:val="22"/>
              <w:lang w:eastAsia="en-AU"/>
            </w:rPr>
          </w:pPr>
          <w:hyperlink w:anchor="_Toc138251053" w:history="1">
            <w:r w:rsidR="005F2A8E" w:rsidRPr="00563C7A">
              <w:rPr>
                <w:rStyle w:val="Hyperlink"/>
              </w:rPr>
              <w:t>What are the key steps in the loans framework?</w:t>
            </w:r>
            <w:r w:rsidR="005F2A8E">
              <w:rPr>
                <w:webHidden/>
              </w:rPr>
              <w:tab/>
            </w:r>
            <w:r w:rsidR="005F2A8E">
              <w:rPr>
                <w:webHidden/>
              </w:rPr>
              <w:fldChar w:fldCharType="begin"/>
            </w:r>
            <w:r w:rsidR="005F2A8E">
              <w:rPr>
                <w:webHidden/>
              </w:rPr>
              <w:instrText xml:space="preserve"> PAGEREF _Toc138251053 \h </w:instrText>
            </w:r>
            <w:r w:rsidR="005F2A8E">
              <w:rPr>
                <w:webHidden/>
              </w:rPr>
            </w:r>
            <w:r w:rsidR="005F2A8E">
              <w:rPr>
                <w:webHidden/>
              </w:rPr>
              <w:fldChar w:fldCharType="separate"/>
            </w:r>
            <w:r w:rsidR="00644313">
              <w:rPr>
                <w:webHidden/>
              </w:rPr>
              <w:t>8</w:t>
            </w:r>
            <w:r w:rsidR="005F2A8E">
              <w:rPr>
                <w:webHidden/>
              </w:rPr>
              <w:fldChar w:fldCharType="end"/>
            </w:r>
          </w:hyperlink>
        </w:p>
        <w:p w14:paraId="56A6EB47" w14:textId="03A87028" w:rsidR="005F2A8E" w:rsidRDefault="00000000">
          <w:pPr>
            <w:pStyle w:val="TOC1"/>
            <w:rPr>
              <w:rFonts w:asciiTheme="minorHAnsi" w:eastAsiaTheme="minorEastAsia" w:hAnsiTheme="minorHAnsi" w:cstheme="minorBidi"/>
              <w:bCs w:val="0"/>
              <w:color w:val="auto"/>
              <w:szCs w:val="22"/>
              <w:lang w:eastAsia="en-AU"/>
            </w:rPr>
          </w:pPr>
          <w:hyperlink w:anchor="_Toc138251054" w:history="1">
            <w:r w:rsidR="005F2A8E" w:rsidRPr="00563C7A">
              <w:rPr>
                <w:rStyle w:val="Hyperlink"/>
              </w:rPr>
              <w:t>Timelines</w:t>
            </w:r>
            <w:r w:rsidR="005F2A8E">
              <w:rPr>
                <w:webHidden/>
              </w:rPr>
              <w:tab/>
            </w:r>
            <w:r w:rsidR="005F2A8E">
              <w:rPr>
                <w:webHidden/>
              </w:rPr>
              <w:fldChar w:fldCharType="begin"/>
            </w:r>
            <w:r w:rsidR="005F2A8E">
              <w:rPr>
                <w:webHidden/>
              </w:rPr>
              <w:instrText xml:space="preserve"> PAGEREF _Toc138251054 \h </w:instrText>
            </w:r>
            <w:r w:rsidR="005F2A8E">
              <w:rPr>
                <w:webHidden/>
              </w:rPr>
            </w:r>
            <w:r w:rsidR="005F2A8E">
              <w:rPr>
                <w:webHidden/>
              </w:rPr>
              <w:fldChar w:fldCharType="separate"/>
            </w:r>
            <w:r w:rsidR="00644313">
              <w:rPr>
                <w:webHidden/>
              </w:rPr>
              <w:t>10</w:t>
            </w:r>
            <w:r w:rsidR="005F2A8E">
              <w:rPr>
                <w:webHidden/>
              </w:rPr>
              <w:fldChar w:fldCharType="end"/>
            </w:r>
          </w:hyperlink>
        </w:p>
        <w:p w14:paraId="5C9CE985" w14:textId="7E343AED" w:rsidR="005F2A8E" w:rsidRDefault="00000000">
          <w:pPr>
            <w:pStyle w:val="TOC1"/>
            <w:rPr>
              <w:rFonts w:asciiTheme="minorHAnsi" w:eastAsiaTheme="minorEastAsia" w:hAnsiTheme="minorHAnsi" w:cstheme="minorBidi"/>
              <w:bCs w:val="0"/>
              <w:color w:val="auto"/>
              <w:szCs w:val="22"/>
              <w:lang w:eastAsia="en-AU"/>
            </w:rPr>
          </w:pPr>
          <w:hyperlink w:anchor="_Toc138251055" w:history="1">
            <w:r w:rsidR="005F2A8E" w:rsidRPr="00563C7A">
              <w:rPr>
                <w:rStyle w:val="Hyperlink"/>
              </w:rPr>
              <w:t>Eligibility</w:t>
            </w:r>
            <w:r w:rsidR="005F2A8E">
              <w:rPr>
                <w:webHidden/>
              </w:rPr>
              <w:tab/>
            </w:r>
            <w:r w:rsidR="005F2A8E">
              <w:rPr>
                <w:webHidden/>
              </w:rPr>
              <w:fldChar w:fldCharType="begin"/>
            </w:r>
            <w:r w:rsidR="005F2A8E">
              <w:rPr>
                <w:webHidden/>
              </w:rPr>
              <w:instrText xml:space="preserve"> PAGEREF _Toc138251055 \h </w:instrText>
            </w:r>
            <w:r w:rsidR="005F2A8E">
              <w:rPr>
                <w:webHidden/>
              </w:rPr>
            </w:r>
            <w:r w:rsidR="005F2A8E">
              <w:rPr>
                <w:webHidden/>
              </w:rPr>
              <w:fldChar w:fldCharType="separate"/>
            </w:r>
            <w:r w:rsidR="00644313">
              <w:rPr>
                <w:webHidden/>
              </w:rPr>
              <w:t>11</w:t>
            </w:r>
            <w:r w:rsidR="005F2A8E">
              <w:rPr>
                <w:webHidden/>
              </w:rPr>
              <w:fldChar w:fldCharType="end"/>
            </w:r>
          </w:hyperlink>
        </w:p>
        <w:p w14:paraId="0AB76E48" w14:textId="1940EF73" w:rsidR="005F2A8E" w:rsidRDefault="00000000">
          <w:pPr>
            <w:pStyle w:val="TOC2"/>
            <w:rPr>
              <w:rFonts w:eastAsiaTheme="minorEastAsia" w:cstheme="minorBidi"/>
              <w:color w:val="auto"/>
              <w:sz w:val="22"/>
              <w:szCs w:val="22"/>
              <w:lang w:eastAsia="en-AU"/>
            </w:rPr>
          </w:pPr>
          <w:hyperlink w:anchor="_Toc138251056" w:history="1">
            <w:r w:rsidR="005F2A8E" w:rsidRPr="00563C7A">
              <w:rPr>
                <w:rStyle w:val="Hyperlink"/>
              </w:rPr>
              <w:t>What entities are eligible under the framework?</w:t>
            </w:r>
            <w:r w:rsidR="005F2A8E">
              <w:rPr>
                <w:webHidden/>
              </w:rPr>
              <w:tab/>
            </w:r>
            <w:r w:rsidR="005F2A8E">
              <w:rPr>
                <w:webHidden/>
              </w:rPr>
              <w:fldChar w:fldCharType="begin"/>
            </w:r>
            <w:r w:rsidR="005F2A8E">
              <w:rPr>
                <w:webHidden/>
              </w:rPr>
              <w:instrText xml:space="preserve"> PAGEREF _Toc138251056 \h </w:instrText>
            </w:r>
            <w:r w:rsidR="005F2A8E">
              <w:rPr>
                <w:webHidden/>
              </w:rPr>
            </w:r>
            <w:r w:rsidR="005F2A8E">
              <w:rPr>
                <w:webHidden/>
              </w:rPr>
              <w:fldChar w:fldCharType="separate"/>
            </w:r>
            <w:r w:rsidR="00644313">
              <w:rPr>
                <w:webHidden/>
              </w:rPr>
              <w:t>11</w:t>
            </w:r>
            <w:r w:rsidR="005F2A8E">
              <w:rPr>
                <w:webHidden/>
              </w:rPr>
              <w:fldChar w:fldCharType="end"/>
            </w:r>
          </w:hyperlink>
        </w:p>
        <w:p w14:paraId="3A0E8744" w14:textId="7D1E1AED" w:rsidR="005F2A8E" w:rsidRDefault="00000000">
          <w:pPr>
            <w:pStyle w:val="TOC2"/>
            <w:rPr>
              <w:rFonts w:eastAsiaTheme="minorEastAsia" w:cstheme="minorBidi"/>
              <w:color w:val="auto"/>
              <w:sz w:val="22"/>
              <w:szCs w:val="22"/>
              <w:lang w:eastAsia="en-AU"/>
            </w:rPr>
          </w:pPr>
          <w:hyperlink w:anchor="_Toc138251057" w:history="1">
            <w:r w:rsidR="005F2A8E" w:rsidRPr="00563C7A">
              <w:rPr>
                <w:rStyle w:val="Hyperlink"/>
              </w:rPr>
              <w:t>What can the loans be used for?</w:t>
            </w:r>
            <w:r w:rsidR="005F2A8E">
              <w:rPr>
                <w:webHidden/>
              </w:rPr>
              <w:tab/>
            </w:r>
            <w:r w:rsidR="005F2A8E">
              <w:rPr>
                <w:webHidden/>
              </w:rPr>
              <w:fldChar w:fldCharType="begin"/>
            </w:r>
            <w:r w:rsidR="005F2A8E">
              <w:rPr>
                <w:webHidden/>
              </w:rPr>
              <w:instrText xml:space="preserve"> PAGEREF _Toc138251057 \h </w:instrText>
            </w:r>
            <w:r w:rsidR="005F2A8E">
              <w:rPr>
                <w:webHidden/>
              </w:rPr>
            </w:r>
            <w:r w:rsidR="005F2A8E">
              <w:rPr>
                <w:webHidden/>
              </w:rPr>
              <w:fldChar w:fldCharType="separate"/>
            </w:r>
            <w:r w:rsidR="00644313">
              <w:rPr>
                <w:webHidden/>
              </w:rPr>
              <w:t>11</w:t>
            </w:r>
            <w:r w:rsidR="005F2A8E">
              <w:rPr>
                <w:webHidden/>
              </w:rPr>
              <w:fldChar w:fldCharType="end"/>
            </w:r>
          </w:hyperlink>
        </w:p>
        <w:p w14:paraId="5A67FDA4" w14:textId="0B867553" w:rsidR="005F2A8E" w:rsidRDefault="00000000">
          <w:pPr>
            <w:pStyle w:val="TOC2"/>
            <w:rPr>
              <w:rFonts w:eastAsiaTheme="minorEastAsia" w:cstheme="minorBidi"/>
              <w:color w:val="auto"/>
              <w:sz w:val="22"/>
              <w:szCs w:val="22"/>
              <w:lang w:eastAsia="en-AU"/>
            </w:rPr>
          </w:pPr>
          <w:hyperlink w:anchor="_Toc138251058" w:history="1">
            <w:r w:rsidR="005F2A8E" w:rsidRPr="00563C7A">
              <w:rPr>
                <w:rStyle w:val="Hyperlink"/>
              </w:rPr>
              <w:t>What can the loans not be used for?</w:t>
            </w:r>
            <w:r w:rsidR="005F2A8E">
              <w:rPr>
                <w:webHidden/>
              </w:rPr>
              <w:tab/>
            </w:r>
            <w:r w:rsidR="005F2A8E">
              <w:rPr>
                <w:webHidden/>
              </w:rPr>
              <w:fldChar w:fldCharType="begin"/>
            </w:r>
            <w:r w:rsidR="005F2A8E">
              <w:rPr>
                <w:webHidden/>
              </w:rPr>
              <w:instrText xml:space="preserve"> PAGEREF _Toc138251058 \h </w:instrText>
            </w:r>
            <w:r w:rsidR="005F2A8E">
              <w:rPr>
                <w:webHidden/>
              </w:rPr>
            </w:r>
            <w:r w:rsidR="005F2A8E">
              <w:rPr>
                <w:webHidden/>
              </w:rPr>
              <w:fldChar w:fldCharType="separate"/>
            </w:r>
            <w:r w:rsidR="00644313">
              <w:rPr>
                <w:webHidden/>
              </w:rPr>
              <w:t>11</w:t>
            </w:r>
            <w:r w:rsidR="005F2A8E">
              <w:rPr>
                <w:webHidden/>
              </w:rPr>
              <w:fldChar w:fldCharType="end"/>
            </w:r>
          </w:hyperlink>
        </w:p>
        <w:p w14:paraId="627A506C" w14:textId="4D6543E3" w:rsidR="005F2A8E" w:rsidRDefault="00000000">
          <w:pPr>
            <w:pStyle w:val="TOC1"/>
            <w:rPr>
              <w:rFonts w:asciiTheme="minorHAnsi" w:eastAsiaTheme="minorEastAsia" w:hAnsiTheme="minorHAnsi" w:cstheme="minorBidi"/>
              <w:bCs w:val="0"/>
              <w:color w:val="auto"/>
              <w:szCs w:val="22"/>
              <w:lang w:eastAsia="en-AU"/>
            </w:rPr>
          </w:pPr>
          <w:hyperlink w:anchor="_Toc138251059" w:history="1">
            <w:r w:rsidR="005F2A8E" w:rsidRPr="00563C7A">
              <w:rPr>
                <w:rStyle w:val="Hyperlink"/>
              </w:rPr>
              <w:t>Loan process</w:t>
            </w:r>
            <w:r w:rsidR="005F2A8E">
              <w:rPr>
                <w:webHidden/>
              </w:rPr>
              <w:tab/>
            </w:r>
            <w:r w:rsidR="005F2A8E">
              <w:rPr>
                <w:webHidden/>
              </w:rPr>
              <w:fldChar w:fldCharType="begin"/>
            </w:r>
            <w:r w:rsidR="005F2A8E">
              <w:rPr>
                <w:webHidden/>
              </w:rPr>
              <w:instrText xml:space="preserve"> PAGEREF _Toc138251059 \h </w:instrText>
            </w:r>
            <w:r w:rsidR="005F2A8E">
              <w:rPr>
                <w:webHidden/>
              </w:rPr>
            </w:r>
            <w:r w:rsidR="005F2A8E">
              <w:rPr>
                <w:webHidden/>
              </w:rPr>
              <w:fldChar w:fldCharType="separate"/>
            </w:r>
            <w:r w:rsidR="00644313">
              <w:rPr>
                <w:webHidden/>
              </w:rPr>
              <w:t>12</w:t>
            </w:r>
            <w:r w:rsidR="005F2A8E">
              <w:rPr>
                <w:webHidden/>
              </w:rPr>
              <w:fldChar w:fldCharType="end"/>
            </w:r>
          </w:hyperlink>
        </w:p>
        <w:p w14:paraId="096C22E5" w14:textId="770B407A" w:rsidR="005F2A8E" w:rsidRDefault="00000000">
          <w:pPr>
            <w:pStyle w:val="TOC2"/>
            <w:rPr>
              <w:rFonts w:eastAsiaTheme="minorEastAsia" w:cstheme="minorBidi"/>
              <w:color w:val="auto"/>
              <w:sz w:val="22"/>
              <w:szCs w:val="22"/>
              <w:lang w:eastAsia="en-AU"/>
            </w:rPr>
          </w:pPr>
          <w:hyperlink w:anchor="_Toc138251060" w:history="1">
            <w:r w:rsidR="005F2A8E" w:rsidRPr="00563C7A">
              <w:rPr>
                <w:rStyle w:val="Hyperlink"/>
              </w:rPr>
              <w:t>DTF credit assessment</w:t>
            </w:r>
            <w:r w:rsidR="005F2A8E">
              <w:rPr>
                <w:webHidden/>
              </w:rPr>
              <w:tab/>
            </w:r>
            <w:r w:rsidR="005F2A8E">
              <w:rPr>
                <w:webHidden/>
              </w:rPr>
              <w:fldChar w:fldCharType="begin"/>
            </w:r>
            <w:r w:rsidR="005F2A8E">
              <w:rPr>
                <w:webHidden/>
              </w:rPr>
              <w:instrText xml:space="preserve"> PAGEREF _Toc138251060 \h </w:instrText>
            </w:r>
            <w:r w:rsidR="005F2A8E">
              <w:rPr>
                <w:webHidden/>
              </w:rPr>
            </w:r>
            <w:r w:rsidR="005F2A8E">
              <w:rPr>
                <w:webHidden/>
              </w:rPr>
              <w:fldChar w:fldCharType="separate"/>
            </w:r>
            <w:r w:rsidR="00644313">
              <w:rPr>
                <w:webHidden/>
              </w:rPr>
              <w:t>12</w:t>
            </w:r>
            <w:r w:rsidR="005F2A8E">
              <w:rPr>
                <w:webHidden/>
              </w:rPr>
              <w:fldChar w:fldCharType="end"/>
            </w:r>
          </w:hyperlink>
        </w:p>
        <w:p w14:paraId="14834EA3" w14:textId="1C46DC44" w:rsidR="005F2A8E" w:rsidRDefault="00000000">
          <w:pPr>
            <w:pStyle w:val="TOC2"/>
            <w:rPr>
              <w:rFonts w:eastAsiaTheme="minorEastAsia" w:cstheme="minorBidi"/>
              <w:color w:val="auto"/>
              <w:sz w:val="22"/>
              <w:szCs w:val="22"/>
              <w:lang w:eastAsia="en-AU"/>
            </w:rPr>
          </w:pPr>
          <w:hyperlink w:anchor="_Toc138251061" w:history="1">
            <w:r w:rsidR="005F2A8E" w:rsidRPr="00563C7A">
              <w:rPr>
                <w:rStyle w:val="Hyperlink"/>
              </w:rPr>
              <w:t>TCV loan application</w:t>
            </w:r>
            <w:r w:rsidR="005F2A8E">
              <w:rPr>
                <w:webHidden/>
              </w:rPr>
              <w:tab/>
            </w:r>
            <w:r w:rsidR="005F2A8E">
              <w:rPr>
                <w:webHidden/>
              </w:rPr>
              <w:fldChar w:fldCharType="begin"/>
            </w:r>
            <w:r w:rsidR="005F2A8E">
              <w:rPr>
                <w:webHidden/>
              </w:rPr>
              <w:instrText xml:space="preserve"> PAGEREF _Toc138251061 \h </w:instrText>
            </w:r>
            <w:r w:rsidR="005F2A8E">
              <w:rPr>
                <w:webHidden/>
              </w:rPr>
            </w:r>
            <w:r w:rsidR="005F2A8E">
              <w:rPr>
                <w:webHidden/>
              </w:rPr>
              <w:fldChar w:fldCharType="separate"/>
            </w:r>
            <w:r w:rsidR="00644313">
              <w:rPr>
                <w:webHidden/>
              </w:rPr>
              <w:t>13</w:t>
            </w:r>
            <w:r w:rsidR="005F2A8E">
              <w:rPr>
                <w:webHidden/>
              </w:rPr>
              <w:fldChar w:fldCharType="end"/>
            </w:r>
          </w:hyperlink>
        </w:p>
        <w:p w14:paraId="0C6C7379" w14:textId="01005E3D" w:rsidR="005F2A8E" w:rsidRDefault="00000000">
          <w:pPr>
            <w:pStyle w:val="TOC1"/>
            <w:rPr>
              <w:rFonts w:asciiTheme="minorHAnsi" w:eastAsiaTheme="minorEastAsia" w:hAnsiTheme="minorHAnsi" w:cstheme="minorBidi"/>
              <w:bCs w:val="0"/>
              <w:color w:val="auto"/>
              <w:szCs w:val="22"/>
              <w:lang w:eastAsia="en-AU"/>
            </w:rPr>
          </w:pPr>
          <w:hyperlink w:anchor="_Toc138251062" w:history="1">
            <w:r w:rsidR="005F2A8E" w:rsidRPr="00563C7A">
              <w:rPr>
                <w:rStyle w:val="Hyperlink"/>
              </w:rPr>
              <w:t>Conditions that apply to TCV borrowings</w:t>
            </w:r>
            <w:r w:rsidR="005F2A8E">
              <w:rPr>
                <w:webHidden/>
              </w:rPr>
              <w:tab/>
            </w:r>
            <w:r w:rsidR="005F2A8E">
              <w:rPr>
                <w:webHidden/>
              </w:rPr>
              <w:fldChar w:fldCharType="begin"/>
            </w:r>
            <w:r w:rsidR="005F2A8E">
              <w:rPr>
                <w:webHidden/>
              </w:rPr>
              <w:instrText xml:space="preserve"> PAGEREF _Toc138251062 \h </w:instrText>
            </w:r>
            <w:r w:rsidR="005F2A8E">
              <w:rPr>
                <w:webHidden/>
              </w:rPr>
            </w:r>
            <w:r w:rsidR="005F2A8E">
              <w:rPr>
                <w:webHidden/>
              </w:rPr>
              <w:fldChar w:fldCharType="separate"/>
            </w:r>
            <w:r w:rsidR="00644313">
              <w:rPr>
                <w:webHidden/>
              </w:rPr>
              <w:t>14</w:t>
            </w:r>
            <w:r w:rsidR="005F2A8E">
              <w:rPr>
                <w:webHidden/>
              </w:rPr>
              <w:fldChar w:fldCharType="end"/>
            </w:r>
          </w:hyperlink>
        </w:p>
        <w:p w14:paraId="37969B89" w14:textId="61F2F946" w:rsidR="005F2A8E" w:rsidRDefault="00000000">
          <w:pPr>
            <w:pStyle w:val="TOC2"/>
            <w:rPr>
              <w:rFonts w:eastAsiaTheme="minorEastAsia" w:cstheme="minorBidi"/>
              <w:color w:val="auto"/>
              <w:sz w:val="22"/>
              <w:szCs w:val="22"/>
              <w:lang w:eastAsia="en-AU"/>
            </w:rPr>
          </w:pPr>
          <w:hyperlink w:anchor="_Toc138251063" w:history="1">
            <w:r w:rsidR="005F2A8E" w:rsidRPr="00563C7A">
              <w:rPr>
                <w:rStyle w:val="Hyperlink"/>
              </w:rPr>
              <w:t>TCV loan agreement and other documentation</w:t>
            </w:r>
            <w:r w:rsidR="005F2A8E">
              <w:rPr>
                <w:webHidden/>
              </w:rPr>
              <w:tab/>
            </w:r>
            <w:r w:rsidR="005F2A8E">
              <w:rPr>
                <w:webHidden/>
              </w:rPr>
              <w:fldChar w:fldCharType="begin"/>
            </w:r>
            <w:r w:rsidR="005F2A8E">
              <w:rPr>
                <w:webHidden/>
              </w:rPr>
              <w:instrText xml:space="preserve"> PAGEREF _Toc138251063 \h </w:instrText>
            </w:r>
            <w:r w:rsidR="005F2A8E">
              <w:rPr>
                <w:webHidden/>
              </w:rPr>
            </w:r>
            <w:r w:rsidR="005F2A8E">
              <w:rPr>
                <w:webHidden/>
              </w:rPr>
              <w:fldChar w:fldCharType="separate"/>
            </w:r>
            <w:r w:rsidR="00644313">
              <w:rPr>
                <w:webHidden/>
              </w:rPr>
              <w:t>14</w:t>
            </w:r>
            <w:r w:rsidR="005F2A8E">
              <w:rPr>
                <w:webHidden/>
              </w:rPr>
              <w:fldChar w:fldCharType="end"/>
            </w:r>
          </w:hyperlink>
        </w:p>
        <w:p w14:paraId="27D9A18D" w14:textId="7AF1FCDF" w:rsidR="005F2A8E" w:rsidRDefault="00000000">
          <w:pPr>
            <w:pStyle w:val="TOC2"/>
            <w:rPr>
              <w:rFonts w:eastAsiaTheme="minorEastAsia" w:cstheme="minorBidi"/>
              <w:color w:val="auto"/>
              <w:sz w:val="22"/>
              <w:szCs w:val="22"/>
              <w:lang w:eastAsia="en-AU"/>
            </w:rPr>
          </w:pPr>
          <w:hyperlink w:anchor="_Toc138251064" w:history="1">
            <w:r w:rsidR="005F2A8E" w:rsidRPr="00563C7A">
              <w:rPr>
                <w:rStyle w:val="Hyperlink"/>
              </w:rPr>
              <w:t>TCV client account onboarding</w:t>
            </w:r>
            <w:r w:rsidR="005F2A8E">
              <w:rPr>
                <w:webHidden/>
              </w:rPr>
              <w:tab/>
            </w:r>
            <w:r w:rsidR="005F2A8E">
              <w:rPr>
                <w:webHidden/>
              </w:rPr>
              <w:fldChar w:fldCharType="begin"/>
            </w:r>
            <w:r w:rsidR="005F2A8E">
              <w:rPr>
                <w:webHidden/>
              </w:rPr>
              <w:instrText xml:space="preserve"> PAGEREF _Toc138251064 \h </w:instrText>
            </w:r>
            <w:r w:rsidR="005F2A8E">
              <w:rPr>
                <w:webHidden/>
              </w:rPr>
            </w:r>
            <w:r w:rsidR="005F2A8E">
              <w:rPr>
                <w:webHidden/>
              </w:rPr>
              <w:fldChar w:fldCharType="separate"/>
            </w:r>
            <w:r w:rsidR="00644313">
              <w:rPr>
                <w:webHidden/>
              </w:rPr>
              <w:t>14</w:t>
            </w:r>
            <w:r w:rsidR="005F2A8E">
              <w:rPr>
                <w:webHidden/>
              </w:rPr>
              <w:fldChar w:fldCharType="end"/>
            </w:r>
          </w:hyperlink>
        </w:p>
        <w:p w14:paraId="63175C56" w14:textId="13CA54B1" w:rsidR="005F2A8E" w:rsidRDefault="00000000">
          <w:pPr>
            <w:pStyle w:val="TOC2"/>
            <w:rPr>
              <w:rFonts w:eastAsiaTheme="minorEastAsia" w:cstheme="minorBidi"/>
              <w:color w:val="auto"/>
              <w:sz w:val="22"/>
              <w:szCs w:val="22"/>
              <w:lang w:eastAsia="en-AU"/>
            </w:rPr>
          </w:pPr>
          <w:hyperlink w:anchor="_Toc138251065" w:history="1">
            <w:r w:rsidR="005F2A8E" w:rsidRPr="00563C7A">
              <w:rPr>
                <w:rStyle w:val="Hyperlink"/>
              </w:rPr>
              <w:t>TCV loan product offering</w:t>
            </w:r>
            <w:r w:rsidR="005F2A8E">
              <w:rPr>
                <w:webHidden/>
              </w:rPr>
              <w:tab/>
            </w:r>
            <w:r w:rsidR="005F2A8E">
              <w:rPr>
                <w:webHidden/>
              </w:rPr>
              <w:fldChar w:fldCharType="begin"/>
            </w:r>
            <w:r w:rsidR="005F2A8E">
              <w:rPr>
                <w:webHidden/>
              </w:rPr>
              <w:instrText xml:space="preserve"> PAGEREF _Toc138251065 \h </w:instrText>
            </w:r>
            <w:r w:rsidR="005F2A8E">
              <w:rPr>
                <w:webHidden/>
              </w:rPr>
            </w:r>
            <w:r w:rsidR="005F2A8E">
              <w:rPr>
                <w:webHidden/>
              </w:rPr>
              <w:fldChar w:fldCharType="separate"/>
            </w:r>
            <w:r w:rsidR="00644313">
              <w:rPr>
                <w:webHidden/>
              </w:rPr>
              <w:t>15</w:t>
            </w:r>
            <w:r w:rsidR="005F2A8E">
              <w:rPr>
                <w:webHidden/>
              </w:rPr>
              <w:fldChar w:fldCharType="end"/>
            </w:r>
          </w:hyperlink>
        </w:p>
        <w:p w14:paraId="123E3F57" w14:textId="60A66E21" w:rsidR="005F2A8E" w:rsidRDefault="00000000">
          <w:pPr>
            <w:pStyle w:val="TOC2"/>
            <w:rPr>
              <w:rFonts w:eastAsiaTheme="minorEastAsia" w:cstheme="minorBidi"/>
              <w:color w:val="auto"/>
              <w:sz w:val="22"/>
              <w:szCs w:val="22"/>
              <w:lang w:eastAsia="en-AU"/>
            </w:rPr>
          </w:pPr>
          <w:hyperlink w:anchor="_Toc138251066" w:history="1">
            <w:r w:rsidR="005F2A8E" w:rsidRPr="00563C7A">
              <w:rPr>
                <w:rStyle w:val="Hyperlink"/>
              </w:rPr>
              <w:t>Interest rates</w:t>
            </w:r>
            <w:r w:rsidR="005F2A8E">
              <w:rPr>
                <w:webHidden/>
              </w:rPr>
              <w:tab/>
            </w:r>
            <w:r w:rsidR="005F2A8E">
              <w:rPr>
                <w:webHidden/>
              </w:rPr>
              <w:fldChar w:fldCharType="begin"/>
            </w:r>
            <w:r w:rsidR="005F2A8E">
              <w:rPr>
                <w:webHidden/>
              </w:rPr>
              <w:instrText xml:space="preserve"> PAGEREF _Toc138251066 \h </w:instrText>
            </w:r>
            <w:r w:rsidR="005F2A8E">
              <w:rPr>
                <w:webHidden/>
              </w:rPr>
            </w:r>
            <w:r w:rsidR="005F2A8E">
              <w:rPr>
                <w:webHidden/>
              </w:rPr>
              <w:fldChar w:fldCharType="separate"/>
            </w:r>
            <w:r w:rsidR="00644313">
              <w:rPr>
                <w:webHidden/>
              </w:rPr>
              <w:t>15</w:t>
            </w:r>
            <w:r w:rsidR="005F2A8E">
              <w:rPr>
                <w:webHidden/>
              </w:rPr>
              <w:fldChar w:fldCharType="end"/>
            </w:r>
          </w:hyperlink>
        </w:p>
        <w:p w14:paraId="791095E3" w14:textId="686596A9" w:rsidR="005F2A8E" w:rsidRDefault="00000000">
          <w:pPr>
            <w:pStyle w:val="TOC2"/>
            <w:rPr>
              <w:rFonts w:eastAsiaTheme="minorEastAsia" w:cstheme="minorBidi"/>
              <w:color w:val="auto"/>
              <w:sz w:val="22"/>
              <w:szCs w:val="22"/>
              <w:lang w:eastAsia="en-AU"/>
            </w:rPr>
          </w:pPr>
          <w:hyperlink w:anchor="_Toc138251067" w:history="1">
            <w:r w:rsidR="005F2A8E" w:rsidRPr="00563C7A">
              <w:rPr>
                <w:rStyle w:val="Hyperlink"/>
              </w:rPr>
              <w:t>Lending and guarantee fees</w:t>
            </w:r>
            <w:r w:rsidR="005F2A8E">
              <w:rPr>
                <w:webHidden/>
              </w:rPr>
              <w:tab/>
            </w:r>
            <w:r w:rsidR="005F2A8E">
              <w:rPr>
                <w:webHidden/>
              </w:rPr>
              <w:fldChar w:fldCharType="begin"/>
            </w:r>
            <w:r w:rsidR="005F2A8E">
              <w:rPr>
                <w:webHidden/>
              </w:rPr>
              <w:instrText xml:space="preserve"> PAGEREF _Toc138251067 \h </w:instrText>
            </w:r>
            <w:r w:rsidR="005F2A8E">
              <w:rPr>
                <w:webHidden/>
              </w:rPr>
            </w:r>
            <w:r w:rsidR="005F2A8E">
              <w:rPr>
                <w:webHidden/>
              </w:rPr>
              <w:fldChar w:fldCharType="separate"/>
            </w:r>
            <w:r w:rsidR="00644313">
              <w:rPr>
                <w:webHidden/>
              </w:rPr>
              <w:t>16</w:t>
            </w:r>
            <w:r w:rsidR="005F2A8E">
              <w:rPr>
                <w:webHidden/>
              </w:rPr>
              <w:fldChar w:fldCharType="end"/>
            </w:r>
          </w:hyperlink>
        </w:p>
        <w:p w14:paraId="0C5328E4" w14:textId="06C94FF4" w:rsidR="005F2A8E" w:rsidRDefault="00000000">
          <w:pPr>
            <w:pStyle w:val="TOC1"/>
            <w:rPr>
              <w:rFonts w:asciiTheme="minorHAnsi" w:eastAsiaTheme="minorEastAsia" w:hAnsiTheme="minorHAnsi" w:cstheme="minorBidi"/>
              <w:bCs w:val="0"/>
              <w:color w:val="auto"/>
              <w:szCs w:val="22"/>
              <w:lang w:eastAsia="en-AU"/>
            </w:rPr>
          </w:pPr>
          <w:hyperlink w:anchor="_Toc138251068" w:history="1">
            <w:r w:rsidR="005F2A8E" w:rsidRPr="00563C7A">
              <w:rPr>
                <w:rStyle w:val="Hyperlink"/>
              </w:rPr>
              <w:t>Other services available to Victorian councils</w:t>
            </w:r>
            <w:r w:rsidR="005F2A8E">
              <w:rPr>
                <w:webHidden/>
              </w:rPr>
              <w:tab/>
            </w:r>
            <w:r w:rsidR="005F2A8E">
              <w:rPr>
                <w:webHidden/>
              </w:rPr>
              <w:fldChar w:fldCharType="begin"/>
            </w:r>
            <w:r w:rsidR="005F2A8E">
              <w:rPr>
                <w:webHidden/>
              </w:rPr>
              <w:instrText xml:space="preserve"> PAGEREF _Toc138251068 \h </w:instrText>
            </w:r>
            <w:r w:rsidR="005F2A8E">
              <w:rPr>
                <w:webHidden/>
              </w:rPr>
            </w:r>
            <w:r w:rsidR="005F2A8E">
              <w:rPr>
                <w:webHidden/>
              </w:rPr>
              <w:fldChar w:fldCharType="separate"/>
            </w:r>
            <w:r w:rsidR="00644313">
              <w:rPr>
                <w:webHidden/>
              </w:rPr>
              <w:t>17</w:t>
            </w:r>
            <w:r w:rsidR="005F2A8E">
              <w:rPr>
                <w:webHidden/>
              </w:rPr>
              <w:fldChar w:fldCharType="end"/>
            </w:r>
          </w:hyperlink>
        </w:p>
        <w:p w14:paraId="6D547D61" w14:textId="2E5A63A0" w:rsidR="005F2A8E" w:rsidRDefault="00000000">
          <w:pPr>
            <w:pStyle w:val="TOC2"/>
            <w:rPr>
              <w:rFonts w:eastAsiaTheme="minorEastAsia" w:cstheme="minorBidi"/>
              <w:color w:val="auto"/>
              <w:sz w:val="22"/>
              <w:szCs w:val="22"/>
              <w:lang w:eastAsia="en-AU"/>
            </w:rPr>
          </w:pPr>
          <w:hyperlink w:anchor="_Toc138251069" w:history="1">
            <w:r w:rsidR="005F2A8E" w:rsidRPr="00563C7A">
              <w:rPr>
                <w:rStyle w:val="Hyperlink"/>
              </w:rPr>
              <w:t>TCV’s other services</w:t>
            </w:r>
            <w:r w:rsidR="005F2A8E">
              <w:rPr>
                <w:webHidden/>
              </w:rPr>
              <w:tab/>
            </w:r>
            <w:r w:rsidR="005F2A8E">
              <w:rPr>
                <w:webHidden/>
              </w:rPr>
              <w:fldChar w:fldCharType="begin"/>
            </w:r>
            <w:r w:rsidR="005F2A8E">
              <w:rPr>
                <w:webHidden/>
              </w:rPr>
              <w:instrText xml:space="preserve"> PAGEREF _Toc138251069 \h </w:instrText>
            </w:r>
            <w:r w:rsidR="005F2A8E">
              <w:rPr>
                <w:webHidden/>
              </w:rPr>
            </w:r>
            <w:r w:rsidR="005F2A8E">
              <w:rPr>
                <w:webHidden/>
              </w:rPr>
              <w:fldChar w:fldCharType="separate"/>
            </w:r>
            <w:r w:rsidR="00644313">
              <w:rPr>
                <w:webHidden/>
              </w:rPr>
              <w:t>17</w:t>
            </w:r>
            <w:r w:rsidR="005F2A8E">
              <w:rPr>
                <w:webHidden/>
              </w:rPr>
              <w:fldChar w:fldCharType="end"/>
            </w:r>
          </w:hyperlink>
        </w:p>
        <w:p w14:paraId="5D5AE82D" w14:textId="6BC53978" w:rsidR="005F2A8E" w:rsidRDefault="00000000">
          <w:pPr>
            <w:pStyle w:val="TOC2"/>
            <w:rPr>
              <w:rFonts w:eastAsiaTheme="minorEastAsia" w:cstheme="minorBidi"/>
              <w:color w:val="auto"/>
              <w:sz w:val="22"/>
              <w:szCs w:val="22"/>
              <w:lang w:eastAsia="en-AU"/>
            </w:rPr>
          </w:pPr>
          <w:hyperlink w:anchor="_Toc138251070" w:history="1">
            <w:r w:rsidR="005F2A8E" w:rsidRPr="00563C7A">
              <w:rPr>
                <w:rStyle w:val="Hyperlink"/>
              </w:rPr>
              <w:t>Deposit services</w:t>
            </w:r>
            <w:r w:rsidR="005F2A8E">
              <w:rPr>
                <w:webHidden/>
              </w:rPr>
              <w:tab/>
            </w:r>
            <w:r w:rsidR="005F2A8E">
              <w:rPr>
                <w:webHidden/>
              </w:rPr>
              <w:fldChar w:fldCharType="begin"/>
            </w:r>
            <w:r w:rsidR="005F2A8E">
              <w:rPr>
                <w:webHidden/>
              </w:rPr>
              <w:instrText xml:space="preserve"> PAGEREF _Toc138251070 \h </w:instrText>
            </w:r>
            <w:r w:rsidR="005F2A8E">
              <w:rPr>
                <w:webHidden/>
              </w:rPr>
            </w:r>
            <w:r w:rsidR="005F2A8E">
              <w:rPr>
                <w:webHidden/>
              </w:rPr>
              <w:fldChar w:fldCharType="separate"/>
            </w:r>
            <w:r w:rsidR="00644313">
              <w:rPr>
                <w:webHidden/>
              </w:rPr>
              <w:t>18</w:t>
            </w:r>
            <w:r w:rsidR="005F2A8E">
              <w:rPr>
                <w:webHidden/>
              </w:rPr>
              <w:fldChar w:fldCharType="end"/>
            </w:r>
          </w:hyperlink>
        </w:p>
        <w:p w14:paraId="68DCCDDD" w14:textId="0389DC98" w:rsidR="003211D1" w:rsidRDefault="003211D1" w:rsidP="712ED00F">
          <w:pPr>
            <w:pStyle w:val="TOC2"/>
            <w:tabs>
              <w:tab w:val="clear" w:pos="9065"/>
              <w:tab w:val="right" w:leader="dot" w:pos="9060"/>
            </w:tabs>
            <w:rPr>
              <w:rStyle w:val="Hyperlink"/>
              <w:lang w:eastAsia="en-AU"/>
            </w:rPr>
          </w:pPr>
          <w:r>
            <w:fldChar w:fldCharType="end"/>
          </w:r>
        </w:p>
      </w:sdtContent>
    </w:sdt>
    <w:p w14:paraId="3ED05F90" w14:textId="28A3A99F" w:rsidR="007A5FF8" w:rsidRDefault="007A5FF8" w:rsidP="007537C2">
      <w:pPr>
        <w:pStyle w:val="TOC1"/>
      </w:pPr>
    </w:p>
    <w:p w14:paraId="4EDD0BB8" w14:textId="23129FAE" w:rsidR="00262E24" w:rsidRPr="007A5FF8" w:rsidRDefault="00262E24" w:rsidP="00C11BA5">
      <w:r>
        <w:br w:type="page"/>
      </w:r>
    </w:p>
    <w:p w14:paraId="1BADF60B" w14:textId="77777777" w:rsidR="00EC3A39" w:rsidRPr="003F100B" w:rsidRDefault="00EC3A39" w:rsidP="00EC3A39">
      <w:pPr>
        <w:pStyle w:val="Heading1"/>
        <w:rPr>
          <w:noProof/>
        </w:rPr>
      </w:pPr>
      <w:bookmarkStart w:id="0" w:name="_Toc79755044"/>
      <w:bookmarkStart w:id="1" w:name="_Toc138251046"/>
      <w:r w:rsidRPr="712ED00F">
        <w:rPr>
          <w:noProof/>
        </w:rPr>
        <w:lastRenderedPageBreak/>
        <w:t>Acronyms</w:t>
      </w:r>
      <w:bookmarkEnd w:id="0"/>
      <w:bookmarkEnd w:id="1"/>
    </w:p>
    <w:p w14:paraId="7BC4B692" w14:textId="77777777" w:rsidR="00EC3A39" w:rsidRPr="003F100B" w:rsidRDefault="00EC3A39" w:rsidP="00EC3A39">
      <w:pPr>
        <w:rPr>
          <w:noProof/>
        </w:rPr>
      </w:pPr>
      <w:r w:rsidRPr="003F100B">
        <w:rPr>
          <w:noProof/>
        </w:rPr>
        <w:t>ADI</w:t>
      </w:r>
      <w:r w:rsidRPr="003F100B">
        <w:rPr>
          <w:noProof/>
        </w:rPr>
        <w:tab/>
      </w:r>
      <w:r w:rsidRPr="003F100B">
        <w:rPr>
          <w:noProof/>
        </w:rPr>
        <w:tab/>
        <w:t>Authorised Deposit-taking Institution</w:t>
      </w:r>
    </w:p>
    <w:p w14:paraId="449CF02E" w14:textId="56777A61" w:rsidR="00EC3A39" w:rsidRPr="003F100B" w:rsidRDefault="002D5E37" w:rsidP="00EC3A39">
      <w:pPr>
        <w:rPr>
          <w:noProof/>
        </w:rPr>
      </w:pPr>
      <w:r w:rsidRPr="003F100B">
        <w:rPr>
          <w:noProof/>
        </w:rPr>
        <w:t>D</w:t>
      </w:r>
      <w:r>
        <w:rPr>
          <w:noProof/>
        </w:rPr>
        <w:t>GS</w:t>
      </w:r>
      <w:r w:rsidR="00EC3A39" w:rsidRPr="003F100B">
        <w:rPr>
          <w:noProof/>
        </w:rPr>
        <w:tab/>
      </w:r>
      <w:r w:rsidR="00EC3A39" w:rsidRPr="003F100B">
        <w:rPr>
          <w:noProof/>
        </w:rPr>
        <w:tab/>
        <w:t xml:space="preserve">Department of </w:t>
      </w:r>
      <w:r>
        <w:rPr>
          <w:noProof/>
        </w:rPr>
        <w:t>Government Services</w:t>
      </w:r>
    </w:p>
    <w:p w14:paraId="53B6F957" w14:textId="77777777" w:rsidR="00EC3A39" w:rsidRPr="003F100B" w:rsidRDefault="00EC3A39" w:rsidP="00EC3A39">
      <w:pPr>
        <w:rPr>
          <w:noProof/>
        </w:rPr>
      </w:pPr>
      <w:r w:rsidRPr="003F100B">
        <w:rPr>
          <w:noProof/>
        </w:rPr>
        <w:t>DTF</w:t>
      </w:r>
      <w:r w:rsidRPr="003F100B">
        <w:rPr>
          <w:noProof/>
        </w:rPr>
        <w:tab/>
      </w:r>
      <w:r w:rsidRPr="003F100B">
        <w:rPr>
          <w:noProof/>
        </w:rPr>
        <w:tab/>
        <w:t>Department of Treasury and Finance</w:t>
      </w:r>
    </w:p>
    <w:p w14:paraId="2D885646" w14:textId="77777777" w:rsidR="00EC3A39" w:rsidRPr="003F100B" w:rsidRDefault="00EC3A39" w:rsidP="00EC3A39">
      <w:pPr>
        <w:rPr>
          <w:noProof/>
        </w:rPr>
      </w:pPr>
      <w:r w:rsidRPr="003F100B">
        <w:rPr>
          <w:noProof/>
        </w:rPr>
        <w:t>ISPRF</w:t>
      </w:r>
      <w:r w:rsidRPr="003F100B">
        <w:rPr>
          <w:noProof/>
        </w:rPr>
        <w:tab/>
      </w:r>
      <w:r w:rsidRPr="003F100B">
        <w:rPr>
          <w:noProof/>
        </w:rPr>
        <w:tab/>
        <w:t>Integrated Strategic Planning and Reporting Framework</w:t>
      </w:r>
    </w:p>
    <w:p w14:paraId="626282D6" w14:textId="1B03BACA" w:rsidR="00EC3A39" w:rsidRPr="003F100B" w:rsidRDefault="00EC3A39" w:rsidP="00EC3A39">
      <w:pPr>
        <w:rPr>
          <w:noProof/>
        </w:rPr>
      </w:pPr>
      <w:r w:rsidRPr="245AE7BB">
        <w:rPr>
          <w:noProof/>
        </w:rPr>
        <w:t>LGPRF</w:t>
      </w:r>
      <w:r>
        <w:tab/>
      </w:r>
      <w:r w:rsidRPr="245AE7BB">
        <w:rPr>
          <w:noProof/>
        </w:rPr>
        <w:t>Local Government Performance Reporting Framework</w:t>
      </w:r>
    </w:p>
    <w:p w14:paraId="7842298D" w14:textId="77777777" w:rsidR="00EC3A39" w:rsidRPr="003F100B" w:rsidRDefault="00EC3A39" w:rsidP="00EC3A39">
      <w:pPr>
        <w:rPr>
          <w:noProof/>
        </w:rPr>
      </w:pPr>
      <w:r w:rsidRPr="003F100B">
        <w:rPr>
          <w:noProof/>
        </w:rPr>
        <w:t>LGV</w:t>
      </w:r>
      <w:r w:rsidRPr="003F100B">
        <w:rPr>
          <w:noProof/>
        </w:rPr>
        <w:tab/>
      </w:r>
      <w:r w:rsidRPr="003F100B">
        <w:rPr>
          <w:noProof/>
        </w:rPr>
        <w:tab/>
        <w:t>Local Government Victoria</w:t>
      </w:r>
    </w:p>
    <w:p w14:paraId="1D40EFF3" w14:textId="77777777" w:rsidR="00EC3A39" w:rsidRPr="003F100B" w:rsidRDefault="00EC3A39" w:rsidP="00EC3A39">
      <w:pPr>
        <w:rPr>
          <w:noProof/>
        </w:rPr>
      </w:pPr>
      <w:r w:rsidRPr="003F100B">
        <w:rPr>
          <w:noProof/>
        </w:rPr>
        <w:t>TCV</w:t>
      </w:r>
      <w:r w:rsidRPr="003F100B">
        <w:rPr>
          <w:noProof/>
        </w:rPr>
        <w:tab/>
      </w:r>
      <w:r w:rsidRPr="003F100B">
        <w:rPr>
          <w:noProof/>
        </w:rPr>
        <w:tab/>
        <w:t>Treasury Corporation of Victoria</w:t>
      </w:r>
    </w:p>
    <w:p w14:paraId="5F41FC24" w14:textId="77777777" w:rsidR="00EC3A39" w:rsidRDefault="00EC3A39" w:rsidP="00EC3A39">
      <w:pPr>
        <w:rPr>
          <w:noProof/>
        </w:rPr>
      </w:pPr>
      <w:r w:rsidRPr="003F100B">
        <w:rPr>
          <w:noProof/>
        </w:rPr>
        <w:t>VAGO</w:t>
      </w:r>
      <w:r w:rsidRPr="003F100B">
        <w:rPr>
          <w:noProof/>
        </w:rPr>
        <w:tab/>
      </w:r>
      <w:r w:rsidRPr="003F100B">
        <w:rPr>
          <w:noProof/>
        </w:rPr>
        <w:tab/>
        <w:t>Victorian Auditor</w:t>
      </w:r>
      <w:r w:rsidRPr="003F100B">
        <w:rPr>
          <w:rFonts w:ascii="Cambria Math" w:hAnsi="Cambria Math" w:cs="Cambria Math"/>
          <w:noProof/>
        </w:rPr>
        <w:t>‐</w:t>
      </w:r>
      <w:r w:rsidRPr="003F100B">
        <w:rPr>
          <w:noProof/>
        </w:rPr>
        <w:t>General’s Office</w:t>
      </w:r>
    </w:p>
    <w:p w14:paraId="0172DA22" w14:textId="77777777" w:rsidR="00EC3A39" w:rsidRPr="003F100B" w:rsidRDefault="00EC3A39" w:rsidP="00EC3A39">
      <w:pPr>
        <w:rPr>
          <w:noProof/>
        </w:rPr>
      </w:pPr>
      <w:r w:rsidRPr="003F100B">
        <w:rPr>
          <w:noProof/>
        </w:rPr>
        <w:t>V</w:t>
      </w:r>
      <w:r>
        <w:rPr>
          <w:noProof/>
        </w:rPr>
        <w:t>FMC</w:t>
      </w:r>
      <w:r w:rsidRPr="003F100B">
        <w:rPr>
          <w:noProof/>
        </w:rPr>
        <w:tab/>
      </w:r>
      <w:r w:rsidRPr="003F100B">
        <w:rPr>
          <w:noProof/>
        </w:rPr>
        <w:tab/>
        <w:t xml:space="preserve">Victorian </w:t>
      </w:r>
      <w:r>
        <w:rPr>
          <w:noProof/>
        </w:rPr>
        <w:t>Funds Management Corporation</w:t>
      </w:r>
    </w:p>
    <w:p w14:paraId="2E26F0CB" w14:textId="77777777" w:rsidR="00EC3A39" w:rsidRPr="003F100B" w:rsidRDefault="00EC3A39" w:rsidP="00EC3A39">
      <w:pPr>
        <w:rPr>
          <w:noProof/>
        </w:rPr>
      </w:pPr>
    </w:p>
    <w:p w14:paraId="26F05631" w14:textId="77777777" w:rsidR="00EC3A39" w:rsidRDefault="00EC3A39" w:rsidP="00EC3A39">
      <w:pPr>
        <w:rPr>
          <w:noProof/>
        </w:rPr>
      </w:pPr>
    </w:p>
    <w:p w14:paraId="6D276EDA" w14:textId="77777777" w:rsidR="00EC3A39" w:rsidRDefault="00EC3A39" w:rsidP="00EC3A39">
      <w:pPr>
        <w:pStyle w:val="Heading1"/>
        <w:ind w:left="431" w:hanging="431"/>
      </w:pPr>
      <w:bookmarkStart w:id="2" w:name="_Toc79755045"/>
      <w:bookmarkStart w:id="3" w:name="_Toc135819856"/>
      <w:bookmarkStart w:id="4" w:name="_Toc138251047"/>
      <w:r>
        <w:lastRenderedPageBreak/>
        <w:t>Introduction</w:t>
      </w:r>
      <w:bookmarkEnd w:id="2"/>
      <w:bookmarkEnd w:id="3"/>
      <w:bookmarkEnd w:id="4"/>
    </w:p>
    <w:p w14:paraId="1CD4899C" w14:textId="48E9688C" w:rsidR="00EC3A39" w:rsidRDefault="00EC3A39" w:rsidP="00EC3A39">
      <w:r>
        <w:t xml:space="preserve">Victorian councils collectively own and manage community assets and infrastructure worth </w:t>
      </w:r>
      <w:bookmarkStart w:id="5" w:name="_Int_LO4ZTIVk"/>
      <w:proofErr w:type="gramStart"/>
      <w:r>
        <w:t>in excess of</w:t>
      </w:r>
      <w:bookmarkEnd w:id="5"/>
      <w:proofErr w:type="gramEnd"/>
      <w:r>
        <w:t xml:space="preserve"> $1</w:t>
      </w:r>
      <w:r w:rsidR="00286EBC">
        <w:t>25.7</w:t>
      </w:r>
      <w:r>
        <w:t xml:space="preserve"> billion and spend over $</w:t>
      </w:r>
      <w:r w:rsidR="00C6252D">
        <w:t>10.2</w:t>
      </w:r>
      <w:r>
        <w:t xml:space="preserve"> billion on the provision of services annually.</w:t>
      </w:r>
      <w:r w:rsidR="00C6252D">
        <w:rPr>
          <w:rStyle w:val="FootnoteReference"/>
        </w:rPr>
        <w:footnoteReference w:id="2"/>
      </w:r>
      <w:r>
        <w:t xml:space="preserve"> Recognising these significant economic responsibilities, the </w:t>
      </w:r>
      <w:r w:rsidRPr="245AE7BB">
        <w:rPr>
          <w:i/>
          <w:iCs/>
        </w:rPr>
        <w:t>Local Government Act 2020</w:t>
      </w:r>
      <w:r>
        <w:t xml:space="preserve"> requires councils to forward plan by developing</w:t>
      </w:r>
      <w:r w:rsidR="007E7F59">
        <w:t xml:space="preserve"> an </w:t>
      </w:r>
      <w:r w:rsidR="00DB6495">
        <w:t>A</w:t>
      </w:r>
      <w:r w:rsidR="007E7F59">
        <w:t>nn</w:t>
      </w:r>
      <w:r w:rsidR="00F1095E">
        <w:t xml:space="preserve">ual </w:t>
      </w:r>
      <w:r w:rsidR="00DB6495">
        <w:t>B</w:t>
      </w:r>
      <w:r w:rsidR="00F1095E">
        <w:t xml:space="preserve">udget, a 10-year </w:t>
      </w:r>
      <w:r w:rsidR="00DB6495">
        <w:t>F</w:t>
      </w:r>
      <w:r w:rsidR="00F1095E">
        <w:t xml:space="preserve">inancial </w:t>
      </w:r>
      <w:r w:rsidR="00DB6495">
        <w:t>P</w:t>
      </w:r>
      <w:r w:rsidR="00F1095E">
        <w:t>lan</w:t>
      </w:r>
      <w:r w:rsidR="00DB6495">
        <w:t xml:space="preserve"> and a 10-year Asset Plan</w:t>
      </w:r>
      <w:r>
        <w:t>. Combined, these tools will demonstrate how a council can effectively finance operational and capital requirements.</w:t>
      </w:r>
    </w:p>
    <w:p w14:paraId="0B622E67" w14:textId="482F9358" w:rsidR="003C1F57" w:rsidRDefault="006F5DC5" w:rsidP="00311922">
      <w:r>
        <w:t>In September 2021</w:t>
      </w:r>
      <w:r w:rsidR="5470D0D9">
        <w:t>,</w:t>
      </w:r>
      <w:r>
        <w:t xml:space="preserve"> the Victorian Government approved a framework to provide councils with access to loans financed through Treasury Corporation of Victoria (TCV).</w:t>
      </w:r>
      <w:r w:rsidR="00311922">
        <w:t xml:space="preserve"> Access to affordable </w:t>
      </w:r>
      <w:r w:rsidR="00CD76B4">
        <w:t xml:space="preserve">TCV </w:t>
      </w:r>
      <w:r w:rsidR="008846FA">
        <w:t>loans</w:t>
      </w:r>
      <w:r w:rsidR="00311922">
        <w:t xml:space="preserve"> gives councils </w:t>
      </w:r>
      <w:r w:rsidR="00CD76B4">
        <w:t xml:space="preserve">an </w:t>
      </w:r>
      <w:r w:rsidR="00311922">
        <w:t xml:space="preserve">additional funding option to support the delivery of more services and facilities to local communities, helping stimulate economic </w:t>
      </w:r>
      <w:r w:rsidR="00392B33">
        <w:t>activity</w:t>
      </w:r>
      <w:r w:rsidR="00311922">
        <w:t xml:space="preserve"> and jobs growth at a local level.</w:t>
      </w:r>
    </w:p>
    <w:p w14:paraId="3A3BAF66" w14:textId="6BB0F994" w:rsidR="00835F02" w:rsidRPr="004E03C9" w:rsidRDefault="00EC3A39" w:rsidP="00EC3A39">
      <w:r w:rsidRPr="00D97706">
        <w:t>This document outline</w:t>
      </w:r>
      <w:r w:rsidR="008C7F98">
        <w:t>s</w:t>
      </w:r>
      <w:r w:rsidRPr="00D97706">
        <w:t xml:space="preserve"> the key steps, milestones, and criteria for Victorian councils to successfully access loans from TCV.</w:t>
      </w:r>
    </w:p>
    <w:p w14:paraId="2FC7296B" w14:textId="77777777" w:rsidR="00EC3A39" w:rsidRDefault="00EC3A39" w:rsidP="00EC3A39">
      <w:pPr>
        <w:pStyle w:val="Heading1"/>
        <w:ind w:left="431" w:hanging="431"/>
      </w:pPr>
      <w:bookmarkStart w:id="6" w:name="_Toc79755046"/>
      <w:bookmarkStart w:id="7" w:name="_Toc135819857"/>
      <w:bookmarkStart w:id="8" w:name="_Toc138251048"/>
      <w:r>
        <w:lastRenderedPageBreak/>
        <w:t>About the loans framework</w:t>
      </w:r>
      <w:bookmarkEnd w:id="6"/>
      <w:bookmarkEnd w:id="7"/>
      <w:bookmarkEnd w:id="8"/>
    </w:p>
    <w:p w14:paraId="068CB954" w14:textId="77777777" w:rsidR="00EC3A39" w:rsidRPr="00DF33CA" w:rsidRDefault="00EC3A39" w:rsidP="00EC3A39">
      <w:pPr>
        <w:pStyle w:val="Heading2"/>
        <w:rPr>
          <w:color w:val="00B0F0"/>
        </w:rPr>
      </w:pPr>
      <w:bookmarkStart w:id="9" w:name="_Toc79755047"/>
      <w:bookmarkStart w:id="10" w:name="_Toc135819858"/>
      <w:bookmarkStart w:id="11" w:name="_Toc138251049"/>
      <w:r w:rsidRPr="245AE7BB">
        <w:rPr>
          <w:color w:val="00B0F0"/>
        </w:rPr>
        <w:t xml:space="preserve">Overview of the </w:t>
      </w:r>
      <w:bookmarkStart w:id="12" w:name="_Int_tC1UxNEG"/>
      <w:proofErr w:type="gramStart"/>
      <w:r w:rsidRPr="245AE7BB">
        <w:rPr>
          <w:color w:val="00B0F0"/>
        </w:rPr>
        <w:t>loans</w:t>
      </w:r>
      <w:bookmarkEnd w:id="12"/>
      <w:proofErr w:type="gramEnd"/>
      <w:r w:rsidRPr="245AE7BB">
        <w:rPr>
          <w:color w:val="00B0F0"/>
        </w:rPr>
        <w:t xml:space="preserve"> framework</w:t>
      </w:r>
      <w:bookmarkEnd w:id="9"/>
      <w:bookmarkEnd w:id="10"/>
      <w:bookmarkEnd w:id="11"/>
    </w:p>
    <w:p w14:paraId="5FAE7B9E" w14:textId="0A8ED2CB" w:rsidR="00EC3A39" w:rsidRDefault="003A7181" w:rsidP="00EC3A39">
      <w:r>
        <w:t>In September 2021</w:t>
      </w:r>
      <w:r w:rsidR="00C22202">
        <w:t>,</w:t>
      </w:r>
      <w:r>
        <w:t xml:space="preserve"> t</w:t>
      </w:r>
      <w:r w:rsidR="00EC3A39">
        <w:t xml:space="preserve">he Victorian Government approved Treasury Corporation of Victoria (TCV) to become a direct lender to local councils. Victoria’s strong credit rating means that </w:t>
      </w:r>
      <w:r w:rsidR="00C67104">
        <w:t>TCV</w:t>
      </w:r>
      <w:r w:rsidR="00EC3A39">
        <w:t xml:space="preserve"> can borrow and lend money at cheaper rates than are commercially available to councils. This policy initiative enable</w:t>
      </w:r>
      <w:r w:rsidR="007A5F1B">
        <w:t>s</w:t>
      </w:r>
      <w:r w:rsidR="00EC3A39">
        <w:t xml:space="preserve"> Victorian councils to achieve interest cost savings by being able to access loans financed through TCV.</w:t>
      </w:r>
    </w:p>
    <w:p w14:paraId="43C94DC4" w14:textId="4BFC050E" w:rsidR="00EC3A39" w:rsidRDefault="00EC3A39" w:rsidP="00EC3A39">
      <w:r>
        <w:t xml:space="preserve">The </w:t>
      </w:r>
      <w:r w:rsidRPr="245AE7BB">
        <w:rPr>
          <w:i/>
          <w:iCs/>
        </w:rPr>
        <w:t>Local Government Act 2020</w:t>
      </w:r>
      <w:r>
        <w:t xml:space="preserve"> provides Victorian councils with the power to borrow money to finance service delivery and infrastructure investment subject to certain parameters. For example, councils cannot borrow money unless the proposed borrowings </w:t>
      </w:r>
      <w:r w:rsidR="00C67104">
        <w:t>are</w:t>
      </w:r>
      <w:r>
        <w:t xml:space="preserve"> included in the budget or a revised budget. </w:t>
      </w:r>
    </w:p>
    <w:p w14:paraId="1CB92B3A" w14:textId="3C4A00A3" w:rsidR="00EC3A39" w:rsidRDefault="00EC3A39" w:rsidP="00EC3A39">
      <w:r>
        <w:t>Previously councils predominantly borrowed from private sector Authorised Deposit-taking Institutions (ADIs). Th</w:t>
      </w:r>
      <w:r w:rsidR="00F74ACA">
        <w:t>is</w:t>
      </w:r>
      <w:r>
        <w:t xml:space="preserve"> framework </w:t>
      </w:r>
      <w:r w:rsidR="00167B10">
        <w:t xml:space="preserve">allows </w:t>
      </w:r>
      <w:r>
        <w:t>councils to</w:t>
      </w:r>
      <w:r w:rsidR="00167B10">
        <w:t xml:space="preserve"> also</w:t>
      </w:r>
      <w:r>
        <w:t xml:space="preserve"> borrow directly from TCV</w:t>
      </w:r>
      <w:r w:rsidR="007960C1">
        <w:t xml:space="preserve">. </w:t>
      </w:r>
      <w:r>
        <w:t xml:space="preserve"> </w:t>
      </w:r>
    </w:p>
    <w:p w14:paraId="06BC0D71" w14:textId="7A379EFE" w:rsidR="00EC3A39" w:rsidRDefault="00EC3A39" w:rsidP="00EC3A39">
      <w:r>
        <w:t>Th</w:t>
      </w:r>
      <w:r w:rsidR="007960C1">
        <w:t>e</w:t>
      </w:r>
      <w:r>
        <w:t xml:space="preserve"> framework differs from some predecessor schemes offered by the State such as the Community Infrastructure Loans Scheme. Councils </w:t>
      </w:r>
      <w:bookmarkStart w:id="13" w:name="_Int_r79sdhv0"/>
      <w:proofErr w:type="gramStart"/>
      <w:r w:rsidR="005105A2">
        <w:t>are</w:t>
      </w:r>
      <w:r>
        <w:t xml:space="preserve"> able to</w:t>
      </w:r>
      <w:bookmarkEnd w:id="13"/>
      <w:proofErr w:type="gramEnd"/>
      <w:r>
        <w:t xml:space="preserve"> access borrowings from TCV for general working capital requirements, in addition to project specific infrastructure investment purposes. </w:t>
      </w:r>
    </w:p>
    <w:p w14:paraId="775C5275" w14:textId="42DB79C6" w:rsidR="00EC3A39" w:rsidRDefault="00EC3A39" w:rsidP="00EC3A39">
      <w:r>
        <w:t>Th</w:t>
      </w:r>
      <w:r w:rsidR="005105A2">
        <w:t>e</w:t>
      </w:r>
      <w:r>
        <w:t xml:space="preserve"> framework, which provides councils with the flexibility to access loans from TCV, is designed to complement, not replace, existing funding programs and sources.</w:t>
      </w:r>
    </w:p>
    <w:p w14:paraId="480FA51F" w14:textId="7F951B24" w:rsidR="008B14BB" w:rsidRPr="00DF33CA" w:rsidRDefault="006275B0" w:rsidP="00EC3A39">
      <w:pPr>
        <w:rPr>
          <w:rFonts w:asciiTheme="majorHAnsi" w:hAnsiTheme="majorHAnsi"/>
          <w:b/>
          <w:color w:val="003A5E" w:themeColor="accent2" w:themeShade="80"/>
          <w:sz w:val="26"/>
          <w:szCs w:val="24"/>
        </w:rPr>
      </w:pPr>
      <w:r w:rsidRPr="00DF33CA">
        <w:rPr>
          <w:rFonts w:asciiTheme="majorHAnsi" w:hAnsiTheme="majorHAnsi"/>
          <w:b/>
          <w:color w:val="003A5E" w:themeColor="accent2" w:themeShade="80"/>
          <w:sz w:val="26"/>
          <w:szCs w:val="24"/>
        </w:rPr>
        <w:t>Authorising environment</w:t>
      </w:r>
    </w:p>
    <w:p w14:paraId="458A88F3" w14:textId="2562327B" w:rsidR="00935DA8" w:rsidRDefault="0074055D" w:rsidP="00C96863">
      <w:r>
        <w:rPr>
          <w:rStyle w:val="ui-provider"/>
        </w:rPr>
        <w:t>U</w:t>
      </w:r>
      <w:r w:rsidR="002E00C3">
        <w:rPr>
          <w:rStyle w:val="ui-provider"/>
        </w:rPr>
        <w:t xml:space="preserve">nder </w:t>
      </w:r>
      <w:r w:rsidR="006275B0">
        <w:rPr>
          <w:rStyle w:val="ui-provider"/>
        </w:rPr>
        <w:t xml:space="preserve">the </w:t>
      </w:r>
      <w:r w:rsidR="006275B0" w:rsidRPr="00DF33CA">
        <w:rPr>
          <w:rStyle w:val="ui-provider"/>
          <w:i/>
          <w:iCs/>
        </w:rPr>
        <w:t>Local Government Act 2020</w:t>
      </w:r>
      <w:r>
        <w:rPr>
          <w:rStyle w:val="ui-provider"/>
          <w:i/>
          <w:iCs/>
        </w:rPr>
        <w:t>,</w:t>
      </w:r>
      <w:r w:rsidR="006275B0">
        <w:rPr>
          <w:rStyle w:val="ui-provider"/>
        </w:rPr>
        <w:t xml:space="preserve"> </w:t>
      </w:r>
      <w:r w:rsidR="002E00C3">
        <w:t xml:space="preserve">councils cannot borrow money unless the proposed borrowings are included in the budget or a revised budget. </w:t>
      </w:r>
      <w:r w:rsidR="001762DC">
        <w:t xml:space="preserve">The inclusion </w:t>
      </w:r>
      <w:r w:rsidR="006F14B6">
        <w:t>of proposed borrowings in a budget or revised budget signals a council’s intent to borrow.</w:t>
      </w:r>
      <w:r w:rsidR="00C85439">
        <w:t xml:space="preserve"> </w:t>
      </w:r>
    </w:p>
    <w:p w14:paraId="2A3F2A73" w14:textId="43376722" w:rsidR="00174479" w:rsidRDefault="00AF3CCD" w:rsidP="00C96863">
      <w:r>
        <w:t xml:space="preserve">Following the introduction of the </w:t>
      </w:r>
      <w:bookmarkStart w:id="14" w:name="_Int_KRqfEhOB"/>
      <w:proofErr w:type="gramStart"/>
      <w:r>
        <w:t>loans</w:t>
      </w:r>
      <w:bookmarkEnd w:id="14"/>
      <w:proofErr w:type="gramEnd"/>
      <w:r>
        <w:t xml:space="preserve"> framework, legislative and regulatory changes were made to </w:t>
      </w:r>
      <w:r w:rsidR="00447681">
        <w:t xml:space="preserve">make the process of </w:t>
      </w:r>
      <w:r w:rsidR="00FD56F7">
        <w:t xml:space="preserve">accessing </w:t>
      </w:r>
      <w:r w:rsidR="00D21E4A">
        <w:t xml:space="preserve">borrowings from </w:t>
      </w:r>
      <w:r w:rsidR="00FD56F7">
        <w:t>TCV</w:t>
      </w:r>
      <w:r w:rsidR="00447681">
        <w:t xml:space="preserve"> more administratively efficient.</w:t>
      </w:r>
    </w:p>
    <w:p w14:paraId="40A22EAC" w14:textId="77777777" w:rsidR="0067327D" w:rsidRDefault="0C192370" w:rsidP="200C3E8A">
      <w:pPr>
        <w:rPr>
          <w:rStyle w:val="ui-provider"/>
        </w:rPr>
      </w:pPr>
      <w:r w:rsidRPr="4B46A7B8">
        <w:rPr>
          <w:rStyle w:val="ui-provider"/>
        </w:rPr>
        <w:t xml:space="preserve">To allow access to borrowings from TCV, </w:t>
      </w:r>
      <w:r w:rsidR="02BE464B" w:rsidRPr="4B46A7B8">
        <w:rPr>
          <w:rStyle w:val="ui-provider"/>
        </w:rPr>
        <w:t>l</w:t>
      </w:r>
      <w:r w:rsidR="4528AFB0" w:rsidRPr="4B46A7B8">
        <w:rPr>
          <w:rStyle w:val="ui-provider"/>
        </w:rPr>
        <w:t xml:space="preserve">ocal councils have been prescribed as ‘authorities’ under the </w:t>
      </w:r>
      <w:r w:rsidR="4528AFB0" w:rsidRPr="4B46A7B8">
        <w:rPr>
          <w:rStyle w:val="ui-provider"/>
          <w:i/>
          <w:iCs/>
        </w:rPr>
        <w:t xml:space="preserve">Borrowing and Investment Powers </w:t>
      </w:r>
      <w:r w:rsidR="1507662B" w:rsidRPr="4B46A7B8">
        <w:rPr>
          <w:rStyle w:val="ui-provider"/>
          <w:i/>
          <w:iCs/>
        </w:rPr>
        <w:t xml:space="preserve">Act </w:t>
      </w:r>
      <w:r w:rsidR="4528AFB0" w:rsidRPr="4B46A7B8">
        <w:rPr>
          <w:rStyle w:val="ui-provider"/>
          <w:i/>
          <w:iCs/>
        </w:rPr>
        <w:t>1987</w:t>
      </w:r>
      <w:r w:rsidR="4528AFB0" w:rsidRPr="4B46A7B8">
        <w:rPr>
          <w:rStyle w:val="ui-provider"/>
        </w:rPr>
        <w:t xml:space="preserve"> (BIP Act) for the purposes of sections 5, 8, 11, 13 and 15. The Borrowing and Investment Powers (Authority) Regulations 2022 prescribe</w:t>
      </w:r>
      <w:r w:rsidR="6EAF7925" w:rsidRPr="4B46A7B8">
        <w:rPr>
          <w:rStyle w:val="ui-provider"/>
        </w:rPr>
        <w:t>s</w:t>
      </w:r>
      <w:r w:rsidR="4528AFB0" w:rsidRPr="4B46A7B8">
        <w:rPr>
          <w:rStyle w:val="ui-provider"/>
        </w:rPr>
        <w:t xml:space="preserve"> </w:t>
      </w:r>
      <w:r w:rsidR="623F8587" w:rsidRPr="4B46A7B8">
        <w:rPr>
          <w:rStyle w:val="ui-provider"/>
        </w:rPr>
        <w:t xml:space="preserve">the applications of these </w:t>
      </w:r>
      <w:r w:rsidR="4528AFB0" w:rsidRPr="4B46A7B8">
        <w:rPr>
          <w:rStyle w:val="ui-provider"/>
        </w:rPr>
        <w:t xml:space="preserve">sections of the BIP Act to each </w:t>
      </w:r>
      <w:r w:rsidR="00DC8FDC" w:rsidRPr="4B46A7B8">
        <w:rPr>
          <w:rStyle w:val="ui-provider"/>
        </w:rPr>
        <w:t>c</w:t>
      </w:r>
      <w:r w:rsidR="4528AFB0" w:rsidRPr="4B46A7B8">
        <w:rPr>
          <w:rStyle w:val="ui-provider"/>
        </w:rPr>
        <w:t>ouncil.</w:t>
      </w:r>
      <w:r w:rsidR="0E1B69F4" w:rsidRPr="4B46A7B8">
        <w:rPr>
          <w:rStyle w:val="ui-provider"/>
        </w:rPr>
        <w:t xml:space="preserve">  These sections of the BIP Act</w:t>
      </w:r>
      <w:r w:rsidR="428D52E5" w:rsidRPr="4B46A7B8">
        <w:rPr>
          <w:rStyle w:val="ui-provider"/>
        </w:rPr>
        <w:t xml:space="preserve">, </w:t>
      </w:r>
      <w:proofErr w:type="gramStart"/>
      <w:r w:rsidR="428D52E5" w:rsidRPr="4B46A7B8">
        <w:rPr>
          <w:rStyle w:val="ui-provider"/>
        </w:rPr>
        <w:t>with the exception of</w:t>
      </w:r>
      <w:proofErr w:type="gramEnd"/>
      <w:r w:rsidR="428D52E5" w:rsidRPr="4B46A7B8">
        <w:rPr>
          <w:rStyle w:val="ui-provider"/>
        </w:rPr>
        <w:t xml:space="preserve"> section 5,</w:t>
      </w:r>
      <w:r w:rsidR="0E1B69F4" w:rsidRPr="4B46A7B8">
        <w:rPr>
          <w:rStyle w:val="ui-provider"/>
        </w:rPr>
        <w:t xml:space="preserve"> provide </w:t>
      </w:r>
      <w:r w:rsidR="5A68F5FC" w:rsidRPr="4B46A7B8">
        <w:rPr>
          <w:rStyle w:val="ui-provider"/>
        </w:rPr>
        <w:t>c</w:t>
      </w:r>
      <w:r w:rsidR="0E1B69F4" w:rsidRPr="4B46A7B8">
        <w:rPr>
          <w:rStyle w:val="ui-provider"/>
        </w:rPr>
        <w:t xml:space="preserve">ouncils with the </w:t>
      </w:r>
      <w:r w:rsidR="105CBCDD" w:rsidRPr="4B46A7B8">
        <w:rPr>
          <w:rStyle w:val="ui-provider"/>
        </w:rPr>
        <w:t>authority</w:t>
      </w:r>
      <w:r w:rsidR="0E1B69F4" w:rsidRPr="4B46A7B8">
        <w:rPr>
          <w:rStyle w:val="ui-provider"/>
        </w:rPr>
        <w:t xml:space="preserve"> to borrow from TCV. </w:t>
      </w:r>
    </w:p>
    <w:p w14:paraId="2B325565" w14:textId="43CE76F9" w:rsidR="00B96C1B" w:rsidRDefault="16C5DAB2" w:rsidP="200C3E8A">
      <w:pPr>
        <w:rPr>
          <w:rStyle w:val="ui-provider"/>
        </w:rPr>
      </w:pPr>
      <w:r w:rsidRPr="4B46A7B8">
        <w:rPr>
          <w:rStyle w:val="ui-provider"/>
        </w:rPr>
        <w:t xml:space="preserve">Section 5 pertains to financial accommodation in the form of overdrafts in Australia, noting that overdraft facilities through TCV are unavailable. </w:t>
      </w:r>
      <w:r w:rsidR="45C24006" w:rsidRPr="4B46A7B8">
        <w:rPr>
          <w:rStyle w:val="ui-provider"/>
        </w:rPr>
        <w:t>As an alternative, 11am borrowings are available from TCV.</w:t>
      </w:r>
    </w:p>
    <w:p w14:paraId="45C4B209" w14:textId="63015147" w:rsidR="1196657A" w:rsidRPr="00D74DA2" w:rsidRDefault="2222E15A" w:rsidP="200C3E8A">
      <w:pPr>
        <w:rPr>
          <w:rStyle w:val="ui-provider"/>
          <w:strike/>
        </w:rPr>
      </w:pPr>
      <w:r w:rsidRPr="4B46A7B8">
        <w:rPr>
          <w:rStyle w:val="ui-provider"/>
        </w:rPr>
        <w:t xml:space="preserve">Upon request to the Treasurer, </w:t>
      </w:r>
      <w:r w:rsidR="207EEC82" w:rsidRPr="4B46A7B8">
        <w:rPr>
          <w:rStyle w:val="ui-provider"/>
        </w:rPr>
        <w:t>c</w:t>
      </w:r>
      <w:r w:rsidRPr="4B46A7B8">
        <w:rPr>
          <w:rStyle w:val="ui-provider"/>
        </w:rPr>
        <w:t xml:space="preserve">ouncils are granted </w:t>
      </w:r>
      <w:r w:rsidR="16C5DAB2" w:rsidRPr="4B46A7B8">
        <w:rPr>
          <w:rStyle w:val="ui-provider"/>
        </w:rPr>
        <w:t xml:space="preserve">the approval to </w:t>
      </w:r>
      <w:r w:rsidRPr="4B46A7B8">
        <w:rPr>
          <w:rStyle w:val="ui-provider"/>
        </w:rPr>
        <w:t xml:space="preserve">access specific </w:t>
      </w:r>
      <w:r w:rsidR="3F1CFCCE" w:rsidRPr="4B46A7B8">
        <w:rPr>
          <w:rStyle w:val="ui-provider"/>
        </w:rPr>
        <w:t xml:space="preserve">powers under the </w:t>
      </w:r>
      <w:r w:rsidRPr="4B46A7B8">
        <w:rPr>
          <w:rStyle w:val="ui-provider"/>
        </w:rPr>
        <w:t xml:space="preserve">BIP Act, namely sections 5, 8, 11, 13, and 15. </w:t>
      </w:r>
    </w:p>
    <w:p w14:paraId="3DD4E2DE" w14:textId="22BA9DCD" w:rsidR="1196657A" w:rsidRPr="00DF33CA" w:rsidRDefault="1196657A" w:rsidP="200C3E8A">
      <w:pPr>
        <w:rPr>
          <w:rStyle w:val="ui-provider"/>
        </w:rPr>
      </w:pPr>
      <w:r w:rsidRPr="245AE7BB">
        <w:rPr>
          <w:rStyle w:val="ui-provider"/>
        </w:rPr>
        <w:lastRenderedPageBreak/>
        <w:t xml:space="preserve">Under Section 8 of the BIP Act, </w:t>
      </w:r>
      <w:r w:rsidR="45EDA8B6" w:rsidRPr="245AE7BB">
        <w:rPr>
          <w:rStyle w:val="ui-provider"/>
        </w:rPr>
        <w:t>c</w:t>
      </w:r>
      <w:r w:rsidRPr="245AE7BB">
        <w:rPr>
          <w:rStyle w:val="ui-provider"/>
        </w:rPr>
        <w:t>ouncils are empowered to obtain Financial Accommodation through TCV, which DTF manage</w:t>
      </w:r>
      <w:r w:rsidR="49D4B447" w:rsidRPr="245AE7BB">
        <w:rPr>
          <w:rStyle w:val="ui-provider"/>
        </w:rPr>
        <w:t>s</w:t>
      </w:r>
      <w:r w:rsidRPr="245AE7BB">
        <w:rPr>
          <w:rStyle w:val="ui-provider"/>
        </w:rPr>
        <w:t xml:space="preserve"> as part of the annual borrowings process. Section 11 allows </w:t>
      </w:r>
      <w:r w:rsidR="7F75614C" w:rsidRPr="245AE7BB">
        <w:rPr>
          <w:rStyle w:val="ui-provider"/>
        </w:rPr>
        <w:t>c</w:t>
      </w:r>
      <w:r w:rsidRPr="245AE7BB">
        <w:rPr>
          <w:rStyle w:val="ui-provider"/>
        </w:rPr>
        <w:t xml:space="preserve">ouncils to access financial arrangements. With the Treasurer's approval, a </w:t>
      </w:r>
      <w:r w:rsidR="20B6A0D9" w:rsidRPr="245AE7BB">
        <w:rPr>
          <w:rStyle w:val="ui-provider"/>
        </w:rPr>
        <w:t>c</w:t>
      </w:r>
      <w:r w:rsidRPr="245AE7BB">
        <w:rPr>
          <w:rStyle w:val="ui-provider"/>
        </w:rPr>
        <w:t xml:space="preserve">ouncil can enter into agreements to hedge or safeguard assets or liabilities against fluctuations in interest rates. As part of the annual borrowing process, </w:t>
      </w:r>
      <w:r w:rsidR="3A897116" w:rsidRPr="245AE7BB">
        <w:rPr>
          <w:rStyle w:val="ui-provider"/>
        </w:rPr>
        <w:t>c</w:t>
      </w:r>
      <w:r w:rsidRPr="245AE7BB">
        <w:rPr>
          <w:rStyle w:val="ui-provider"/>
        </w:rPr>
        <w:t xml:space="preserve">ouncils </w:t>
      </w:r>
      <w:r w:rsidR="52747E84" w:rsidRPr="245AE7BB">
        <w:rPr>
          <w:rStyle w:val="ui-provider"/>
        </w:rPr>
        <w:t>will be</w:t>
      </w:r>
      <w:r w:rsidRPr="245AE7BB">
        <w:rPr>
          <w:rStyle w:val="ui-provider"/>
        </w:rPr>
        <w:t xml:space="preserve"> authori</w:t>
      </w:r>
      <w:r w:rsidR="2827C1C4" w:rsidRPr="245AE7BB">
        <w:rPr>
          <w:rStyle w:val="ui-provider"/>
        </w:rPr>
        <w:t>s</w:t>
      </w:r>
      <w:r w:rsidRPr="245AE7BB">
        <w:rPr>
          <w:rStyle w:val="ui-provider"/>
        </w:rPr>
        <w:t xml:space="preserve">ed to </w:t>
      </w:r>
      <w:proofErr w:type="gramStart"/>
      <w:r w:rsidRPr="245AE7BB">
        <w:rPr>
          <w:rStyle w:val="ui-provider"/>
        </w:rPr>
        <w:t>e</w:t>
      </w:r>
      <w:r w:rsidR="00B67FC2">
        <w:rPr>
          <w:rStyle w:val="ui-provider"/>
        </w:rPr>
        <w:t>nter into</w:t>
      </w:r>
      <w:proofErr w:type="gramEnd"/>
      <w:r w:rsidR="00B67FC2">
        <w:rPr>
          <w:rStyle w:val="ui-provider"/>
        </w:rPr>
        <w:t xml:space="preserve"> </w:t>
      </w:r>
      <w:r w:rsidRPr="245AE7BB">
        <w:rPr>
          <w:rStyle w:val="ui-provider"/>
        </w:rPr>
        <w:t>forward sett</w:t>
      </w:r>
      <w:r w:rsidR="00B67FC2">
        <w:rPr>
          <w:rStyle w:val="ui-provider"/>
        </w:rPr>
        <w:t>lement</w:t>
      </w:r>
      <w:r w:rsidRPr="245AE7BB">
        <w:rPr>
          <w:rStyle w:val="ui-provider"/>
        </w:rPr>
        <w:t xml:space="preserve"> loans with TCV as a means of managing interest rate risk.</w:t>
      </w:r>
    </w:p>
    <w:p w14:paraId="3EDC2ED0" w14:textId="70D8B2BD" w:rsidR="1196657A" w:rsidRPr="00DF33CA" w:rsidRDefault="1196657A">
      <w:pPr>
        <w:rPr>
          <w:rStyle w:val="ui-provider"/>
        </w:rPr>
      </w:pPr>
      <w:r w:rsidRPr="245AE7BB">
        <w:rPr>
          <w:rStyle w:val="ui-provider"/>
        </w:rPr>
        <w:t>Section</w:t>
      </w:r>
      <w:r w:rsidR="25E31F92" w:rsidRPr="245AE7BB">
        <w:rPr>
          <w:rStyle w:val="ui-provider"/>
        </w:rPr>
        <w:t>s</w:t>
      </w:r>
      <w:r w:rsidRPr="245AE7BB">
        <w:rPr>
          <w:rStyle w:val="ui-provider"/>
        </w:rPr>
        <w:t xml:space="preserve"> 13 </w:t>
      </w:r>
      <w:r w:rsidR="0F5BF268" w:rsidRPr="245AE7BB">
        <w:rPr>
          <w:rStyle w:val="ui-provider"/>
        </w:rPr>
        <w:t xml:space="preserve">and 15 </w:t>
      </w:r>
      <w:r w:rsidRPr="245AE7BB">
        <w:rPr>
          <w:rStyle w:val="ui-provider"/>
        </w:rPr>
        <w:t xml:space="preserve">of the BIP Act provide </w:t>
      </w:r>
      <w:r w:rsidR="57F52DF9" w:rsidRPr="245AE7BB">
        <w:rPr>
          <w:rFonts w:ascii="VIC" w:eastAsia="VIC" w:hAnsi="VIC" w:cs="VIC"/>
          <w:color w:val="374151"/>
          <w:sz w:val="24"/>
          <w:szCs w:val="24"/>
        </w:rPr>
        <w:t>Treasurer</w:t>
      </w:r>
      <w:r w:rsidRPr="245AE7BB">
        <w:rPr>
          <w:rStyle w:val="ui-provider"/>
        </w:rPr>
        <w:t xml:space="preserve"> guarantee</w:t>
      </w:r>
      <w:r w:rsidR="4C7A14F2" w:rsidRPr="245AE7BB">
        <w:rPr>
          <w:rStyle w:val="ui-provider"/>
        </w:rPr>
        <w:t>s</w:t>
      </w:r>
      <w:r w:rsidRPr="245AE7BB">
        <w:rPr>
          <w:rStyle w:val="ui-provider"/>
        </w:rPr>
        <w:t xml:space="preserve"> </w:t>
      </w:r>
      <w:r w:rsidR="7A34B375" w:rsidRPr="245AE7BB">
        <w:rPr>
          <w:rStyle w:val="ui-provider"/>
        </w:rPr>
        <w:t>to TCV</w:t>
      </w:r>
      <w:r w:rsidRPr="245AE7BB">
        <w:rPr>
          <w:rStyle w:val="ui-provider"/>
        </w:rPr>
        <w:t xml:space="preserve"> for borrowings </w:t>
      </w:r>
      <w:r w:rsidR="42552E94" w:rsidRPr="245AE7BB">
        <w:rPr>
          <w:rStyle w:val="ui-provider"/>
        </w:rPr>
        <w:t>and</w:t>
      </w:r>
      <w:r w:rsidRPr="245AE7BB">
        <w:rPr>
          <w:rStyle w:val="ui-provider"/>
        </w:rPr>
        <w:t xml:space="preserve"> financial arrangements undertaken </w:t>
      </w:r>
      <w:r w:rsidR="272C7CD3" w:rsidRPr="245AE7BB">
        <w:rPr>
          <w:rStyle w:val="ui-provider"/>
        </w:rPr>
        <w:t xml:space="preserve">by </w:t>
      </w:r>
      <w:r w:rsidR="719D59AC" w:rsidRPr="245AE7BB">
        <w:rPr>
          <w:rStyle w:val="ui-provider"/>
        </w:rPr>
        <w:t>c</w:t>
      </w:r>
      <w:r w:rsidR="272C7CD3" w:rsidRPr="245AE7BB">
        <w:rPr>
          <w:rStyle w:val="ui-provider"/>
        </w:rPr>
        <w:t>ouncils</w:t>
      </w:r>
      <w:r w:rsidRPr="245AE7BB">
        <w:rPr>
          <w:rStyle w:val="ui-provider"/>
        </w:rPr>
        <w:t>.</w:t>
      </w:r>
    </w:p>
    <w:p w14:paraId="133817D9" w14:textId="4321BDF3" w:rsidR="00C96863" w:rsidRDefault="006A44CD" w:rsidP="00C96863">
      <w:pPr>
        <w:rPr>
          <w:rStyle w:val="ui-provider"/>
        </w:rPr>
      </w:pPr>
      <w:r>
        <w:rPr>
          <w:rStyle w:val="ui-provider"/>
        </w:rPr>
        <w:t>The amendments ensure</w:t>
      </w:r>
      <w:r w:rsidR="00531F04">
        <w:rPr>
          <w:rStyle w:val="ui-provider"/>
        </w:rPr>
        <w:t xml:space="preserve"> formal</w:t>
      </w:r>
      <w:r w:rsidR="009D566B">
        <w:rPr>
          <w:rStyle w:val="ui-provider"/>
        </w:rPr>
        <w:t xml:space="preserve"> legislative provisions are in place for councils to access TCV</w:t>
      </w:r>
      <w:r w:rsidR="00240327">
        <w:rPr>
          <w:rStyle w:val="ui-provider"/>
        </w:rPr>
        <w:t>’s</w:t>
      </w:r>
      <w:r w:rsidR="009D566B">
        <w:rPr>
          <w:rStyle w:val="ui-provider"/>
        </w:rPr>
        <w:t xml:space="preserve"> lending services</w:t>
      </w:r>
      <w:r w:rsidR="00314C1B">
        <w:rPr>
          <w:rStyle w:val="ui-provider"/>
        </w:rPr>
        <w:t>.</w:t>
      </w:r>
      <w:r w:rsidR="00531F04">
        <w:rPr>
          <w:rStyle w:val="ui-provider"/>
        </w:rPr>
        <w:t xml:space="preserve"> </w:t>
      </w:r>
      <w:r w:rsidR="5B7CAD8E" w:rsidRPr="73FB3356">
        <w:rPr>
          <w:rStyle w:val="ui-provider"/>
        </w:rPr>
        <w:t xml:space="preserve"> </w:t>
      </w:r>
      <w:r w:rsidR="0B6EF995" w:rsidRPr="06E54031">
        <w:rPr>
          <w:rStyle w:val="ui-provider"/>
        </w:rPr>
        <w:t>These a</w:t>
      </w:r>
      <w:r w:rsidR="0B6EF995" w:rsidRPr="00DF33CA">
        <w:rPr>
          <w:rStyle w:val="ui-provider"/>
        </w:rPr>
        <w:t xml:space="preserve">mendments to the BIP Act and the inclusion of local councils in the Regulations will have no impact on existing local council borrowing powers. However, should a council wish to borrow </w:t>
      </w:r>
      <w:r w:rsidR="00D74DA2">
        <w:rPr>
          <w:rStyle w:val="ui-provider"/>
        </w:rPr>
        <w:t xml:space="preserve">from </w:t>
      </w:r>
      <w:r w:rsidR="00D74DA2" w:rsidRPr="00DF33CA">
        <w:rPr>
          <w:rStyle w:val="ui-provider"/>
        </w:rPr>
        <w:t>TCV</w:t>
      </w:r>
      <w:r w:rsidR="00AE7394">
        <w:rPr>
          <w:rStyle w:val="ui-provider"/>
        </w:rPr>
        <w:t>,</w:t>
      </w:r>
      <w:r w:rsidR="5445E865" w:rsidRPr="00DF33CA">
        <w:rPr>
          <w:rStyle w:val="ui-provider"/>
        </w:rPr>
        <w:t xml:space="preserve"> the</w:t>
      </w:r>
      <w:r w:rsidR="0B6EF995" w:rsidRPr="00DF33CA">
        <w:rPr>
          <w:rStyle w:val="ui-provider"/>
        </w:rPr>
        <w:t xml:space="preserve"> provisions in the BIP Act </w:t>
      </w:r>
      <w:r w:rsidR="00AE7394">
        <w:rPr>
          <w:rStyle w:val="ui-provider"/>
        </w:rPr>
        <w:t xml:space="preserve">and the relevant Treasurer’s Approval </w:t>
      </w:r>
      <w:r w:rsidR="0B6EF995" w:rsidRPr="00DF33CA">
        <w:rPr>
          <w:rStyle w:val="ui-provider"/>
        </w:rPr>
        <w:t>will apply</w:t>
      </w:r>
      <w:r w:rsidR="00AE7394">
        <w:rPr>
          <w:rStyle w:val="ui-provider"/>
        </w:rPr>
        <w:t>.</w:t>
      </w:r>
    </w:p>
    <w:p w14:paraId="2BD44B5D" w14:textId="77777777" w:rsidR="00EC3A39" w:rsidRPr="00DF33CA" w:rsidRDefault="00EC3A39" w:rsidP="00EC3A39">
      <w:pPr>
        <w:pStyle w:val="Heading2"/>
        <w:rPr>
          <w:color w:val="00B0F0"/>
        </w:rPr>
      </w:pPr>
      <w:bookmarkStart w:id="15" w:name="_Toc79755048"/>
      <w:bookmarkStart w:id="16" w:name="_Toc135819859"/>
      <w:bookmarkStart w:id="17" w:name="_Toc138251050"/>
      <w:r w:rsidRPr="712ED00F">
        <w:rPr>
          <w:color w:val="00B0F0"/>
        </w:rPr>
        <w:t>What are the objectives of making TCV loans available to councils?</w:t>
      </w:r>
      <w:bookmarkEnd w:id="15"/>
      <w:bookmarkEnd w:id="16"/>
      <w:bookmarkEnd w:id="17"/>
    </w:p>
    <w:p w14:paraId="0A5C082E" w14:textId="77777777" w:rsidR="00EC3A39" w:rsidRPr="003F100B" w:rsidRDefault="00EC3A39" w:rsidP="00EC3A39">
      <w:pPr>
        <w:rPr>
          <w:rFonts w:cstheme="minorHAnsi"/>
          <w:szCs w:val="18"/>
        </w:rPr>
      </w:pPr>
      <w:r w:rsidRPr="003F100B">
        <w:rPr>
          <w:rFonts w:cstheme="minorHAnsi"/>
          <w:szCs w:val="18"/>
        </w:rPr>
        <w:t>The objectives of the framework are:</w:t>
      </w:r>
    </w:p>
    <w:p w14:paraId="07B27494" w14:textId="550648E5" w:rsidR="00EC3A39" w:rsidRDefault="00EC3A39" w:rsidP="00EC3A39">
      <w:pPr>
        <w:pStyle w:val="Bullet1"/>
        <w:rPr>
          <w:rFonts w:cstheme="minorHAnsi"/>
          <w:i/>
          <w:iCs/>
          <w:color w:val="auto"/>
        </w:rPr>
      </w:pPr>
      <w:r w:rsidRPr="00DF33CA">
        <w:rPr>
          <w:rFonts w:cstheme="minorHAnsi"/>
          <w:i/>
          <w:iCs/>
          <w:color w:val="auto"/>
        </w:rPr>
        <w:t>to provide councils with access to lower cost debt which is ultimately to the benefit of ratepayers</w:t>
      </w:r>
    </w:p>
    <w:p w14:paraId="6D27695B" w14:textId="062EAA1F" w:rsidR="00711B20" w:rsidRDefault="004D08C9" w:rsidP="00EC3A39">
      <w:pPr>
        <w:pStyle w:val="Bullet1"/>
        <w:rPr>
          <w:rFonts w:cstheme="minorHAnsi"/>
          <w:i/>
          <w:iCs/>
          <w:color w:val="auto"/>
        </w:rPr>
      </w:pPr>
      <w:r>
        <w:rPr>
          <w:rFonts w:cstheme="minorHAnsi"/>
          <w:i/>
          <w:iCs/>
          <w:color w:val="auto"/>
        </w:rPr>
        <w:t>to</w:t>
      </w:r>
      <w:r w:rsidR="00711B20">
        <w:rPr>
          <w:rFonts w:cstheme="minorHAnsi"/>
          <w:i/>
          <w:iCs/>
          <w:color w:val="auto"/>
        </w:rPr>
        <w:t xml:space="preserve"> </w:t>
      </w:r>
      <w:r>
        <w:rPr>
          <w:rFonts w:cstheme="minorHAnsi"/>
          <w:i/>
          <w:iCs/>
          <w:color w:val="auto"/>
        </w:rPr>
        <w:t>provide</w:t>
      </w:r>
      <w:r w:rsidR="00711B20">
        <w:rPr>
          <w:rFonts w:cstheme="minorHAnsi"/>
          <w:i/>
          <w:iCs/>
          <w:color w:val="auto"/>
        </w:rPr>
        <w:t xml:space="preserve"> </w:t>
      </w:r>
      <w:r>
        <w:rPr>
          <w:rFonts w:cstheme="minorHAnsi"/>
          <w:i/>
          <w:iCs/>
          <w:color w:val="auto"/>
        </w:rPr>
        <w:t>council</w:t>
      </w:r>
      <w:r w:rsidR="009F40D0">
        <w:rPr>
          <w:rFonts w:cstheme="minorHAnsi"/>
          <w:i/>
          <w:iCs/>
          <w:color w:val="auto"/>
        </w:rPr>
        <w:t>s</w:t>
      </w:r>
      <w:r w:rsidR="00BC282A">
        <w:rPr>
          <w:rFonts w:cstheme="minorHAnsi"/>
          <w:i/>
          <w:iCs/>
          <w:color w:val="auto"/>
        </w:rPr>
        <w:t xml:space="preserve"> with acce</w:t>
      </w:r>
      <w:r>
        <w:rPr>
          <w:rFonts w:cstheme="minorHAnsi"/>
          <w:i/>
          <w:iCs/>
          <w:color w:val="auto"/>
        </w:rPr>
        <w:t>s</w:t>
      </w:r>
      <w:r w:rsidR="00BC282A">
        <w:rPr>
          <w:rFonts w:cstheme="minorHAnsi"/>
          <w:i/>
          <w:iCs/>
          <w:color w:val="auto"/>
        </w:rPr>
        <w:t xml:space="preserve">s to treasury </w:t>
      </w:r>
      <w:r>
        <w:rPr>
          <w:rFonts w:cstheme="minorHAnsi"/>
          <w:i/>
          <w:iCs/>
          <w:color w:val="auto"/>
        </w:rPr>
        <w:t>information</w:t>
      </w:r>
      <w:r w:rsidR="00BC282A">
        <w:rPr>
          <w:rFonts w:cstheme="minorHAnsi"/>
          <w:i/>
          <w:iCs/>
          <w:color w:val="auto"/>
        </w:rPr>
        <w:t xml:space="preserve"> and advice</w:t>
      </w:r>
      <w:r>
        <w:rPr>
          <w:rFonts w:cstheme="minorHAnsi"/>
          <w:i/>
          <w:iCs/>
          <w:color w:val="auto"/>
        </w:rPr>
        <w:t xml:space="preserve"> which will result in more efficient debt management </w:t>
      </w:r>
      <w:r w:rsidR="00E63181">
        <w:rPr>
          <w:rFonts w:cstheme="minorHAnsi"/>
          <w:i/>
          <w:iCs/>
          <w:color w:val="auto"/>
        </w:rPr>
        <w:t>practices</w:t>
      </w:r>
    </w:p>
    <w:p w14:paraId="642EF727" w14:textId="45BF480A" w:rsidR="00EC3A39" w:rsidRPr="00DF33CA" w:rsidRDefault="00EC3A39" w:rsidP="245AE7BB">
      <w:pPr>
        <w:pStyle w:val="Bullet1"/>
        <w:rPr>
          <w:rFonts w:cstheme="minorBidi"/>
          <w:i/>
          <w:iCs/>
          <w:color w:val="auto"/>
        </w:rPr>
      </w:pPr>
      <w:r w:rsidRPr="245AE7BB">
        <w:rPr>
          <w:rFonts w:cstheme="minorBidi"/>
          <w:i/>
          <w:iCs/>
          <w:color w:val="auto"/>
        </w:rPr>
        <w:t>to incentivise councils to consider the strategic use of debt to fund capital expenditure that provides intergenerational community benefits</w:t>
      </w:r>
    </w:p>
    <w:p w14:paraId="78CC8581" w14:textId="77777777" w:rsidR="00EC3A39" w:rsidRPr="00DF33CA" w:rsidRDefault="00EC3A39" w:rsidP="00EC3A39">
      <w:pPr>
        <w:pStyle w:val="Bullet1"/>
        <w:rPr>
          <w:rFonts w:cstheme="minorHAnsi"/>
          <w:i/>
          <w:iCs/>
          <w:color w:val="auto"/>
        </w:rPr>
      </w:pPr>
      <w:r w:rsidRPr="00DF33CA">
        <w:rPr>
          <w:rFonts w:cstheme="minorBidi"/>
          <w:i/>
          <w:color w:val="auto"/>
        </w:rPr>
        <w:t>to incentivise councils to bring forward community infrastructure delivery by providing increased opportunities to access affordable finance</w:t>
      </w:r>
    </w:p>
    <w:p w14:paraId="592AAD1C" w14:textId="563B8C69" w:rsidR="00EC3A39" w:rsidRPr="00DF33CA" w:rsidRDefault="00EC3A39" w:rsidP="00EC3A39">
      <w:pPr>
        <w:pStyle w:val="Bullet1"/>
        <w:rPr>
          <w:rFonts w:cstheme="minorHAnsi"/>
          <w:i/>
          <w:iCs/>
          <w:color w:val="auto"/>
        </w:rPr>
      </w:pPr>
      <w:r w:rsidRPr="00DF33CA">
        <w:rPr>
          <w:rFonts w:cstheme="minorBidi"/>
          <w:i/>
          <w:color w:val="auto"/>
        </w:rPr>
        <w:t>to support a range of local community projects which ultimately deliver on the objectives of both the Victorian Government and the local council and maximise community access and benefi</w:t>
      </w:r>
      <w:r w:rsidR="005578FB">
        <w:rPr>
          <w:rFonts w:cstheme="minorBidi"/>
          <w:i/>
          <w:color w:val="auto"/>
        </w:rPr>
        <w:t>t.</w:t>
      </w:r>
    </w:p>
    <w:p w14:paraId="0E783ED1" w14:textId="035B855C" w:rsidR="00EC3A39" w:rsidRPr="00DF33CA" w:rsidRDefault="00EC3A39" w:rsidP="00EC3A39">
      <w:pPr>
        <w:pStyle w:val="Heading2"/>
        <w:rPr>
          <w:color w:val="00B0F0"/>
        </w:rPr>
      </w:pPr>
      <w:bookmarkStart w:id="18" w:name="_Toc79440858"/>
      <w:bookmarkStart w:id="19" w:name="_Toc79484858"/>
      <w:bookmarkStart w:id="20" w:name="_Toc79484897"/>
      <w:bookmarkStart w:id="21" w:name="_Toc79440859"/>
      <w:bookmarkStart w:id="22" w:name="_Toc79484859"/>
      <w:bookmarkStart w:id="23" w:name="_Toc79484898"/>
      <w:bookmarkStart w:id="24" w:name="_Toc79755049"/>
      <w:bookmarkStart w:id="25" w:name="_Toc135819860"/>
      <w:bookmarkStart w:id="26" w:name="_Toc138251051"/>
      <w:bookmarkEnd w:id="18"/>
      <w:bookmarkEnd w:id="19"/>
      <w:bookmarkEnd w:id="20"/>
      <w:bookmarkEnd w:id="21"/>
      <w:bookmarkEnd w:id="22"/>
      <w:bookmarkEnd w:id="23"/>
      <w:r w:rsidRPr="245AE7BB">
        <w:rPr>
          <w:color w:val="00B0F0"/>
        </w:rPr>
        <w:t>How much can be applied for?</w:t>
      </w:r>
      <w:bookmarkEnd w:id="24"/>
      <w:bookmarkEnd w:id="25"/>
      <w:bookmarkEnd w:id="26"/>
    </w:p>
    <w:p w14:paraId="4F98CB4C" w14:textId="758614B8" w:rsidR="00A0012B" w:rsidRDefault="00EC3A39" w:rsidP="00EC3A39">
      <w:r>
        <w:t xml:space="preserve">Individual Victorian councils </w:t>
      </w:r>
      <w:r w:rsidR="004868AC">
        <w:t xml:space="preserve">can </w:t>
      </w:r>
      <w:r>
        <w:t xml:space="preserve">borrow from TCV up to a borrowing limit </w:t>
      </w:r>
      <w:r w:rsidR="00AE7394">
        <w:t xml:space="preserve">which has been determined by DTF assessing the </w:t>
      </w:r>
      <w:r>
        <w:t xml:space="preserve">borrowing requirements </w:t>
      </w:r>
      <w:r w:rsidR="00CA3CFB">
        <w:t>detailed</w:t>
      </w:r>
      <w:r w:rsidR="00C02017">
        <w:t xml:space="preserve"> in the</w:t>
      </w:r>
      <w:r w:rsidR="00A932BF">
        <w:t>ir</w:t>
      </w:r>
      <w:r w:rsidR="00C02017">
        <w:t xml:space="preserve"> </w:t>
      </w:r>
      <w:r>
        <w:t xml:space="preserve">budget. </w:t>
      </w:r>
      <w:r w:rsidR="00310808">
        <w:t>Better practice</w:t>
      </w:r>
      <w:r w:rsidR="004137EB">
        <w:t xml:space="preserve"> is to </w:t>
      </w:r>
      <w:r>
        <w:t>indicate future borrowing intentions in the four-year budget cycle required by the</w:t>
      </w:r>
      <w:r w:rsidRPr="2EC2BAED">
        <w:rPr>
          <w:i/>
          <w:iCs/>
        </w:rPr>
        <w:t xml:space="preserve"> Local Government Act 2020.</w:t>
      </w:r>
      <w:r w:rsidR="000929D7" w:rsidRPr="2EC2BAED">
        <w:rPr>
          <w:i/>
          <w:iCs/>
        </w:rPr>
        <w:t xml:space="preserve"> </w:t>
      </w:r>
      <w:r w:rsidR="000929D7">
        <w:t xml:space="preserve">Councils should </w:t>
      </w:r>
      <w:r w:rsidR="00663866">
        <w:t>complete the</w:t>
      </w:r>
      <w:r w:rsidR="00A0012B">
        <w:t xml:space="preserve"> 4-</w:t>
      </w:r>
      <w:r w:rsidR="009F40D0">
        <w:t>year disclosures</w:t>
      </w:r>
      <w:r w:rsidR="00663866">
        <w:t xml:space="preserve"> in table </w:t>
      </w:r>
      <w:r w:rsidR="00A0012B">
        <w:t>4.2.3 Borrowings within the Model Budget.</w:t>
      </w:r>
    </w:p>
    <w:p w14:paraId="724A855B" w14:textId="72655BF9" w:rsidR="000B7999" w:rsidRDefault="000B7999" w:rsidP="000B7999">
      <w:r>
        <w:t>It is important to provide future borrowing intentions for the purposes of the credit assessment and establishment of credit limits for the budget year and future years.</w:t>
      </w:r>
    </w:p>
    <w:p w14:paraId="29D8B549" w14:textId="54E420FA" w:rsidR="001A3745" w:rsidRDefault="000B7999" w:rsidP="000A27A9">
      <w:r>
        <w:t xml:space="preserve">As part of improving the </w:t>
      </w:r>
      <w:r w:rsidR="00706762">
        <w:t>treasury</w:t>
      </w:r>
      <w:r>
        <w:t xml:space="preserve"> management </w:t>
      </w:r>
      <w:r w:rsidR="00AD23D5">
        <w:t xml:space="preserve">practices </w:t>
      </w:r>
      <w:r>
        <w:t xml:space="preserve">of the local government sector, councils </w:t>
      </w:r>
      <w:r w:rsidR="00A0020D">
        <w:t xml:space="preserve">should consider </w:t>
      </w:r>
      <w:r w:rsidR="006739A4">
        <w:t xml:space="preserve">utilising </w:t>
      </w:r>
      <w:r w:rsidR="00AC2DCA">
        <w:t>surplus</w:t>
      </w:r>
      <w:r w:rsidR="00494BB4">
        <w:t xml:space="preserve"> </w:t>
      </w:r>
      <w:r w:rsidR="00AC2DCA">
        <w:t>investments</w:t>
      </w:r>
      <w:r w:rsidR="006739A4">
        <w:t xml:space="preserve"> to </w:t>
      </w:r>
      <w:r w:rsidR="00AC2DCA">
        <w:t>initially</w:t>
      </w:r>
      <w:r w:rsidR="006739A4">
        <w:t xml:space="preserve"> meet </w:t>
      </w:r>
      <w:r w:rsidR="00AC2DCA">
        <w:t>funding</w:t>
      </w:r>
      <w:r w:rsidR="006739A4">
        <w:t xml:space="preserve"> </w:t>
      </w:r>
      <w:r w:rsidR="00AC2DCA">
        <w:t>requirements</w:t>
      </w:r>
      <w:r w:rsidR="006739A4">
        <w:t xml:space="preserve"> </w:t>
      </w:r>
      <w:r>
        <w:t>before seeking borrowings.</w:t>
      </w:r>
      <w:r w:rsidR="001E6117">
        <w:t xml:space="preserve"> There are </w:t>
      </w:r>
      <w:r w:rsidR="009033D0">
        <w:t xml:space="preserve">very few </w:t>
      </w:r>
      <w:r w:rsidR="005A5E18">
        <w:t xml:space="preserve">instances </w:t>
      </w:r>
      <w:r w:rsidR="00CE1D78">
        <w:t xml:space="preserve">in which councils are </w:t>
      </w:r>
      <w:r w:rsidR="00904B05">
        <w:t xml:space="preserve">legally </w:t>
      </w:r>
      <w:r w:rsidR="00CE1D78">
        <w:t xml:space="preserve">required to </w:t>
      </w:r>
      <w:r w:rsidR="008E2CF7">
        <w:t>set aside</w:t>
      </w:r>
      <w:r w:rsidR="00DF2936">
        <w:t xml:space="preserve"> funds</w:t>
      </w:r>
      <w:r w:rsidR="008D18F6">
        <w:t xml:space="preserve">. </w:t>
      </w:r>
      <w:r w:rsidR="00030C85">
        <w:t xml:space="preserve">Council cash flows are </w:t>
      </w:r>
      <w:r w:rsidR="00961F1C">
        <w:lastRenderedPageBreak/>
        <w:t xml:space="preserve">generally </w:t>
      </w:r>
      <w:r w:rsidR="00D47499">
        <w:t>stable and predictable</w:t>
      </w:r>
      <w:r w:rsidR="005601CF">
        <w:t xml:space="preserve">, meaning </w:t>
      </w:r>
      <w:r w:rsidR="004C7648">
        <w:t>improved treasury management practices</w:t>
      </w:r>
      <w:r w:rsidR="00CA16BC">
        <w:t xml:space="preserve"> are </w:t>
      </w:r>
      <w:r w:rsidR="00E50247">
        <w:t>achievable.</w:t>
      </w:r>
      <w:r w:rsidR="00BC0C9E">
        <w:t xml:space="preserve"> Actively </w:t>
      </w:r>
      <w:r w:rsidR="003306B0">
        <w:t xml:space="preserve">pursuing </w:t>
      </w:r>
      <w:r w:rsidR="005A5617">
        <w:t xml:space="preserve">a strategy of utilising surplus investments may </w:t>
      </w:r>
      <w:r w:rsidR="003B6B2B">
        <w:t xml:space="preserve">negatively </w:t>
      </w:r>
      <w:r w:rsidR="005A5617">
        <w:t>impact</w:t>
      </w:r>
      <w:r w:rsidR="00205EA7">
        <w:t xml:space="preserve"> financial sustainability ratios</w:t>
      </w:r>
      <w:r w:rsidR="009A746A">
        <w:t xml:space="preserve">. However, these impacts can be explained </w:t>
      </w:r>
      <w:r w:rsidR="00935E56">
        <w:t xml:space="preserve">within the broader context of seeking to improve </w:t>
      </w:r>
      <w:r w:rsidR="0008680A">
        <w:t xml:space="preserve">council </w:t>
      </w:r>
      <w:r w:rsidR="00935E56">
        <w:t>treasury management practices</w:t>
      </w:r>
      <w:r w:rsidR="003515A3">
        <w:t>.</w:t>
      </w:r>
      <w:r w:rsidR="00935E56">
        <w:t xml:space="preserve"> </w:t>
      </w:r>
      <w:r>
        <w:t xml:space="preserve"> </w:t>
      </w:r>
    </w:p>
    <w:p w14:paraId="360E9EE2" w14:textId="306216B8" w:rsidR="00EC3A39" w:rsidRDefault="00AC2DCA" w:rsidP="00EC3A39">
      <w:r>
        <w:t xml:space="preserve">A further </w:t>
      </w:r>
      <w:r w:rsidR="00D55DC0">
        <w:t>consideration</w:t>
      </w:r>
      <w:r>
        <w:t xml:space="preserve"> may be </w:t>
      </w:r>
      <w:r w:rsidR="000A27A9">
        <w:t xml:space="preserve">for councils </w:t>
      </w:r>
      <w:r>
        <w:t>to use</w:t>
      </w:r>
      <w:r w:rsidR="00AD7AF6">
        <w:t xml:space="preserve"> short term </w:t>
      </w:r>
      <w:r>
        <w:t>debt</w:t>
      </w:r>
      <w:r w:rsidR="00F62224">
        <w:t xml:space="preserve"> </w:t>
      </w:r>
      <w:r w:rsidR="00D55DC0">
        <w:t>such</w:t>
      </w:r>
      <w:r w:rsidR="00F62224">
        <w:t xml:space="preserve"> as a TCV 11am loan</w:t>
      </w:r>
      <w:r>
        <w:t xml:space="preserve"> rather than </w:t>
      </w:r>
      <w:r w:rsidR="00F65CD4">
        <w:t>maintaining</w:t>
      </w:r>
      <w:r w:rsidR="00D55DC0">
        <w:t xml:space="preserve"> a</w:t>
      </w:r>
      <w:r w:rsidR="00F65CD4">
        <w:t xml:space="preserve"> </w:t>
      </w:r>
      <w:r w:rsidR="004620E5">
        <w:t>portfolio</w:t>
      </w:r>
      <w:r w:rsidR="00F65CD4">
        <w:t xml:space="preserve"> </w:t>
      </w:r>
      <w:r w:rsidR="004620E5">
        <w:t>of investments</w:t>
      </w:r>
      <w:r w:rsidR="00AD7AF6">
        <w:t xml:space="preserve"> to meet </w:t>
      </w:r>
      <w:r w:rsidR="00F62224">
        <w:t>liquidity</w:t>
      </w:r>
      <w:r w:rsidR="00AD7AF6">
        <w:t xml:space="preserve"> or </w:t>
      </w:r>
      <w:r w:rsidR="00F65CD4">
        <w:t>immediate</w:t>
      </w:r>
      <w:r w:rsidR="000A27A9">
        <w:t xml:space="preserve"> </w:t>
      </w:r>
      <w:r w:rsidR="00F65CD4">
        <w:t>working</w:t>
      </w:r>
      <w:r w:rsidR="000A27A9">
        <w:t xml:space="preserve"> </w:t>
      </w:r>
      <w:r w:rsidR="00A47A30">
        <w:t>capital requirements</w:t>
      </w:r>
      <w:r w:rsidR="000A27A9">
        <w:t xml:space="preserve">. </w:t>
      </w:r>
      <w:bookmarkStart w:id="27" w:name="_Int_cYUurVjD"/>
      <w:proofErr w:type="gramStart"/>
      <w:r w:rsidR="00F62224">
        <w:t xml:space="preserve">In </w:t>
      </w:r>
      <w:r w:rsidR="00F65CD4">
        <w:t>order</w:t>
      </w:r>
      <w:r w:rsidR="00F62224">
        <w:t xml:space="preserve"> to</w:t>
      </w:r>
      <w:bookmarkEnd w:id="27"/>
      <w:proofErr w:type="gramEnd"/>
      <w:r w:rsidR="00F62224">
        <w:t xml:space="preserve"> </w:t>
      </w:r>
      <w:r w:rsidR="00F65CD4">
        <w:t xml:space="preserve">ensure a lending </w:t>
      </w:r>
      <w:r w:rsidR="00407304">
        <w:t xml:space="preserve">limit </w:t>
      </w:r>
      <w:r w:rsidR="004620E5">
        <w:t>under</w:t>
      </w:r>
      <w:r w:rsidR="00407304">
        <w:t xml:space="preserve"> this </w:t>
      </w:r>
      <w:r w:rsidR="004620E5">
        <w:t>framework</w:t>
      </w:r>
      <w:r w:rsidR="00407304">
        <w:t xml:space="preserve"> </w:t>
      </w:r>
      <w:r w:rsidR="00A47A30">
        <w:t xml:space="preserve">that also caters </w:t>
      </w:r>
      <w:r w:rsidR="006D02FB">
        <w:t xml:space="preserve">for such </w:t>
      </w:r>
      <w:r w:rsidR="00247FC1">
        <w:t>requirements</w:t>
      </w:r>
      <w:r w:rsidR="006D02FB">
        <w:t xml:space="preserve">, </w:t>
      </w:r>
      <w:r w:rsidR="00CA5D0A">
        <w:t>councils</w:t>
      </w:r>
      <w:r w:rsidR="006D02FB">
        <w:t xml:space="preserve"> will need to </w:t>
      </w:r>
      <w:r w:rsidR="00247FC1">
        <w:t xml:space="preserve">include </w:t>
      </w:r>
      <w:r w:rsidR="000A27A9">
        <w:t>in the</w:t>
      </w:r>
      <w:r w:rsidR="00E32051">
        <w:t>ir</w:t>
      </w:r>
      <w:r w:rsidR="000A27A9">
        <w:t xml:space="preserve"> budget an</w:t>
      </w:r>
      <w:r w:rsidR="00EF4D1E">
        <w:t xml:space="preserve">y such </w:t>
      </w:r>
      <w:r w:rsidR="00247FC1">
        <w:t>amount</w:t>
      </w:r>
      <w:r w:rsidR="00EF4D1E">
        <w:t>s</w:t>
      </w:r>
      <w:r w:rsidR="000A27A9">
        <w:t xml:space="preserve"> </w:t>
      </w:r>
      <w:r w:rsidR="00EF4D1E">
        <w:t>as</w:t>
      </w:r>
      <w:r w:rsidR="000A27A9">
        <w:t xml:space="preserve"> </w:t>
      </w:r>
      <w:r w:rsidR="00247FC1">
        <w:t>proposed</w:t>
      </w:r>
      <w:r w:rsidR="000A27A9">
        <w:t xml:space="preserve"> </w:t>
      </w:r>
      <w:r w:rsidR="00247FC1">
        <w:t>borrowings</w:t>
      </w:r>
      <w:r w:rsidR="00EF4D1E">
        <w:t xml:space="preserve">. </w:t>
      </w:r>
      <w:r w:rsidR="00CA5D0A">
        <w:t>It is</w:t>
      </w:r>
      <w:r w:rsidR="00EF4D1E">
        <w:t xml:space="preserve"> noted that the inclusion of borrowings for working </w:t>
      </w:r>
      <w:r w:rsidR="006D18CC">
        <w:t>capital</w:t>
      </w:r>
      <w:r w:rsidR="00EF4D1E">
        <w:t xml:space="preserve"> </w:t>
      </w:r>
      <w:r w:rsidR="00070D8E">
        <w:t xml:space="preserve">or liquidity </w:t>
      </w:r>
      <w:r w:rsidR="006D18CC">
        <w:t>requirement</w:t>
      </w:r>
      <w:r w:rsidR="001F51CF">
        <w:t>s</w:t>
      </w:r>
      <w:r w:rsidR="00070D8E">
        <w:t xml:space="preserve"> will be </w:t>
      </w:r>
      <w:r w:rsidR="006D18CC">
        <w:t>included</w:t>
      </w:r>
      <w:r w:rsidR="00070D8E">
        <w:t xml:space="preserve"> </w:t>
      </w:r>
      <w:r w:rsidR="006D18CC">
        <w:t xml:space="preserve">in the total borrowing requirement analysed by DTF in its credit </w:t>
      </w:r>
      <w:r w:rsidR="00291428">
        <w:t>assessment</w:t>
      </w:r>
      <w:r w:rsidR="006D18CC">
        <w:t>.</w:t>
      </w:r>
    </w:p>
    <w:p w14:paraId="69F21E76" w14:textId="77777777" w:rsidR="00EC3A39" w:rsidRPr="00DF33CA" w:rsidRDefault="00EC3A39" w:rsidP="00EC3A39">
      <w:pPr>
        <w:pStyle w:val="Heading2"/>
        <w:rPr>
          <w:color w:val="00B0F0"/>
        </w:rPr>
      </w:pPr>
      <w:bookmarkStart w:id="28" w:name="_Toc79440861"/>
      <w:bookmarkStart w:id="29" w:name="_Toc79484861"/>
      <w:bookmarkStart w:id="30" w:name="_Toc79484900"/>
      <w:bookmarkStart w:id="31" w:name="_Toc79755050"/>
      <w:bookmarkStart w:id="32" w:name="_Toc135819861"/>
      <w:bookmarkStart w:id="33" w:name="_Toc138251052"/>
      <w:bookmarkEnd w:id="28"/>
      <w:bookmarkEnd w:id="29"/>
      <w:bookmarkEnd w:id="30"/>
      <w:r w:rsidRPr="712ED00F">
        <w:rPr>
          <w:color w:val="00B0F0"/>
        </w:rPr>
        <w:t>How is the loans framework administered?</w:t>
      </w:r>
      <w:bookmarkEnd w:id="31"/>
      <w:bookmarkEnd w:id="32"/>
      <w:bookmarkEnd w:id="33"/>
    </w:p>
    <w:p w14:paraId="08879752" w14:textId="5B3FF670" w:rsidR="00EC3A39" w:rsidRPr="00F54178" w:rsidRDefault="00EC3A39" w:rsidP="00EC3A39">
      <w:pPr>
        <w:rPr>
          <w:rFonts w:cstheme="minorHAnsi"/>
          <w:szCs w:val="18"/>
        </w:rPr>
      </w:pPr>
      <w:r w:rsidRPr="003B7871">
        <w:rPr>
          <w:rFonts w:cstheme="minorHAnsi"/>
          <w:szCs w:val="18"/>
        </w:rPr>
        <w:t xml:space="preserve">Local Government Victoria (LGV) </w:t>
      </w:r>
      <w:r>
        <w:rPr>
          <w:rFonts w:cstheme="minorHAnsi"/>
          <w:szCs w:val="18"/>
        </w:rPr>
        <w:t xml:space="preserve">in the Department of </w:t>
      </w:r>
      <w:r w:rsidR="008D6F2E">
        <w:rPr>
          <w:rFonts w:cstheme="minorHAnsi"/>
          <w:szCs w:val="18"/>
        </w:rPr>
        <w:t>Government Services</w:t>
      </w:r>
      <w:r>
        <w:rPr>
          <w:rFonts w:cstheme="minorHAnsi"/>
          <w:szCs w:val="18"/>
        </w:rPr>
        <w:t xml:space="preserve"> (</w:t>
      </w:r>
      <w:r w:rsidR="008D6F2E">
        <w:rPr>
          <w:rFonts w:cstheme="minorHAnsi"/>
          <w:szCs w:val="18"/>
        </w:rPr>
        <w:t>DGS</w:t>
      </w:r>
      <w:r>
        <w:rPr>
          <w:rFonts w:cstheme="minorHAnsi"/>
          <w:szCs w:val="18"/>
        </w:rPr>
        <w:t xml:space="preserve">) </w:t>
      </w:r>
      <w:r w:rsidRPr="003B7871">
        <w:rPr>
          <w:rFonts w:cstheme="minorHAnsi"/>
          <w:szCs w:val="18"/>
        </w:rPr>
        <w:t>is administering the framework in collaboration with the Department of Treasury and Finance (DTF).</w:t>
      </w:r>
    </w:p>
    <w:p w14:paraId="54C4E155" w14:textId="77777777" w:rsidR="00EC3A39" w:rsidRPr="0028047C" w:rsidRDefault="00EC3A39" w:rsidP="00EC3A39">
      <w:pPr>
        <w:rPr>
          <w:rFonts w:cstheme="minorHAnsi"/>
          <w:szCs w:val="18"/>
        </w:rPr>
      </w:pPr>
      <w:r w:rsidRPr="0028047C">
        <w:rPr>
          <w:rFonts w:cstheme="minorHAnsi"/>
          <w:szCs w:val="18"/>
        </w:rPr>
        <w:t xml:space="preserve">The broad process associated with administering the framework is as follows: </w:t>
      </w:r>
    </w:p>
    <w:p w14:paraId="20054ABB" w14:textId="230F8110" w:rsidR="00EC3A39" w:rsidRPr="00DF33CA" w:rsidRDefault="00EC3A39" w:rsidP="00EC3A39">
      <w:pPr>
        <w:pStyle w:val="Bullet1"/>
        <w:rPr>
          <w:rFonts w:cstheme="minorBidi"/>
          <w:i/>
          <w:color w:val="auto"/>
        </w:rPr>
      </w:pPr>
      <w:r w:rsidRPr="00DF33CA">
        <w:rPr>
          <w:rFonts w:cstheme="minorBidi"/>
          <w:i/>
          <w:color w:val="auto"/>
        </w:rPr>
        <w:t xml:space="preserve">LGV conducts an annual survey to determine the indicative individual and total borrowing intentions of Victorian councils for the following financial year, </w:t>
      </w:r>
      <w:r w:rsidR="00265931" w:rsidRPr="4CC5AA41">
        <w:rPr>
          <w:rFonts w:cstheme="minorBidi"/>
          <w:i/>
          <w:color w:val="auto"/>
        </w:rPr>
        <w:t xml:space="preserve">including existing borrowings </w:t>
      </w:r>
      <w:r w:rsidR="00272D72" w:rsidRPr="4CC5AA41">
        <w:rPr>
          <w:rFonts w:cstheme="minorBidi"/>
          <w:i/>
          <w:color w:val="auto"/>
        </w:rPr>
        <w:t xml:space="preserve">which are planned to be </w:t>
      </w:r>
      <w:r w:rsidR="00272D72" w:rsidRPr="4CC5AA41">
        <w:rPr>
          <w:rFonts w:cstheme="minorBidi"/>
          <w:i/>
          <w:iCs/>
          <w:color w:val="auto"/>
        </w:rPr>
        <w:t>refina</w:t>
      </w:r>
      <w:r w:rsidR="401DAF11" w:rsidRPr="4CC5AA41">
        <w:rPr>
          <w:rFonts w:cstheme="minorBidi"/>
          <w:i/>
          <w:iCs/>
          <w:color w:val="auto"/>
        </w:rPr>
        <w:t>n</w:t>
      </w:r>
      <w:r w:rsidR="00272D72" w:rsidRPr="4CC5AA41">
        <w:rPr>
          <w:rFonts w:cstheme="minorBidi"/>
          <w:i/>
          <w:iCs/>
          <w:color w:val="auto"/>
        </w:rPr>
        <w:t>ced</w:t>
      </w:r>
      <w:r w:rsidR="008B4A7B" w:rsidRPr="4CC5AA41">
        <w:rPr>
          <w:rFonts w:cstheme="minorBidi"/>
          <w:i/>
          <w:color w:val="auto"/>
        </w:rPr>
        <w:t xml:space="preserve"> </w:t>
      </w:r>
    </w:p>
    <w:p w14:paraId="06109B0A" w14:textId="77777777" w:rsidR="00EC3A39" w:rsidRPr="00DF33CA" w:rsidRDefault="00EC3A39" w:rsidP="00EC3A39">
      <w:pPr>
        <w:pStyle w:val="Bullet1"/>
        <w:rPr>
          <w:rFonts w:cstheme="minorHAnsi"/>
          <w:i/>
          <w:iCs/>
          <w:color w:val="auto"/>
        </w:rPr>
      </w:pPr>
      <w:r w:rsidRPr="00DF33CA">
        <w:rPr>
          <w:rFonts w:cstheme="minorBidi"/>
          <w:i/>
          <w:color w:val="auto"/>
        </w:rPr>
        <w:t>LGV communicates these borrowing intentions to both DTF and TCV for the budget and planning purposes of the State</w:t>
      </w:r>
    </w:p>
    <w:p w14:paraId="46187D77" w14:textId="77777777" w:rsidR="00EC3A39" w:rsidRPr="00DF33CA" w:rsidRDefault="00EC3A39" w:rsidP="00EC3A39">
      <w:pPr>
        <w:pStyle w:val="Bullet1"/>
        <w:rPr>
          <w:rFonts w:cstheme="minorHAnsi"/>
          <w:i/>
          <w:iCs/>
          <w:color w:val="auto"/>
        </w:rPr>
      </w:pPr>
      <w:r w:rsidRPr="00DF33CA">
        <w:rPr>
          <w:rFonts w:cstheme="minorBidi"/>
          <w:i/>
          <w:color w:val="auto"/>
        </w:rPr>
        <w:t>LGV reviews final adopted budgets (due by 30 June) to determine the actual planned new borrowings for the financial year. The collective planned new borrowings of all councils are presented for the endorsement of the Minister for Local Government</w:t>
      </w:r>
    </w:p>
    <w:p w14:paraId="349205DD" w14:textId="2013559E" w:rsidR="00EC3A39" w:rsidRPr="00DF33CA" w:rsidRDefault="00EC3A39" w:rsidP="00EC3A39">
      <w:pPr>
        <w:pStyle w:val="Bullet1"/>
        <w:rPr>
          <w:rFonts w:cstheme="minorHAnsi"/>
          <w:i/>
          <w:iCs/>
          <w:color w:val="auto"/>
        </w:rPr>
      </w:pPr>
      <w:r w:rsidRPr="00DF33CA">
        <w:rPr>
          <w:rFonts w:cstheme="minorBidi"/>
          <w:i/>
          <w:color w:val="auto"/>
        </w:rPr>
        <w:t>LGV provides the endorsed individual council and total annual new borrowings</w:t>
      </w:r>
      <w:r w:rsidR="00FB3B39" w:rsidRPr="4CC5AA41">
        <w:rPr>
          <w:rFonts w:cstheme="minorBidi"/>
          <w:i/>
          <w:color w:val="auto"/>
        </w:rPr>
        <w:t xml:space="preserve"> (along with existing borrowings)</w:t>
      </w:r>
      <w:r w:rsidRPr="00DF33CA">
        <w:rPr>
          <w:rFonts w:cstheme="minorBidi"/>
          <w:i/>
          <w:color w:val="auto"/>
        </w:rPr>
        <w:t xml:space="preserve"> to DTF for credit risk assessment (This is based upon the final adopted budget of a council)</w:t>
      </w:r>
    </w:p>
    <w:p w14:paraId="60F7BBA3" w14:textId="69707B7D" w:rsidR="00EC3A39" w:rsidRPr="00DF33CA" w:rsidRDefault="004554C8" w:rsidP="00EC3A39">
      <w:pPr>
        <w:pStyle w:val="Bullet1"/>
        <w:rPr>
          <w:rFonts w:cstheme="minorHAnsi"/>
          <w:i/>
          <w:iCs/>
          <w:color w:val="auto"/>
        </w:rPr>
      </w:pPr>
      <w:r w:rsidRPr="4CC5AA41">
        <w:rPr>
          <w:rFonts w:cstheme="minorBidi"/>
          <w:i/>
          <w:color w:val="auto"/>
        </w:rPr>
        <w:t>For councils with existing debt</w:t>
      </w:r>
      <w:r w:rsidR="00F2405A" w:rsidRPr="4CC5AA41">
        <w:rPr>
          <w:rFonts w:cstheme="minorBidi"/>
          <w:i/>
          <w:color w:val="auto"/>
        </w:rPr>
        <w:t xml:space="preserve"> and / or planned new borrowings </w:t>
      </w:r>
      <w:r w:rsidR="00EC3A39" w:rsidRPr="00DF33CA">
        <w:rPr>
          <w:rFonts w:cstheme="minorBidi"/>
          <w:i/>
          <w:color w:val="auto"/>
        </w:rPr>
        <w:t>DTF will assess each individual council’s financial viability, capacity to repay the loan and service the interest cost</w:t>
      </w:r>
    </w:p>
    <w:p w14:paraId="0D3BA2AF" w14:textId="38EA60FE" w:rsidR="00EC3A39" w:rsidRPr="00DF33CA" w:rsidRDefault="0071695C" w:rsidP="245AE7BB">
      <w:pPr>
        <w:pStyle w:val="Bullet1"/>
        <w:rPr>
          <w:rFonts w:cstheme="minorBidi"/>
          <w:i/>
          <w:iCs/>
          <w:color w:val="auto"/>
        </w:rPr>
      </w:pPr>
      <w:r w:rsidRPr="245AE7BB">
        <w:rPr>
          <w:rFonts w:cstheme="minorBidi"/>
          <w:i/>
          <w:iCs/>
          <w:color w:val="auto"/>
        </w:rPr>
        <w:t>S</w:t>
      </w:r>
      <w:r w:rsidR="00EC3A39" w:rsidRPr="245AE7BB">
        <w:rPr>
          <w:rFonts w:cstheme="minorBidi"/>
          <w:i/>
          <w:iCs/>
          <w:color w:val="auto"/>
        </w:rPr>
        <w:t>hould a council meet the credit criteria, DTF will recommend to the Treasurer that the council can borrow up to the approved limit from TCV. The loan from TCV will be made subject to the council agreeing to the specific terms and conditions of the TCV loan agreement. The council will be notified of the approval to borrow up to a specified TCV borrowing limit</w:t>
      </w:r>
      <w:r w:rsidR="004D0665" w:rsidRPr="245AE7BB">
        <w:rPr>
          <w:rFonts w:cstheme="minorBidi"/>
          <w:i/>
          <w:iCs/>
          <w:color w:val="auto"/>
        </w:rPr>
        <w:t xml:space="preserve">. </w:t>
      </w:r>
      <w:r w:rsidR="00EC3A39" w:rsidRPr="245AE7BB">
        <w:rPr>
          <w:rFonts w:cstheme="minorBidi"/>
          <w:i/>
          <w:iCs/>
          <w:color w:val="auto"/>
        </w:rPr>
        <w:t>Then and only then can a council app</w:t>
      </w:r>
      <w:r w:rsidR="002B7B0C" w:rsidRPr="245AE7BB">
        <w:rPr>
          <w:rFonts w:cstheme="minorBidi"/>
          <w:i/>
          <w:iCs/>
          <w:color w:val="auto"/>
        </w:rPr>
        <w:t>roach</w:t>
      </w:r>
      <w:r w:rsidR="00EC3A39" w:rsidRPr="245AE7BB">
        <w:rPr>
          <w:rFonts w:cstheme="minorBidi"/>
          <w:i/>
          <w:iCs/>
          <w:color w:val="auto"/>
        </w:rPr>
        <w:t xml:space="preserve"> TCV for a loan.</w:t>
      </w:r>
    </w:p>
    <w:p w14:paraId="3D170B95" w14:textId="1297BE21" w:rsidR="0071695C" w:rsidRPr="00DF33CA" w:rsidRDefault="00CE7116" w:rsidP="00DF33CA">
      <w:pPr>
        <w:pStyle w:val="Bullet1"/>
        <w:rPr>
          <w:rFonts w:cstheme="minorBidi"/>
          <w:i/>
          <w:color w:val="auto"/>
        </w:rPr>
      </w:pPr>
      <w:r w:rsidRPr="00C44935">
        <w:rPr>
          <w:rFonts w:cstheme="minorBidi"/>
          <w:i/>
          <w:color w:val="auto"/>
        </w:rPr>
        <w:t xml:space="preserve">Each </w:t>
      </w:r>
      <w:r w:rsidR="000532DE">
        <w:rPr>
          <w:rFonts w:cstheme="minorBidi"/>
          <w:i/>
          <w:color w:val="auto"/>
        </w:rPr>
        <w:t xml:space="preserve">subsequent </w:t>
      </w:r>
      <w:r w:rsidRPr="00C44935">
        <w:rPr>
          <w:rFonts w:cstheme="minorBidi"/>
          <w:i/>
          <w:color w:val="auto"/>
        </w:rPr>
        <w:t xml:space="preserve">year, </w:t>
      </w:r>
      <w:r w:rsidR="004D0665" w:rsidRPr="00C44935">
        <w:rPr>
          <w:rFonts w:cstheme="minorBidi"/>
          <w:i/>
          <w:color w:val="auto"/>
        </w:rPr>
        <w:t>DTF</w:t>
      </w:r>
      <w:r w:rsidRPr="00C44935">
        <w:rPr>
          <w:rFonts w:cstheme="minorBidi"/>
          <w:i/>
          <w:color w:val="auto"/>
        </w:rPr>
        <w:t xml:space="preserve"> </w:t>
      </w:r>
      <w:r w:rsidR="00FC3BD1" w:rsidRPr="00DF33CA">
        <w:rPr>
          <w:rFonts w:cstheme="minorBidi"/>
          <w:i/>
          <w:color w:val="auto"/>
        </w:rPr>
        <w:t>will</w:t>
      </w:r>
      <w:r w:rsidR="00FC3BD1" w:rsidRPr="00C44935">
        <w:rPr>
          <w:rFonts w:cstheme="minorBidi"/>
          <w:i/>
          <w:color w:val="auto"/>
        </w:rPr>
        <w:t xml:space="preserve"> undertake</w:t>
      </w:r>
      <w:r w:rsidRPr="00C44935">
        <w:rPr>
          <w:rFonts w:cstheme="minorBidi"/>
          <w:i/>
          <w:color w:val="auto"/>
        </w:rPr>
        <w:t xml:space="preserve"> a credit re</w:t>
      </w:r>
      <w:r w:rsidR="000532DE">
        <w:rPr>
          <w:rFonts w:cstheme="minorBidi"/>
          <w:i/>
          <w:color w:val="auto"/>
        </w:rPr>
        <w:t>-</w:t>
      </w:r>
      <w:r w:rsidRPr="00C44935">
        <w:rPr>
          <w:rFonts w:cstheme="minorBidi"/>
          <w:i/>
          <w:color w:val="auto"/>
        </w:rPr>
        <w:t xml:space="preserve">assessment of councils </w:t>
      </w:r>
      <w:r w:rsidR="00A01814">
        <w:rPr>
          <w:rFonts w:cstheme="minorBidi"/>
          <w:i/>
          <w:color w:val="auto"/>
        </w:rPr>
        <w:t xml:space="preserve">that continue to </w:t>
      </w:r>
      <w:r w:rsidR="004D0665" w:rsidRPr="00C44935">
        <w:rPr>
          <w:rFonts w:cstheme="minorBidi"/>
          <w:i/>
          <w:color w:val="auto"/>
        </w:rPr>
        <w:t>have</w:t>
      </w:r>
      <w:r w:rsidRPr="00C44935">
        <w:rPr>
          <w:rFonts w:cstheme="minorBidi"/>
          <w:i/>
          <w:color w:val="auto"/>
        </w:rPr>
        <w:t xml:space="preserve"> </w:t>
      </w:r>
      <w:r w:rsidR="004D0665" w:rsidRPr="00C44935">
        <w:rPr>
          <w:rFonts w:cstheme="minorBidi"/>
          <w:i/>
          <w:color w:val="auto"/>
        </w:rPr>
        <w:t>borrowings</w:t>
      </w:r>
      <w:r w:rsidRPr="00C44935">
        <w:rPr>
          <w:rFonts w:cstheme="minorBidi"/>
          <w:i/>
          <w:color w:val="auto"/>
        </w:rPr>
        <w:t xml:space="preserve"> (</w:t>
      </w:r>
      <w:r w:rsidR="004D0665" w:rsidRPr="00C44935">
        <w:rPr>
          <w:rFonts w:cstheme="minorBidi"/>
          <w:i/>
          <w:color w:val="auto"/>
        </w:rPr>
        <w:t>existing</w:t>
      </w:r>
      <w:r w:rsidRPr="00C44935">
        <w:rPr>
          <w:rFonts w:cstheme="minorBidi"/>
          <w:i/>
          <w:color w:val="auto"/>
        </w:rPr>
        <w:t xml:space="preserve"> and </w:t>
      </w:r>
      <w:r w:rsidR="004D0665" w:rsidRPr="00C44935">
        <w:rPr>
          <w:rFonts w:cstheme="minorBidi"/>
          <w:i/>
          <w:color w:val="auto"/>
        </w:rPr>
        <w:t>proposed</w:t>
      </w:r>
      <w:r w:rsidRPr="00C44935">
        <w:rPr>
          <w:rFonts w:cstheme="minorBidi"/>
          <w:i/>
          <w:color w:val="auto"/>
        </w:rPr>
        <w:t>) in the</w:t>
      </w:r>
      <w:r w:rsidR="00D332C2">
        <w:rPr>
          <w:rFonts w:cstheme="minorBidi"/>
          <w:i/>
          <w:color w:val="auto"/>
        </w:rPr>
        <w:t>ir</w:t>
      </w:r>
      <w:r w:rsidRPr="00C44935">
        <w:rPr>
          <w:rFonts w:cstheme="minorBidi"/>
          <w:i/>
          <w:color w:val="auto"/>
        </w:rPr>
        <w:t xml:space="preserve"> </w:t>
      </w:r>
      <w:r w:rsidR="004D0665" w:rsidRPr="00C44935">
        <w:rPr>
          <w:rFonts w:cstheme="minorBidi"/>
          <w:i/>
          <w:color w:val="auto"/>
        </w:rPr>
        <w:t>Annual</w:t>
      </w:r>
      <w:r w:rsidRPr="00C44935">
        <w:rPr>
          <w:rFonts w:cstheme="minorBidi"/>
          <w:i/>
          <w:color w:val="auto"/>
        </w:rPr>
        <w:t xml:space="preserve"> </w:t>
      </w:r>
      <w:r w:rsidR="004D0665" w:rsidRPr="00C44935">
        <w:rPr>
          <w:rFonts w:cstheme="minorBidi"/>
          <w:i/>
          <w:color w:val="auto"/>
        </w:rPr>
        <w:t>Budge</w:t>
      </w:r>
      <w:r w:rsidR="00FC3BD1">
        <w:rPr>
          <w:rFonts w:cstheme="minorBidi"/>
          <w:i/>
          <w:color w:val="auto"/>
        </w:rPr>
        <w:t>t</w:t>
      </w:r>
      <w:r w:rsidR="002501C6">
        <w:rPr>
          <w:rFonts w:cstheme="minorBidi"/>
          <w:i/>
          <w:color w:val="auto"/>
        </w:rPr>
        <w:t xml:space="preserve">. Should </w:t>
      </w:r>
      <w:r w:rsidR="00A01814">
        <w:rPr>
          <w:rFonts w:cstheme="minorBidi"/>
          <w:i/>
          <w:color w:val="auto"/>
        </w:rPr>
        <w:t xml:space="preserve">the </w:t>
      </w:r>
      <w:r w:rsidR="00E8789B">
        <w:rPr>
          <w:rFonts w:cstheme="minorBidi"/>
          <w:i/>
          <w:color w:val="auto"/>
        </w:rPr>
        <w:t>councils continue</w:t>
      </w:r>
      <w:r w:rsidR="002501C6">
        <w:rPr>
          <w:rFonts w:cstheme="minorBidi"/>
          <w:i/>
          <w:color w:val="auto"/>
        </w:rPr>
        <w:t xml:space="preserve"> to meet the credit </w:t>
      </w:r>
      <w:r w:rsidR="00EC432E">
        <w:rPr>
          <w:rFonts w:cstheme="minorBidi"/>
          <w:i/>
          <w:color w:val="auto"/>
        </w:rPr>
        <w:t>criteria,</w:t>
      </w:r>
      <w:r w:rsidR="00BB4DB2">
        <w:rPr>
          <w:rFonts w:cstheme="minorBidi"/>
          <w:i/>
          <w:color w:val="auto"/>
        </w:rPr>
        <w:t xml:space="preserve"> DTF </w:t>
      </w:r>
      <w:r w:rsidR="009A4D99">
        <w:rPr>
          <w:rFonts w:cstheme="minorBidi"/>
          <w:i/>
          <w:color w:val="auto"/>
        </w:rPr>
        <w:t>will seek</w:t>
      </w:r>
      <w:r w:rsidR="00C963FB">
        <w:rPr>
          <w:rFonts w:cstheme="minorBidi"/>
          <w:i/>
          <w:color w:val="auto"/>
        </w:rPr>
        <w:t xml:space="preserve"> the Treasurer’s approval of council </w:t>
      </w:r>
      <w:r w:rsidR="00E31B57">
        <w:rPr>
          <w:rFonts w:cstheme="minorBidi"/>
          <w:i/>
          <w:color w:val="auto"/>
        </w:rPr>
        <w:t>borrowing limit</w:t>
      </w:r>
      <w:r w:rsidR="00253EEA">
        <w:rPr>
          <w:rFonts w:cstheme="minorBidi"/>
          <w:i/>
          <w:color w:val="auto"/>
        </w:rPr>
        <w:t>s</w:t>
      </w:r>
      <w:r w:rsidR="006D3BE5">
        <w:rPr>
          <w:rFonts w:cstheme="minorBidi"/>
          <w:i/>
          <w:color w:val="auto"/>
        </w:rPr>
        <w:t xml:space="preserve"> which have been </w:t>
      </w:r>
      <w:r w:rsidR="000532DE">
        <w:rPr>
          <w:rFonts w:cstheme="minorBidi"/>
          <w:i/>
          <w:color w:val="auto"/>
        </w:rPr>
        <w:t xml:space="preserve">updated </w:t>
      </w:r>
      <w:r w:rsidR="00E922B8">
        <w:rPr>
          <w:rFonts w:cstheme="minorBidi"/>
          <w:i/>
          <w:color w:val="auto"/>
        </w:rPr>
        <w:t xml:space="preserve">to reflect the </w:t>
      </w:r>
      <w:r w:rsidR="00A97C50">
        <w:rPr>
          <w:rFonts w:cstheme="minorBidi"/>
          <w:i/>
          <w:color w:val="auto"/>
        </w:rPr>
        <w:t xml:space="preserve">borrowing </w:t>
      </w:r>
      <w:r w:rsidR="00C9015D">
        <w:rPr>
          <w:rFonts w:cstheme="minorBidi"/>
          <w:i/>
          <w:color w:val="auto"/>
        </w:rPr>
        <w:t>requirements</w:t>
      </w:r>
      <w:r w:rsidR="00A97C50">
        <w:rPr>
          <w:rFonts w:cstheme="minorBidi"/>
          <w:i/>
          <w:color w:val="auto"/>
        </w:rPr>
        <w:t xml:space="preserve"> detailed in the </w:t>
      </w:r>
      <w:r w:rsidR="006E444B">
        <w:rPr>
          <w:rFonts w:cstheme="minorBidi"/>
          <w:i/>
          <w:color w:val="auto"/>
        </w:rPr>
        <w:t>council’s</w:t>
      </w:r>
      <w:r w:rsidR="00A97C50">
        <w:rPr>
          <w:rFonts w:cstheme="minorBidi"/>
          <w:i/>
          <w:color w:val="auto"/>
        </w:rPr>
        <w:t xml:space="preserve"> </w:t>
      </w:r>
      <w:r w:rsidR="00C9015D">
        <w:rPr>
          <w:rFonts w:cstheme="minorBidi"/>
          <w:i/>
          <w:color w:val="auto"/>
        </w:rPr>
        <w:t>Annual Budget</w:t>
      </w:r>
      <w:r w:rsidR="607F74CC" w:rsidRPr="29D6DCC1">
        <w:rPr>
          <w:rFonts w:cstheme="minorBidi"/>
          <w:i/>
          <w:iCs/>
          <w:color w:val="auto"/>
        </w:rPr>
        <w:t xml:space="preserve"> </w:t>
      </w:r>
      <w:r w:rsidR="607F74CC" w:rsidRPr="445E0BDE">
        <w:rPr>
          <w:rFonts w:cstheme="minorBidi"/>
          <w:i/>
          <w:iCs/>
          <w:color w:val="auto"/>
        </w:rPr>
        <w:t>including table 4.2.3</w:t>
      </w:r>
      <w:r w:rsidR="6592E93D" w:rsidRPr="445E0BDE">
        <w:rPr>
          <w:rFonts w:cstheme="minorBidi"/>
          <w:i/>
          <w:iCs/>
          <w:color w:val="auto"/>
        </w:rPr>
        <w:t>.</w:t>
      </w:r>
      <w:r w:rsidR="00C9015D">
        <w:rPr>
          <w:rFonts w:cstheme="minorBidi"/>
          <w:i/>
          <w:color w:val="auto"/>
        </w:rPr>
        <w:t xml:space="preserve"> </w:t>
      </w:r>
      <w:r w:rsidR="005A433B">
        <w:rPr>
          <w:rFonts w:cstheme="minorBidi"/>
          <w:i/>
          <w:color w:val="auto"/>
        </w:rPr>
        <w:t xml:space="preserve">Correspondence detailing the updated borrowing limit is </w:t>
      </w:r>
      <w:r w:rsidR="00DF2FFA">
        <w:rPr>
          <w:rFonts w:cstheme="minorBidi"/>
          <w:i/>
          <w:color w:val="auto"/>
        </w:rPr>
        <w:t xml:space="preserve">provided to local </w:t>
      </w:r>
      <w:r w:rsidR="00A2488C">
        <w:rPr>
          <w:rFonts w:cstheme="minorBidi"/>
          <w:i/>
          <w:color w:val="auto"/>
        </w:rPr>
        <w:t>councils</w:t>
      </w:r>
      <w:r w:rsidR="00760DF5">
        <w:rPr>
          <w:rFonts w:cstheme="minorBidi"/>
          <w:i/>
          <w:color w:val="auto"/>
        </w:rPr>
        <w:t xml:space="preserve"> soon after </w:t>
      </w:r>
      <w:r w:rsidR="00E22995">
        <w:rPr>
          <w:rFonts w:cstheme="minorBidi"/>
          <w:i/>
          <w:color w:val="auto"/>
        </w:rPr>
        <w:t xml:space="preserve">the </w:t>
      </w:r>
      <w:r w:rsidR="00DD743A">
        <w:rPr>
          <w:rFonts w:cstheme="minorBidi"/>
          <w:i/>
          <w:color w:val="auto"/>
        </w:rPr>
        <w:t>Treasurer’s approval is confirmed.</w:t>
      </w:r>
    </w:p>
    <w:p w14:paraId="064D9C79" w14:textId="170940A9" w:rsidR="00EC3A39" w:rsidRPr="00DF33CA" w:rsidRDefault="00EC3A39" w:rsidP="00EC3A39">
      <w:pPr>
        <w:pStyle w:val="Heading2"/>
        <w:rPr>
          <w:color w:val="00B0F0"/>
        </w:rPr>
      </w:pPr>
      <w:bookmarkStart w:id="34" w:name="_Toc79755051"/>
      <w:bookmarkStart w:id="35" w:name="_Toc135819862"/>
      <w:bookmarkStart w:id="36" w:name="_Toc138251053"/>
      <w:r w:rsidRPr="245AE7BB">
        <w:rPr>
          <w:color w:val="00B0F0"/>
        </w:rPr>
        <w:lastRenderedPageBreak/>
        <w:t xml:space="preserve">What are the key steps in the </w:t>
      </w:r>
      <w:bookmarkStart w:id="37" w:name="_Int_OvMiJpaf"/>
      <w:proofErr w:type="gramStart"/>
      <w:r w:rsidRPr="245AE7BB">
        <w:rPr>
          <w:color w:val="00B0F0"/>
        </w:rPr>
        <w:t>loans</w:t>
      </w:r>
      <w:bookmarkEnd w:id="37"/>
      <w:proofErr w:type="gramEnd"/>
      <w:r w:rsidRPr="245AE7BB">
        <w:rPr>
          <w:color w:val="00B0F0"/>
        </w:rPr>
        <w:t xml:space="preserve"> framework?</w:t>
      </w:r>
      <w:bookmarkEnd w:id="34"/>
      <w:bookmarkEnd w:id="35"/>
      <w:bookmarkEnd w:id="36"/>
    </w:p>
    <w:p w14:paraId="6A789091" w14:textId="77777777" w:rsidR="00EC3A39" w:rsidRDefault="00EC3A39" w:rsidP="00EC3A39">
      <w:pPr>
        <w:pStyle w:val="Heading3"/>
      </w:pPr>
      <w:bookmarkStart w:id="38" w:name="_Toc79755052"/>
      <w:r>
        <w:t>Borrowing intentions survey and council annual budgets</w:t>
      </w:r>
      <w:bookmarkEnd w:id="38"/>
    </w:p>
    <w:p w14:paraId="2E4EF6E0" w14:textId="1817808E" w:rsidR="00EC3A39" w:rsidRDefault="0AFA450E" w:rsidP="00EC3A39">
      <w:r>
        <w:t xml:space="preserve">LGV, within the Department of </w:t>
      </w:r>
      <w:r w:rsidR="5EBEF64B">
        <w:t>Government Services</w:t>
      </w:r>
      <w:r>
        <w:t xml:space="preserve"> (</w:t>
      </w:r>
      <w:r w:rsidR="5EBEF64B">
        <w:t>DGS</w:t>
      </w:r>
      <w:r>
        <w:t>) will conduct an annual survey of Victorian councils to determine the indicative individual new borrowing intentions</w:t>
      </w:r>
      <w:r w:rsidR="0F3AA79F">
        <w:t xml:space="preserve"> (and existing borrowings due for </w:t>
      </w:r>
      <w:r w:rsidR="37B9E406">
        <w:t>refinancing</w:t>
      </w:r>
      <w:r w:rsidR="0F3AA79F">
        <w:t>)</w:t>
      </w:r>
      <w:r>
        <w:t xml:space="preserve"> of Victorian councils for the following financial year. LGV will communicate these new </w:t>
      </w:r>
      <w:r w:rsidR="490AA444">
        <w:t>borrowings</w:t>
      </w:r>
      <w:r>
        <w:t xml:space="preserve"> </w:t>
      </w:r>
      <w:r w:rsidR="5EE34369">
        <w:t xml:space="preserve">and </w:t>
      </w:r>
      <w:r w:rsidR="55E43834">
        <w:t>refinancing</w:t>
      </w:r>
      <w:r>
        <w:t xml:space="preserve"> intentions both individually and collectively to DTF and TCV for budget and planning purposes.</w:t>
      </w:r>
    </w:p>
    <w:p w14:paraId="2661ADF1" w14:textId="77777777" w:rsidR="00EC3A39" w:rsidRDefault="00EC3A39" w:rsidP="00EC3A39">
      <w:r>
        <w:t>This activity is in advance of completion of the annual council budget process. Whilst it is not uncommon for other entities to refer to borrowings as being the collective of existing and new debt, councils often refer to the amount of ‘new borrowings’ planned in any financial year. Indeed, planned new borrowings must be disclosed in each council’s annual budget. The annual budget, including any planned new borrowings, is confirmed by being adopted by council (the adopted budget).</w:t>
      </w:r>
    </w:p>
    <w:p w14:paraId="0C5AC3BB" w14:textId="0FCEB0D1" w:rsidR="00EC3A39" w:rsidRDefault="00EC3A39" w:rsidP="00EC3A39">
      <w:r>
        <w:t>Victorian councils must adopt a budget by 30 June each year.</w:t>
      </w:r>
      <w:r w:rsidR="002E387C">
        <w:rPr>
          <w:rStyle w:val="FootnoteReference"/>
        </w:rPr>
        <w:footnoteReference w:id="3"/>
      </w:r>
      <w:r>
        <w:t xml:space="preserve"> Budgeted council borrowings must be evidenced through adopted budgets. The </w:t>
      </w:r>
      <w:r w:rsidRPr="00F07776">
        <w:t>Local Government (Planning and Reporting) Regulations 2020</w:t>
      </w:r>
      <w:r w:rsidRPr="00AD7E5A">
        <w:t xml:space="preserve"> </w:t>
      </w:r>
      <w:r>
        <w:t>require a council to disclose in the budget the total amount to be borrowed (other than borrowings to refinance existing loans) during the budget year compared with the previous financial year.</w:t>
      </w:r>
      <w:r w:rsidR="000231BE">
        <w:rPr>
          <w:rStyle w:val="FootnoteReference"/>
        </w:rPr>
        <w:footnoteReference w:id="4"/>
      </w:r>
      <w:r>
        <w:t xml:space="preserve"> </w:t>
      </w:r>
    </w:p>
    <w:p w14:paraId="75E9294B" w14:textId="3ED038B6" w:rsidR="00D66915" w:rsidRDefault="4180635C" w:rsidP="00EC3A39">
      <w:r>
        <w:t xml:space="preserve">It is highly recommended that councils populate three years of projections in table 4.2.3 </w:t>
      </w:r>
      <w:r w:rsidR="332669B9">
        <w:t>B</w:t>
      </w:r>
      <w:r>
        <w:t xml:space="preserve">orrowings </w:t>
      </w:r>
      <w:r w:rsidR="332669B9">
        <w:t xml:space="preserve">from the Model Budget </w:t>
      </w:r>
      <w:r>
        <w:t>to indicate future borrowing intentions. Completion of this table is a requirement for the credit assessment process.</w:t>
      </w:r>
      <w:r w:rsidR="5D3AE792">
        <w:t xml:space="preserve">  DTF is unable to conduct the credit assessment without this information.</w:t>
      </w:r>
    </w:p>
    <w:p w14:paraId="111393DC" w14:textId="1CF392AE" w:rsidR="00EC3A39" w:rsidRDefault="00EC3A39" w:rsidP="00EC3A39">
      <w:r>
        <w:t>On an annual basis, LGV will collate individual</w:t>
      </w:r>
      <w:r w:rsidR="00853A1D">
        <w:t xml:space="preserve"> </w:t>
      </w:r>
      <w:r>
        <w:t>planned council borrowings disclosed in adopted budgets to determine</w:t>
      </w:r>
      <w:r w:rsidR="00853A1D">
        <w:t xml:space="preserve"> </w:t>
      </w:r>
      <w:r>
        <w:t>total new</w:t>
      </w:r>
      <w:r w:rsidR="00C255C7">
        <w:t xml:space="preserve"> </w:t>
      </w:r>
      <w:r>
        <w:t xml:space="preserve">borrowings for consideration and endorsement by the Minister for Local Government. </w:t>
      </w:r>
    </w:p>
    <w:p w14:paraId="371C17DE" w14:textId="77777777" w:rsidR="00EC3A39" w:rsidRDefault="00EC3A39" w:rsidP="00EC3A39">
      <w:pPr>
        <w:pStyle w:val="Heading3"/>
      </w:pPr>
      <w:bookmarkStart w:id="39" w:name="_Toc79755053"/>
      <w:r>
        <w:t>Approval of a TCV borrowing limit by the Treasurer</w:t>
      </w:r>
      <w:bookmarkEnd w:id="39"/>
    </w:p>
    <w:p w14:paraId="4BCC7B49" w14:textId="0CB85EB9" w:rsidR="00EC3A39" w:rsidRDefault="00EC3A39" w:rsidP="00EC3A39">
      <w:r>
        <w:t>Following endorsement of the individual and total new</w:t>
      </w:r>
      <w:r w:rsidR="00746A99">
        <w:t xml:space="preserve"> </w:t>
      </w:r>
      <w:r>
        <w:t xml:space="preserve">borrowings by the Minister for Local Government, DTF will undertake </w:t>
      </w:r>
      <w:r w:rsidR="00DB3591">
        <w:t xml:space="preserve">either an initial </w:t>
      </w:r>
      <w:r>
        <w:t xml:space="preserve">credit assessment </w:t>
      </w:r>
      <w:r w:rsidR="00D459FA">
        <w:t xml:space="preserve">or subsequent credit re-assessment </w:t>
      </w:r>
      <w:r>
        <w:t>of Victorian councils</w:t>
      </w:r>
      <w:r w:rsidR="00B96A79">
        <w:t xml:space="preserve"> with existing debt and/or</w:t>
      </w:r>
      <w:r>
        <w:t xml:space="preserve"> </w:t>
      </w:r>
      <w:r w:rsidR="007C1D71">
        <w:t>proposed borrowings</w:t>
      </w:r>
      <w:r>
        <w:t xml:space="preserve">, to ensure that the councils meet the minimum </w:t>
      </w:r>
      <w:r w:rsidR="007C1D71">
        <w:t xml:space="preserve">credit </w:t>
      </w:r>
      <w:r>
        <w:t xml:space="preserve">requirements and other loan conditions. </w:t>
      </w:r>
    </w:p>
    <w:p w14:paraId="7EA27EFA" w14:textId="1E852D47" w:rsidR="00EC3A39" w:rsidRDefault="4E43CA84" w:rsidP="00EC3A39">
      <w:r>
        <w:t xml:space="preserve">DTF is responsible for reviewing the credit risk of </w:t>
      </w:r>
      <w:r w:rsidR="27F71D0E">
        <w:t>these</w:t>
      </w:r>
      <w:r>
        <w:t xml:space="preserve"> council</w:t>
      </w:r>
      <w:r w:rsidR="27F71D0E">
        <w:t>s</w:t>
      </w:r>
      <w:r>
        <w:t>. When considering their planned level of borrowings, councils must ensure they will be able to comply with credit financial ratio criteria and are encouraged to</w:t>
      </w:r>
      <w:r w:rsidR="7EAB8776">
        <w:t xml:space="preserve"> consider</w:t>
      </w:r>
      <w:r>
        <w:t xml:space="preserve"> the relevant debt </w:t>
      </w:r>
      <w:r>
        <w:lastRenderedPageBreak/>
        <w:t>ratios available in both the VAGO and Local Government Performance Reporting Framework (LGPRF) financial indicator sets.</w:t>
      </w:r>
    </w:p>
    <w:p w14:paraId="3AEE2665" w14:textId="7626BA88" w:rsidR="00EC3A39" w:rsidRDefault="4E43CA84" w:rsidP="00EC3A39">
      <w:r>
        <w:t>Following the credit assessment process by DTF, the recommended TCV borrowing limit will be presented</w:t>
      </w:r>
      <w:r w:rsidR="35604E14">
        <w:t xml:space="preserve"> each year</w:t>
      </w:r>
      <w:r>
        <w:t xml:space="preserve"> to the Treasurer for approval. Subject to the Treasurer’s approval, councils will be advised of their TCV borrowing limit.</w:t>
      </w:r>
    </w:p>
    <w:p w14:paraId="5D43C7FB" w14:textId="7FDB0D50" w:rsidR="00EC3A39" w:rsidRPr="00DF33CA" w:rsidRDefault="00EC3A39" w:rsidP="00005571">
      <w:r>
        <w:t xml:space="preserve">The access to a TCV loan does not preclude any council from seeking loan funds from any other approved provider. However, if councils intend to borrow from TCV, further borrowing </w:t>
      </w:r>
      <w:r w:rsidR="1C82FCDB">
        <w:t xml:space="preserve">from other providers </w:t>
      </w:r>
      <w:r w:rsidR="001035C4">
        <w:t>will</w:t>
      </w:r>
      <w:r>
        <w:t xml:space="preserve"> be restricted by financial covenants existing in TCV loan agreements.</w:t>
      </w:r>
      <w:r w:rsidR="75E08991">
        <w:t xml:space="preserve"> </w:t>
      </w:r>
      <w:r w:rsidR="75E08991" w:rsidRPr="245AE7BB">
        <w:rPr>
          <w:i/>
          <w:iCs/>
        </w:rPr>
        <w:t>(</w:t>
      </w:r>
      <w:proofErr w:type="spellStart"/>
      <w:proofErr w:type="gramStart"/>
      <w:r w:rsidR="75E08991" w:rsidRPr="245AE7BB">
        <w:rPr>
          <w:i/>
          <w:iCs/>
        </w:rPr>
        <w:t>ie</w:t>
      </w:r>
      <w:proofErr w:type="spellEnd"/>
      <w:proofErr w:type="gramEnd"/>
      <w:r w:rsidR="75E08991" w:rsidRPr="245AE7BB">
        <w:rPr>
          <w:i/>
          <w:iCs/>
        </w:rPr>
        <w:t xml:space="preserve"> </w:t>
      </w:r>
      <w:r w:rsidR="66C797A8" w:rsidRPr="245AE7BB">
        <w:rPr>
          <w:i/>
          <w:iCs/>
        </w:rPr>
        <w:t xml:space="preserve">all </w:t>
      </w:r>
      <w:r w:rsidR="0FEE52BF" w:rsidRPr="245AE7BB">
        <w:rPr>
          <w:i/>
          <w:iCs/>
        </w:rPr>
        <w:t>Interest-bearing</w:t>
      </w:r>
      <w:r w:rsidR="75E08991" w:rsidRPr="245AE7BB">
        <w:rPr>
          <w:i/>
          <w:iCs/>
        </w:rPr>
        <w:t xml:space="preserve"> loans, leases and borrowings not exceeding 60 per cent of own source revenue.</w:t>
      </w:r>
      <w:r w:rsidR="2CB9B991" w:rsidRPr="245AE7BB">
        <w:rPr>
          <w:i/>
          <w:iCs/>
        </w:rPr>
        <w:t>)</w:t>
      </w:r>
    </w:p>
    <w:p w14:paraId="0C5BD97B" w14:textId="77777777" w:rsidR="00EC3A39" w:rsidRDefault="00EC3A39" w:rsidP="00EC3A39">
      <w:pPr>
        <w:pStyle w:val="Heading3"/>
      </w:pPr>
      <w:bookmarkStart w:id="40" w:name="_Toc79755054"/>
      <w:r>
        <w:t>Application for new TCV loan funds</w:t>
      </w:r>
      <w:bookmarkEnd w:id="40"/>
      <w:r>
        <w:t xml:space="preserve"> </w:t>
      </w:r>
    </w:p>
    <w:p w14:paraId="3AB2E960" w14:textId="1704A551" w:rsidR="00EC3A39" w:rsidRDefault="00EC3A39" w:rsidP="00EC3A39">
      <w:r>
        <w:t xml:space="preserve">Once a council receives </w:t>
      </w:r>
      <w:r w:rsidR="007B34B5">
        <w:t xml:space="preserve">an initial or updated </w:t>
      </w:r>
      <w:r>
        <w:t>advice of their confirmed TCV borrowing limit, they may formally ap</w:t>
      </w:r>
      <w:r w:rsidR="0074545A">
        <w:t>proach</w:t>
      </w:r>
      <w:r>
        <w:t xml:space="preserve"> TCV for loan funds. TCV would then fund loans to individual councils up to the </w:t>
      </w:r>
      <w:r w:rsidR="00CB3943">
        <w:t xml:space="preserve">initial or updated </w:t>
      </w:r>
      <w:r>
        <w:t>approved limit.</w:t>
      </w:r>
      <w:r w:rsidR="006060F9">
        <w:t xml:space="preserve"> The approved limit includes all borrowings and leases. It is up to the council to manage their loans</w:t>
      </w:r>
      <w:r w:rsidR="00E9463B">
        <w:t xml:space="preserve">, whether borrowed from TCV or an </w:t>
      </w:r>
      <w:r w:rsidR="00813ADB">
        <w:t>alternative</w:t>
      </w:r>
      <w:r w:rsidR="00E9463B">
        <w:t xml:space="preserve"> </w:t>
      </w:r>
      <w:r w:rsidR="00813ADB">
        <w:t>financier</w:t>
      </w:r>
      <w:r w:rsidR="00E9463B">
        <w:t>,</w:t>
      </w:r>
      <w:r w:rsidR="006060F9">
        <w:t xml:space="preserve"> within the approved limit</w:t>
      </w:r>
      <w:r w:rsidR="001035C4">
        <w:t xml:space="preserve"> and financial covenant ratios</w:t>
      </w:r>
      <w:r w:rsidR="006060F9">
        <w:t>.</w:t>
      </w:r>
    </w:p>
    <w:p w14:paraId="7CAFC95C" w14:textId="77777777" w:rsidR="00EC3A39" w:rsidRDefault="00EC3A39" w:rsidP="00EC3A39">
      <w:pPr>
        <w:pStyle w:val="Heading3"/>
      </w:pPr>
      <w:bookmarkStart w:id="41" w:name="_Toc79755055"/>
      <w:r>
        <w:t>Timeframes for availability of TCV loan funds</w:t>
      </w:r>
      <w:bookmarkEnd w:id="41"/>
      <w:r>
        <w:t xml:space="preserve"> </w:t>
      </w:r>
    </w:p>
    <w:p w14:paraId="18B3F932" w14:textId="77777777" w:rsidR="00FD1510" w:rsidRDefault="00EC3A39" w:rsidP="00EC4AF4">
      <w:r>
        <w:t xml:space="preserve">The </w:t>
      </w:r>
      <w:r w:rsidRPr="009D3DF7">
        <w:rPr>
          <w:i/>
          <w:iCs/>
        </w:rPr>
        <w:t>Local Government Act 2020</w:t>
      </w:r>
      <w:r>
        <w:t xml:space="preserve"> requires a council to disclose their planned new borrowings in the budget on an annual basis. The timing for completion of the budget process and all consultative mechanisms often results in the budget being adopted in late June. </w:t>
      </w:r>
    </w:p>
    <w:p w14:paraId="2A7059F5" w14:textId="3C8280D5" w:rsidR="00EC4AF4" w:rsidRDefault="00EC3A39" w:rsidP="00EC4AF4">
      <w:r>
        <w:t>Whilst endorsed new borrowings are reported in the adopted budget</w:t>
      </w:r>
      <w:r w:rsidR="00597F31">
        <w:t>,</w:t>
      </w:r>
      <w:r>
        <w:t xml:space="preserve"> it does not follow that TCV loan funds will be immediately available</w:t>
      </w:r>
      <w:r w:rsidR="00AA6217">
        <w:t>,</w:t>
      </w:r>
      <w:r w:rsidR="001B3AC8">
        <w:t xml:space="preserve"> given the </w:t>
      </w:r>
      <w:r w:rsidR="00C857B1">
        <w:t>establishment</w:t>
      </w:r>
      <w:r w:rsidR="001B3AC8">
        <w:t xml:space="preserve"> of an </w:t>
      </w:r>
      <w:r w:rsidR="00C857B1">
        <w:t>initial</w:t>
      </w:r>
      <w:r w:rsidR="001B3AC8">
        <w:t xml:space="preserve"> borrowing limit </w:t>
      </w:r>
      <w:r w:rsidR="00C857B1">
        <w:t xml:space="preserve">can only be </w:t>
      </w:r>
      <w:r w:rsidR="005D0041">
        <w:t xml:space="preserve">confirmed </w:t>
      </w:r>
      <w:r w:rsidR="00FD1510">
        <w:t xml:space="preserve">after </w:t>
      </w:r>
      <w:r w:rsidR="00987E35">
        <w:t xml:space="preserve">the </w:t>
      </w:r>
      <w:r w:rsidR="005E5FA9">
        <w:t>budget and financial statements</w:t>
      </w:r>
      <w:r w:rsidR="005D0041">
        <w:t xml:space="preserve"> have been final</w:t>
      </w:r>
      <w:r w:rsidR="006126CE">
        <w:t>ised</w:t>
      </w:r>
      <w:r>
        <w:t>.</w:t>
      </w:r>
      <w:r w:rsidR="00EF6970">
        <w:t xml:space="preserve"> </w:t>
      </w:r>
      <w:proofErr w:type="gramStart"/>
      <w:r>
        <w:t xml:space="preserve">As a guide, </w:t>
      </w:r>
      <w:r w:rsidR="00010DF3">
        <w:t>an initial borrowing limit</w:t>
      </w:r>
      <w:proofErr w:type="gramEnd"/>
      <w:r w:rsidR="00010DF3">
        <w:t xml:space="preserve"> is approved by the Treasurer </w:t>
      </w:r>
      <w:r w:rsidR="00F905F0">
        <w:t xml:space="preserve">by </w:t>
      </w:r>
      <w:r w:rsidR="00D63B07">
        <w:t>October</w:t>
      </w:r>
      <w:r w:rsidR="00F905F0">
        <w:t xml:space="preserve"> of the budget year </w:t>
      </w:r>
      <w:r w:rsidR="00553272">
        <w:t>and</w:t>
      </w:r>
      <w:r w:rsidR="00F905F0">
        <w:t xml:space="preserve"> as such </w:t>
      </w:r>
      <w:r>
        <w:t xml:space="preserve">councils should not expect TCV loan funds to be available </w:t>
      </w:r>
      <w:r w:rsidR="00553272">
        <w:t xml:space="preserve">prior to </w:t>
      </w:r>
      <w:r w:rsidR="00F750CF">
        <w:t xml:space="preserve">the </w:t>
      </w:r>
      <w:r w:rsidR="00FE77D2">
        <w:t>confirmation</w:t>
      </w:r>
      <w:r w:rsidR="00F750CF">
        <w:t xml:space="preserve"> </w:t>
      </w:r>
      <w:r w:rsidR="00FE77D2">
        <w:t>of</w:t>
      </w:r>
      <w:r w:rsidR="00F750CF">
        <w:t xml:space="preserve"> the borrowing limit. </w:t>
      </w:r>
      <w:r w:rsidR="00EC4AF4">
        <w:t>Should the draw-down of loan funds earlier in the budget year be critical, it is expected that councils consider this in their prior year budget process. Alternatively, astute cash flow management may be sufficient to meet any short-term cash shortfall.</w:t>
      </w:r>
    </w:p>
    <w:p w14:paraId="247EC6E0" w14:textId="77777777" w:rsidR="00056539" w:rsidRDefault="00056539" w:rsidP="00056539">
      <w:r>
        <w:t>If a council has an existing limit that provides for loans in the next financial year, then they can borrow at the commencement of that financial year.</w:t>
      </w:r>
    </w:p>
    <w:p w14:paraId="7EE61DDC" w14:textId="5A61CCD3" w:rsidR="00A0368E" w:rsidRPr="00A0368E" w:rsidRDefault="006053B0" w:rsidP="00A0368E">
      <w:r w:rsidRPr="331A27A8">
        <w:rPr>
          <w:szCs w:val="22"/>
        </w:rPr>
        <w:t xml:space="preserve">It is also highly recommended that councils populate three years of projections in table 4.2.3 Borrowings to the Model Budget to indicate future borrowing intentions. Completion of this table will assist with the credit rating process and the subsequent potential drawdown of funds </w:t>
      </w:r>
      <w:r w:rsidR="001A5410" w:rsidRPr="331A27A8">
        <w:rPr>
          <w:szCs w:val="22"/>
        </w:rPr>
        <w:t xml:space="preserve">in the subsequent financial </w:t>
      </w:r>
      <w:r w:rsidR="00056539" w:rsidRPr="331A27A8">
        <w:rPr>
          <w:szCs w:val="22"/>
        </w:rPr>
        <w:t>year</w:t>
      </w:r>
      <w:r w:rsidRPr="331A27A8">
        <w:rPr>
          <w:szCs w:val="22"/>
        </w:rPr>
        <w:t>.</w:t>
      </w:r>
    </w:p>
    <w:p w14:paraId="01811708" w14:textId="77777777" w:rsidR="009B5F90" w:rsidRPr="00DB0DED" w:rsidRDefault="009B5F90" w:rsidP="00E00118">
      <w:pPr>
        <w:pStyle w:val="Heading1"/>
      </w:pPr>
      <w:bookmarkStart w:id="42" w:name="_Toc135819863"/>
      <w:bookmarkStart w:id="43" w:name="_Toc138251054"/>
      <w:r>
        <w:lastRenderedPageBreak/>
        <w:t>Timelines</w:t>
      </w:r>
      <w:bookmarkEnd w:id="42"/>
      <w:bookmarkEnd w:id="43"/>
    </w:p>
    <w:p w14:paraId="505D2E80" w14:textId="77777777" w:rsidR="009B5F90" w:rsidRDefault="009B5F90" w:rsidP="009B5F90">
      <w:r>
        <w:t>The timelines for the local council lending framework are as follows:</w:t>
      </w:r>
    </w:p>
    <w:tbl>
      <w:tblPr>
        <w:tblStyle w:val="DTFtexttable"/>
        <w:tblpPr w:leftFromText="180" w:rightFromText="180" w:vertAnchor="page" w:horzAnchor="margin" w:tblpY="2656"/>
        <w:tblW w:w="0" w:type="auto"/>
        <w:tblLook w:val="0420" w:firstRow="1" w:lastRow="0" w:firstColumn="0" w:lastColumn="0" w:noHBand="0" w:noVBand="1"/>
      </w:tblPr>
      <w:tblGrid>
        <w:gridCol w:w="5812"/>
        <w:gridCol w:w="3119"/>
      </w:tblGrid>
      <w:tr w:rsidR="003C1F84" w:rsidRPr="0025145C" w14:paraId="34092CF3" w14:textId="77777777" w:rsidTr="003C1F84">
        <w:trPr>
          <w:cnfStyle w:val="100000000000" w:firstRow="1" w:lastRow="0" w:firstColumn="0" w:lastColumn="0" w:oddVBand="0" w:evenVBand="0" w:oddHBand="0" w:evenHBand="0" w:firstRowFirstColumn="0" w:firstRowLastColumn="0" w:lastRowFirstColumn="0" w:lastRowLastColumn="0"/>
        </w:trPr>
        <w:tc>
          <w:tcPr>
            <w:tcW w:w="5812" w:type="dxa"/>
          </w:tcPr>
          <w:p w14:paraId="495EBF7D" w14:textId="77777777" w:rsidR="003C1F84" w:rsidRPr="0025145C" w:rsidRDefault="003C1F84" w:rsidP="003C1F84">
            <w:r>
              <w:t>Activity</w:t>
            </w:r>
          </w:p>
        </w:tc>
        <w:tc>
          <w:tcPr>
            <w:tcW w:w="3119" w:type="dxa"/>
          </w:tcPr>
          <w:p w14:paraId="52E4F148" w14:textId="77777777" w:rsidR="003C1F84" w:rsidRPr="0025145C" w:rsidRDefault="003C1F84" w:rsidP="003C1F84">
            <w:r>
              <w:t>Date</w:t>
            </w:r>
          </w:p>
        </w:tc>
      </w:tr>
      <w:tr w:rsidR="003C1F84" w:rsidRPr="0025145C" w14:paraId="2CB67DA2" w14:textId="77777777" w:rsidTr="003C1F84">
        <w:tc>
          <w:tcPr>
            <w:tcW w:w="5812" w:type="dxa"/>
          </w:tcPr>
          <w:p w14:paraId="5F0E3F4A" w14:textId="77777777" w:rsidR="003C1F84" w:rsidRPr="0025145C" w:rsidRDefault="003C1F84" w:rsidP="003C1F84">
            <w:r w:rsidRPr="0025145C">
              <w:t>Councils notify LGV via annual survey of indicative borrowing intentions</w:t>
            </w:r>
            <w:r>
              <w:t xml:space="preserve"> for the following financial year</w:t>
            </w:r>
            <w:r w:rsidRPr="0025145C">
              <w:t xml:space="preserve"> </w:t>
            </w:r>
          </w:p>
        </w:tc>
        <w:tc>
          <w:tcPr>
            <w:tcW w:w="3119" w:type="dxa"/>
          </w:tcPr>
          <w:p w14:paraId="409EF1FE" w14:textId="77777777" w:rsidR="003C1F84" w:rsidRPr="0025145C" w:rsidRDefault="003C1F84" w:rsidP="003C1F84">
            <w:r w:rsidRPr="0025145C">
              <w:t>31 March</w:t>
            </w:r>
          </w:p>
        </w:tc>
      </w:tr>
      <w:tr w:rsidR="003C1F84" w:rsidRPr="0025145C" w14:paraId="6AA278CE" w14:textId="77777777" w:rsidTr="003C1F84">
        <w:trPr>
          <w:cnfStyle w:val="000000010000" w:firstRow="0" w:lastRow="0" w:firstColumn="0" w:lastColumn="0" w:oddVBand="0" w:evenVBand="0" w:oddHBand="0" w:evenHBand="1" w:firstRowFirstColumn="0" w:firstRowLastColumn="0" w:lastRowFirstColumn="0" w:lastRowLastColumn="0"/>
        </w:trPr>
        <w:tc>
          <w:tcPr>
            <w:tcW w:w="5812" w:type="dxa"/>
          </w:tcPr>
          <w:p w14:paraId="6FFE79F4" w14:textId="77777777" w:rsidR="003C1F84" w:rsidRPr="0025145C" w:rsidRDefault="003C1F84" w:rsidP="003C1F84">
            <w:r w:rsidRPr="0025145C">
              <w:t>LGV communicates these borrowing intentions to both DTF and TCV for budget and planning purposes</w:t>
            </w:r>
          </w:p>
        </w:tc>
        <w:tc>
          <w:tcPr>
            <w:tcW w:w="3119" w:type="dxa"/>
          </w:tcPr>
          <w:p w14:paraId="10997822" w14:textId="77777777" w:rsidR="003C1F84" w:rsidRPr="0025145C" w:rsidRDefault="003C1F84" w:rsidP="003C1F84">
            <w:r w:rsidRPr="0025145C">
              <w:t>30 April</w:t>
            </w:r>
          </w:p>
        </w:tc>
      </w:tr>
      <w:tr w:rsidR="003C1F84" w:rsidRPr="0025145C" w14:paraId="1C8A8798" w14:textId="77777777" w:rsidTr="003C1F84">
        <w:tc>
          <w:tcPr>
            <w:tcW w:w="5812" w:type="dxa"/>
          </w:tcPr>
          <w:p w14:paraId="76016979" w14:textId="77777777" w:rsidR="003C1F84" w:rsidRPr="0025145C" w:rsidRDefault="003C1F84" w:rsidP="003C1F84">
            <w:r w:rsidRPr="0025145C">
              <w:t>Councils adopt (</w:t>
            </w:r>
            <w:r>
              <w:t>four-</w:t>
            </w:r>
            <w:r w:rsidRPr="0025145C">
              <w:t>year) budgets</w:t>
            </w:r>
          </w:p>
        </w:tc>
        <w:tc>
          <w:tcPr>
            <w:tcW w:w="3119" w:type="dxa"/>
          </w:tcPr>
          <w:p w14:paraId="2F3843B7" w14:textId="77777777" w:rsidR="003C1F84" w:rsidRPr="0025145C" w:rsidRDefault="003C1F84" w:rsidP="003C1F84">
            <w:r w:rsidRPr="0025145C">
              <w:t>30 June</w:t>
            </w:r>
          </w:p>
        </w:tc>
      </w:tr>
      <w:tr w:rsidR="003C1F84" w:rsidRPr="0025145C" w14:paraId="75ED8365" w14:textId="77777777" w:rsidTr="003C1F84">
        <w:trPr>
          <w:cnfStyle w:val="000000010000" w:firstRow="0" w:lastRow="0" w:firstColumn="0" w:lastColumn="0" w:oddVBand="0" w:evenVBand="0" w:oddHBand="0" w:evenHBand="1" w:firstRowFirstColumn="0" w:firstRowLastColumn="0" w:lastRowFirstColumn="0" w:lastRowLastColumn="0"/>
        </w:trPr>
        <w:tc>
          <w:tcPr>
            <w:tcW w:w="5812" w:type="dxa"/>
          </w:tcPr>
          <w:p w14:paraId="098089F8" w14:textId="77777777" w:rsidR="003C1F84" w:rsidRPr="0025145C" w:rsidRDefault="003C1F84" w:rsidP="003C1F84">
            <w:r>
              <w:t>LGV provides adopted council budgets to DTF</w:t>
            </w:r>
          </w:p>
        </w:tc>
        <w:tc>
          <w:tcPr>
            <w:tcW w:w="3119" w:type="dxa"/>
          </w:tcPr>
          <w:p w14:paraId="2339A7F7" w14:textId="77777777" w:rsidR="003C1F84" w:rsidRPr="0025145C" w:rsidRDefault="003C1F84" w:rsidP="003C1F84">
            <w:r>
              <w:t>From 1 July</w:t>
            </w:r>
          </w:p>
        </w:tc>
      </w:tr>
      <w:tr w:rsidR="003C1F84" w:rsidRPr="0025145C" w14:paraId="3B4A3855" w14:textId="77777777" w:rsidTr="003C1F84">
        <w:tc>
          <w:tcPr>
            <w:tcW w:w="5812" w:type="dxa"/>
          </w:tcPr>
          <w:p w14:paraId="33D6C3A3" w14:textId="77777777" w:rsidR="003C1F84" w:rsidRPr="0025145C" w:rsidRDefault="003C1F84" w:rsidP="003C1F84">
            <w:r>
              <w:t>LGV collates individual planned council borrowings disclosed in adopted budgets to determine new and total borrowings for consideration and endorsement by the Minister for Local Government</w:t>
            </w:r>
          </w:p>
        </w:tc>
        <w:tc>
          <w:tcPr>
            <w:tcW w:w="3119" w:type="dxa"/>
          </w:tcPr>
          <w:p w14:paraId="511C0720" w14:textId="77777777" w:rsidR="003C1F84" w:rsidRPr="0025145C" w:rsidRDefault="003C1F84" w:rsidP="003C1F84">
            <w:r w:rsidRPr="0025145C">
              <w:t>July</w:t>
            </w:r>
          </w:p>
        </w:tc>
      </w:tr>
      <w:tr w:rsidR="003C1F84" w:rsidRPr="0025145C" w14:paraId="54DF0B37" w14:textId="77777777" w:rsidTr="003C1F84">
        <w:trPr>
          <w:cnfStyle w:val="000000010000" w:firstRow="0" w:lastRow="0" w:firstColumn="0" w:lastColumn="0" w:oddVBand="0" w:evenVBand="0" w:oddHBand="0" w:evenHBand="1" w:firstRowFirstColumn="0" w:firstRowLastColumn="0" w:lastRowFirstColumn="0" w:lastRowLastColumn="0"/>
        </w:trPr>
        <w:tc>
          <w:tcPr>
            <w:tcW w:w="5812" w:type="dxa"/>
          </w:tcPr>
          <w:p w14:paraId="295FE953" w14:textId="77777777" w:rsidR="003C1F84" w:rsidRPr="0025145C" w:rsidRDefault="003C1F84" w:rsidP="003C1F84">
            <w:r w:rsidRPr="0025145C">
              <w:t>Minister for Local Government notifies the Treasurer of planned council borrowings</w:t>
            </w:r>
            <w:r>
              <w:t xml:space="preserve"> for the financial year</w:t>
            </w:r>
          </w:p>
        </w:tc>
        <w:tc>
          <w:tcPr>
            <w:tcW w:w="3119" w:type="dxa"/>
          </w:tcPr>
          <w:p w14:paraId="5F86E3D3" w14:textId="77777777" w:rsidR="003C1F84" w:rsidRPr="0025145C" w:rsidRDefault="003C1F84" w:rsidP="003C1F84">
            <w:r w:rsidRPr="0025145C">
              <w:t>August</w:t>
            </w:r>
          </w:p>
        </w:tc>
      </w:tr>
      <w:tr w:rsidR="003C1F84" w:rsidRPr="0025145C" w14:paraId="3AC84416" w14:textId="77777777" w:rsidTr="003C1F84">
        <w:tc>
          <w:tcPr>
            <w:tcW w:w="5812" w:type="dxa"/>
          </w:tcPr>
          <w:p w14:paraId="0BBE1699" w14:textId="77777777" w:rsidR="003C1F84" w:rsidRPr="0025145C" w:rsidRDefault="003C1F84" w:rsidP="003C1F84">
            <w:r w:rsidRPr="0025145C">
              <w:t>DTF credit assessment</w:t>
            </w:r>
            <w:r>
              <w:t>/reassessment</w:t>
            </w:r>
            <w:r w:rsidRPr="0025145C">
              <w:t xml:space="preserve"> and loan recommendation process</w:t>
            </w:r>
          </w:p>
        </w:tc>
        <w:tc>
          <w:tcPr>
            <w:tcW w:w="3119" w:type="dxa"/>
          </w:tcPr>
          <w:p w14:paraId="1675A85A" w14:textId="77777777" w:rsidR="003C1F84" w:rsidRPr="0025145C" w:rsidRDefault="003C1F84" w:rsidP="003C1F84">
            <w:r w:rsidRPr="0025145C">
              <w:t>September / October</w:t>
            </w:r>
          </w:p>
        </w:tc>
      </w:tr>
      <w:tr w:rsidR="003C1F84" w:rsidRPr="0025145C" w14:paraId="50A284B3" w14:textId="77777777" w:rsidTr="003C1F84">
        <w:trPr>
          <w:cnfStyle w:val="000000010000" w:firstRow="0" w:lastRow="0" w:firstColumn="0" w:lastColumn="0" w:oddVBand="0" w:evenVBand="0" w:oddHBand="0" w:evenHBand="1" w:firstRowFirstColumn="0" w:firstRowLastColumn="0" w:lastRowFirstColumn="0" w:lastRowLastColumn="0"/>
        </w:trPr>
        <w:tc>
          <w:tcPr>
            <w:tcW w:w="5812" w:type="dxa"/>
          </w:tcPr>
          <w:p w14:paraId="2FE8CD18" w14:textId="77777777" w:rsidR="003C1F84" w:rsidRPr="0025145C" w:rsidRDefault="003C1F84" w:rsidP="003C1F84">
            <w:r w:rsidRPr="0025145C">
              <w:t xml:space="preserve">Treasurer approves </w:t>
            </w:r>
            <w:r>
              <w:t xml:space="preserve">initial and updated TCV </w:t>
            </w:r>
            <w:r w:rsidRPr="0025145C">
              <w:t>borrowing limit</w:t>
            </w:r>
            <w:r>
              <w:t>s</w:t>
            </w:r>
            <w:r w:rsidRPr="0025145C">
              <w:t xml:space="preserve">  </w:t>
            </w:r>
          </w:p>
        </w:tc>
        <w:tc>
          <w:tcPr>
            <w:tcW w:w="3119" w:type="dxa"/>
          </w:tcPr>
          <w:p w14:paraId="1110E80A" w14:textId="77777777" w:rsidR="003C1F84" w:rsidRPr="0025145C" w:rsidDel="00CA76B0" w:rsidRDefault="003C1F84" w:rsidP="003C1F84">
            <w:r w:rsidRPr="0025145C">
              <w:t>October</w:t>
            </w:r>
          </w:p>
        </w:tc>
      </w:tr>
      <w:tr w:rsidR="003C1F84" w:rsidRPr="0025145C" w14:paraId="366EC3CA" w14:textId="77777777" w:rsidTr="003C1F84">
        <w:tc>
          <w:tcPr>
            <w:tcW w:w="5812" w:type="dxa"/>
          </w:tcPr>
          <w:p w14:paraId="05C9A24B" w14:textId="77777777" w:rsidR="003C1F84" w:rsidRDefault="003C1F84" w:rsidP="003C1F84">
            <w:r>
              <w:t>TCV</w:t>
            </w:r>
            <w:r w:rsidRPr="0025145C">
              <w:t xml:space="preserve"> writes to each council confirming individual</w:t>
            </w:r>
            <w:r>
              <w:t xml:space="preserve"> initial or updated</w:t>
            </w:r>
            <w:r w:rsidRPr="0025145C">
              <w:t xml:space="preserve"> </w:t>
            </w:r>
            <w:r>
              <w:t xml:space="preserve">TCV </w:t>
            </w:r>
            <w:r w:rsidRPr="0025145C">
              <w:t>borrowing limits</w:t>
            </w:r>
          </w:p>
          <w:p w14:paraId="2363D3DD" w14:textId="77777777" w:rsidR="003C1F84" w:rsidRPr="0025145C" w:rsidRDefault="003C1F84" w:rsidP="003C1F84">
            <w:r>
              <w:t>If the initial TCV borrowing limit, council approaches TCV for loan</w:t>
            </w:r>
          </w:p>
        </w:tc>
        <w:tc>
          <w:tcPr>
            <w:tcW w:w="3119" w:type="dxa"/>
          </w:tcPr>
          <w:p w14:paraId="47C39D1A" w14:textId="77777777" w:rsidR="003C1F84" w:rsidRPr="0025145C" w:rsidRDefault="003C1F84" w:rsidP="003C1F84">
            <w:r w:rsidRPr="0025145C">
              <w:t>November</w:t>
            </w:r>
          </w:p>
        </w:tc>
      </w:tr>
      <w:tr w:rsidR="003C1F84" w:rsidRPr="0025145C" w14:paraId="2D1860DD" w14:textId="77777777" w:rsidTr="003C1F84">
        <w:trPr>
          <w:cnfStyle w:val="000000010000" w:firstRow="0" w:lastRow="0" w:firstColumn="0" w:lastColumn="0" w:oddVBand="0" w:evenVBand="0" w:oddHBand="0" w:evenHBand="1" w:firstRowFirstColumn="0" w:firstRowLastColumn="0" w:lastRowFirstColumn="0" w:lastRowLastColumn="0"/>
        </w:trPr>
        <w:tc>
          <w:tcPr>
            <w:tcW w:w="5812" w:type="dxa"/>
          </w:tcPr>
          <w:p w14:paraId="5259F1F3" w14:textId="77777777" w:rsidR="003C1F84" w:rsidRPr="0025145C" w:rsidRDefault="003C1F84" w:rsidP="003C1F84">
            <w:r w:rsidRPr="0025145C">
              <w:t xml:space="preserve">TCV loan agreement execution </w:t>
            </w:r>
            <w:r>
              <w:t xml:space="preserve">and account onboarding </w:t>
            </w:r>
            <w:r w:rsidRPr="0025145C">
              <w:t>process</w:t>
            </w:r>
          </w:p>
        </w:tc>
        <w:tc>
          <w:tcPr>
            <w:tcW w:w="3119" w:type="dxa"/>
          </w:tcPr>
          <w:p w14:paraId="5FA3E1C0" w14:textId="77777777" w:rsidR="003C1F84" w:rsidRPr="0025145C" w:rsidRDefault="003C1F84" w:rsidP="003C1F84">
            <w:r w:rsidRPr="0025145C">
              <w:t>As required</w:t>
            </w:r>
          </w:p>
        </w:tc>
      </w:tr>
    </w:tbl>
    <w:p w14:paraId="210CF891" w14:textId="77777777" w:rsidR="00EC3A39" w:rsidRPr="00DB0DED" w:rsidRDefault="00EC3A39" w:rsidP="00EC3A39"/>
    <w:p w14:paraId="09A89C8F" w14:textId="77777777" w:rsidR="00EC3A39" w:rsidRPr="00DB0DED" w:rsidRDefault="00EC3A39" w:rsidP="00EC3A39">
      <w:pPr>
        <w:pStyle w:val="Heading1"/>
      </w:pPr>
      <w:bookmarkStart w:id="44" w:name="_Toc79755056"/>
      <w:bookmarkStart w:id="45" w:name="_Toc135819864"/>
      <w:bookmarkStart w:id="46" w:name="_Toc138251055"/>
      <w:r>
        <w:lastRenderedPageBreak/>
        <w:t>Eligibility</w:t>
      </w:r>
      <w:bookmarkEnd w:id="44"/>
      <w:bookmarkEnd w:id="45"/>
      <w:bookmarkEnd w:id="46"/>
    </w:p>
    <w:p w14:paraId="248AD12C" w14:textId="77777777" w:rsidR="00EC3A39" w:rsidRPr="00DF33CA" w:rsidRDefault="00EC3A39" w:rsidP="00EC3A39">
      <w:pPr>
        <w:pStyle w:val="Heading2"/>
        <w:rPr>
          <w:color w:val="00B0F0"/>
        </w:rPr>
      </w:pPr>
      <w:bookmarkStart w:id="47" w:name="_Toc79755057"/>
      <w:bookmarkStart w:id="48" w:name="_Toc135819865"/>
      <w:bookmarkStart w:id="49" w:name="_Toc138251056"/>
      <w:r w:rsidRPr="712ED00F">
        <w:rPr>
          <w:color w:val="00B0F0"/>
        </w:rPr>
        <w:t>What entities are eligible under the framework?</w:t>
      </w:r>
      <w:bookmarkEnd w:id="47"/>
      <w:bookmarkEnd w:id="48"/>
      <w:bookmarkEnd w:id="49"/>
    </w:p>
    <w:p w14:paraId="7C8759CD" w14:textId="77777777" w:rsidR="00EC3A39" w:rsidRDefault="00EC3A39" w:rsidP="00EC3A39">
      <w:r>
        <w:t xml:space="preserve">Only Victorian councils are eligible to access TCV loans under the framework. </w:t>
      </w:r>
    </w:p>
    <w:p w14:paraId="6F8CFEFD" w14:textId="77777777" w:rsidR="00EC3A39" w:rsidRPr="00DF33CA" w:rsidRDefault="00EC3A39" w:rsidP="00EC3A39">
      <w:pPr>
        <w:pStyle w:val="Heading2"/>
        <w:rPr>
          <w:color w:val="00B0F0"/>
        </w:rPr>
      </w:pPr>
      <w:bookmarkStart w:id="50" w:name="_Toc79755058"/>
      <w:bookmarkStart w:id="51" w:name="_Toc135819866"/>
      <w:bookmarkStart w:id="52" w:name="_Toc138251057"/>
      <w:r w:rsidRPr="712ED00F">
        <w:rPr>
          <w:color w:val="00B0F0"/>
        </w:rPr>
        <w:t>What can the loans be used for?</w:t>
      </w:r>
      <w:bookmarkEnd w:id="50"/>
      <w:bookmarkEnd w:id="51"/>
      <w:bookmarkEnd w:id="52"/>
    </w:p>
    <w:p w14:paraId="0F1F10F2" w14:textId="77777777" w:rsidR="00EC3A39" w:rsidRDefault="00EC3A39" w:rsidP="00EC3A39">
      <w:r>
        <w:t xml:space="preserve">The framework provides Victorian councils with access to TCV loans to fund infrastructure and general working capital requirements. </w:t>
      </w:r>
    </w:p>
    <w:p w14:paraId="35D9D015" w14:textId="77777777" w:rsidR="00EC3A39" w:rsidRDefault="00EC3A39" w:rsidP="00EC3A39">
      <w:r>
        <w:t>Councils must ensure compliance with all relevant legislation in making application for such funds. Access to these funds is not limited to works of a specific nature as may be the case in other programs offered by the Victorian Government.</w:t>
      </w:r>
    </w:p>
    <w:p w14:paraId="00108A01" w14:textId="77777777" w:rsidR="00EC3A39" w:rsidRPr="00DF33CA" w:rsidRDefault="00EC3A39" w:rsidP="00EC3A39">
      <w:pPr>
        <w:pStyle w:val="Heading2"/>
        <w:rPr>
          <w:color w:val="00B0F0"/>
        </w:rPr>
      </w:pPr>
      <w:bookmarkStart w:id="53" w:name="_Toc79755059"/>
      <w:bookmarkStart w:id="54" w:name="_Toc135819867"/>
      <w:bookmarkStart w:id="55" w:name="_Toc138251058"/>
      <w:r w:rsidRPr="712ED00F">
        <w:rPr>
          <w:color w:val="00B0F0"/>
        </w:rPr>
        <w:t>What can the loans not be used for?</w:t>
      </w:r>
      <w:bookmarkEnd w:id="53"/>
      <w:bookmarkEnd w:id="54"/>
      <w:bookmarkEnd w:id="55"/>
    </w:p>
    <w:p w14:paraId="158AE9B6" w14:textId="3DAADF8C" w:rsidR="00EC3A39" w:rsidRPr="001858BB" w:rsidRDefault="00EC3A39" w:rsidP="00EC3A39">
      <w:pPr>
        <w:rPr>
          <w:rFonts w:cstheme="minorHAnsi"/>
          <w:szCs w:val="18"/>
        </w:rPr>
      </w:pPr>
      <w:r w:rsidRPr="001858BB">
        <w:rPr>
          <w:rFonts w:cstheme="minorHAnsi"/>
          <w:szCs w:val="18"/>
        </w:rPr>
        <w:t>While TCV loans under the framework are for general purposes</w:t>
      </w:r>
      <w:r w:rsidR="00D916B7">
        <w:rPr>
          <w:rFonts w:cstheme="minorHAnsi"/>
          <w:szCs w:val="18"/>
        </w:rPr>
        <w:t>,</w:t>
      </w:r>
      <w:r w:rsidRPr="001858BB">
        <w:rPr>
          <w:rFonts w:cstheme="minorHAnsi"/>
          <w:szCs w:val="18"/>
        </w:rPr>
        <w:t xml:space="preserve"> there are limitations on what the loans can be used for. Proposed borrowings that will not be supported under the framework include, but are not limited to: </w:t>
      </w:r>
    </w:p>
    <w:p w14:paraId="0D349814" w14:textId="77777777" w:rsidR="00EC3A39" w:rsidRPr="00DF33CA" w:rsidRDefault="00EC3A39" w:rsidP="00EC3A39">
      <w:pPr>
        <w:pStyle w:val="Bullet1"/>
        <w:rPr>
          <w:rFonts w:cstheme="minorHAnsi"/>
          <w:i/>
          <w:iCs/>
          <w:color w:val="auto"/>
        </w:rPr>
      </w:pPr>
      <w:r w:rsidRPr="00DF33CA">
        <w:rPr>
          <w:rFonts w:cstheme="minorBidi"/>
          <w:i/>
          <w:color w:val="auto"/>
        </w:rPr>
        <w:t>applications to refinance an existing loan or borrowings prior to their current contractual repayment date, but these loans can be refinanced once they reach contractual maturity</w:t>
      </w:r>
    </w:p>
    <w:p w14:paraId="35BAF7CC" w14:textId="77777777" w:rsidR="00EC3A39" w:rsidRPr="00DF33CA" w:rsidRDefault="00EC3A39" w:rsidP="00EC3A39">
      <w:pPr>
        <w:pStyle w:val="Bullet1"/>
        <w:rPr>
          <w:rFonts w:cstheme="minorHAnsi"/>
          <w:i/>
          <w:iCs/>
          <w:color w:val="auto"/>
        </w:rPr>
      </w:pPr>
      <w:r w:rsidRPr="00DF33CA">
        <w:rPr>
          <w:rFonts w:cstheme="minorBidi"/>
          <w:i/>
          <w:color w:val="auto"/>
        </w:rPr>
        <w:t>investment in financial assets.</w:t>
      </w:r>
    </w:p>
    <w:p w14:paraId="60C12E29" w14:textId="77777777" w:rsidR="00EC3A39" w:rsidRPr="0042281C" w:rsidRDefault="00EC3A39" w:rsidP="00EC3A39"/>
    <w:p w14:paraId="6E14B57B" w14:textId="77777777" w:rsidR="00EC3A39" w:rsidRDefault="00EC3A39" w:rsidP="00EC3A39">
      <w:bookmarkStart w:id="56" w:name="_Toc314822267"/>
    </w:p>
    <w:p w14:paraId="2B8320AD" w14:textId="77777777" w:rsidR="00EC3A39" w:rsidRDefault="00EC3A39" w:rsidP="00EC3A39"/>
    <w:p w14:paraId="60896363" w14:textId="77777777" w:rsidR="00EC3A39" w:rsidRPr="00DB0DED" w:rsidRDefault="00EC3A39" w:rsidP="00EC3A39">
      <w:pPr>
        <w:pStyle w:val="Heading1"/>
      </w:pPr>
      <w:bookmarkStart w:id="57" w:name="_Toc79755060"/>
      <w:bookmarkStart w:id="58" w:name="_Toc135819868"/>
      <w:bookmarkStart w:id="59" w:name="_Toc138251059"/>
      <w:r>
        <w:lastRenderedPageBreak/>
        <w:t>Loan process</w:t>
      </w:r>
      <w:bookmarkEnd w:id="57"/>
      <w:bookmarkEnd w:id="58"/>
      <w:bookmarkEnd w:id="59"/>
    </w:p>
    <w:p w14:paraId="11B6C54E" w14:textId="77777777" w:rsidR="00EC3A39" w:rsidRPr="00DF33CA" w:rsidRDefault="00EC3A39" w:rsidP="00EC3A39">
      <w:pPr>
        <w:pStyle w:val="Heading2"/>
        <w:rPr>
          <w:color w:val="00B0F0"/>
        </w:rPr>
      </w:pPr>
      <w:bookmarkStart w:id="60" w:name="_Toc79755061"/>
      <w:bookmarkStart w:id="61" w:name="_Toc135819869"/>
      <w:bookmarkStart w:id="62" w:name="_Toc138251060"/>
      <w:r w:rsidRPr="712ED00F">
        <w:rPr>
          <w:color w:val="00B0F0"/>
        </w:rPr>
        <w:t>DTF credit assessment</w:t>
      </w:r>
      <w:bookmarkEnd w:id="60"/>
      <w:bookmarkEnd w:id="61"/>
      <w:bookmarkEnd w:id="62"/>
    </w:p>
    <w:p w14:paraId="2BBBE9E0" w14:textId="77777777" w:rsidR="00EC3A39" w:rsidRDefault="00EC3A39" w:rsidP="00EC3A39">
      <w:r>
        <w:t xml:space="preserve">DTF will undertake a credit assessment to ensure that councils meet the minimum requirements and other loan conditions for their planned borrowings. </w:t>
      </w:r>
    </w:p>
    <w:p w14:paraId="6307F41D" w14:textId="77777777" w:rsidR="00EC3A39" w:rsidRDefault="00EC3A39" w:rsidP="00EC3A39">
      <w:pPr>
        <w:pStyle w:val="Heading3"/>
      </w:pPr>
      <w:bookmarkStart w:id="63" w:name="_Toc79755062"/>
      <w:r>
        <w:t>Supporting documentation</w:t>
      </w:r>
      <w:bookmarkEnd w:id="63"/>
    </w:p>
    <w:p w14:paraId="432CF026" w14:textId="7C440B00" w:rsidR="00EC3A39" w:rsidRPr="004F5C49" w:rsidRDefault="00EC3A39" w:rsidP="245AE7BB">
      <w:pPr>
        <w:rPr>
          <w:rFonts w:cstheme="minorBidi"/>
        </w:rPr>
      </w:pPr>
      <w:r w:rsidRPr="245AE7BB">
        <w:rPr>
          <w:rFonts w:cstheme="minorBidi"/>
        </w:rPr>
        <w:t xml:space="preserve">The following table outlines documentation that will be required to demonstrate financial viability and capacity to repay </w:t>
      </w:r>
      <w:r w:rsidR="357CFB20" w:rsidRPr="245AE7BB">
        <w:rPr>
          <w:rFonts w:cstheme="minorBidi"/>
        </w:rPr>
        <w:t>borrowings</w:t>
      </w:r>
      <w:r w:rsidRPr="245AE7BB">
        <w:rPr>
          <w:rFonts w:cstheme="minorBidi"/>
        </w:rPr>
        <w:t>. In some instances, there may be a requirement that further documentation is supplied.</w:t>
      </w:r>
    </w:p>
    <w:tbl>
      <w:tblPr>
        <w:tblStyle w:val="DTFtexttable"/>
        <w:tblW w:w="0" w:type="auto"/>
        <w:tblLook w:val="0420" w:firstRow="1" w:lastRow="0" w:firstColumn="0" w:lastColumn="0" w:noHBand="0" w:noVBand="1"/>
      </w:tblPr>
      <w:tblGrid>
        <w:gridCol w:w="7655"/>
        <w:gridCol w:w="1366"/>
      </w:tblGrid>
      <w:tr w:rsidR="00EC3A39" w:rsidRPr="004F5C49" w14:paraId="2E8C08A3" w14:textId="77777777" w:rsidTr="59A38EB4">
        <w:trPr>
          <w:cnfStyle w:val="100000000000" w:firstRow="1" w:lastRow="0" w:firstColumn="0" w:lastColumn="0" w:oddVBand="0" w:evenVBand="0" w:oddHBand="0" w:evenHBand="0" w:firstRowFirstColumn="0" w:firstRowLastColumn="0" w:lastRowFirstColumn="0" w:lastRowLastColumn="0"/>
        </w:trPr>
        <w:tc>
          <w:tcPr>
            <w:tcW w:w="9021" w:type="dxa"/>
            <w:gridSpan w:val="2"/>
          </w:tcPr>
          <w:p w14:paraId="2E05C60F" w14:textId="77777777" w:rsidR="00EC3A39" w:rsidRPr="004F5C49" w:rsidRDefault="00EC3A39">
            <w:pPr>
              <w:rPr>
                <w:rFonts w:cstheme="minorHAnsi"/>
                <w:szCs w:val="18"/>
              </w:rPr>
            </w:pPr>
            <w:r w:rsidRPr="004F5C49">
              <w:rPr>
                <w:rFonts w:cstheme="minorHAnsi"/>
                <w:szCs w:val="18"/>
              </w:rPr>
              <w:t>Financial supporting documentation</w:t>
            </w:r>
          </w:p>
        </w:tc>
      </w:tr>
      <w:tr w:rsidR="00EC3A39" w:rsidRPr="004F5C49" w14:paraId="66536140" w14:textId="77777777" w:rsidTr="59A38EB4">
        <w:tc>
          <w:tcPr>
            <w:tcW w:w="7655" w:type="dxa"/>
          </w:tcPr>
          <w:p w14:paraId="4D34313A" w14:textId="5966FCE1" w:rsidR="00EC3A39" w:rsidRPr="004F5C49" w:rsidRDefault="00EC3A39">
            <w:pPr>
              <w:rPr>
                <w:rFonts w:cstheme="minorHAnsi"/>
                <w:szCs w:val="18"/>
              </w:rPr>
            </w:pPr>
            <w:r w:rsidRPr="004F5C49">
              <w:rPr>
                <w:rFonts w:cstheme="minorHAnsi"/>
                <w:b/>
                <w:bCs/>
                <w:szCs w:val="18"/>
              </w:rPr>
              <w:t>Financial Statements</w:t>
            </w:r>
            <w:r w:rsidRPr="004F5C49">
              <w:rPr>
                <w:rFonts w:cstheme="minorHAnsi"/>
                <w:szCs w:val="18"/>
              </w:rPr>
              <w:t xml:space="preserve"> </w:t>
            </w:r>
            <w:r w:rsidRPr="004F5C49">
              <w:rPr>
                <w:rFonts w:cstheme="minorHAnsi"/>
                <w:szCs w:val="18"/>
              </w:rPr>
              <w:br/>
              <w:t>(Audited for the previous three years, and projected and approved by the council for the next four years):</w:t>
            </w:r>
          </w:p>
          <w:p w14:paraId="66515A01" w14:textId="77777777" w:rsidR="00EC3A39" w:rsidRPr="00DF33CA" w:rsidRDefault="00EC3A39">
            <w:pPr>
              <w:pStyle w:val="Bullet1"/>
              <w:rPr>
                <w:rFonts w:cstheme="minorHAnsi"/>
                <w:i/>
                <w:iCs/>
                <w:color w:val="auto"/>
                <w:sz w:val="20"/>
                <w:szCs w:val="20"/>
              </w:rPr>
            </w:pPr>
            <w:r w:rsidRPr="00DF33CA">
              <w:rPr>
                <w:rFonts w:cstheme="minorBidi"/>
                <w:i/>
                <w:color w:val="auto"/>
                <w:sz w:val="20"/>
                <w:szCs w:val="20"/>
              </w:rPr>
              <w:t>Comprehensive income statement</w:t>
            </w:r>
          </w:p>
          <w:p w14:paraId="59F6D3B2" w14:textId="77777777" w:rsidR="00EC3A39" w:rsidRPr="00DF33CA" w:rsidRDefault="00EC3A39">
            <w:pPr>
              <w:pStyle w:val="Bullet1"/>
              <w:rPr>
                <w:rFonts w:cstheme="minorHAnsi"/>
                <w:i/>
                <w:iCs/>
                <w:color w:val="auto"/>
                <w:sz w:val="20"/>
                <w:szCs w:val="20"/>
              </w:rPr>
            </w:pPr>
            <w:r w:rsidRPr="00DF33CA">
              <w:rPr>
                <w:rFonts w:cstheme="minorBidi"/>
                <w:i/>
                <w:color w:val="auto"/>
                <w:sz w:val="20"/>
                <w:szCs w:val="20"/>
              </w:rPr>
              <w:t>Balance sheet</w:t>
            </w:r>
          </w:p>
          <w:p w14:paraId="1E98E402" w14:textId="77777777" w:rsidR="00EC3A39" w:rsidRPr="00DF33CA" w:rsidRDefault="00EC3A39">
            <w:pPr>
              <w:pStyle w:val="Bullet1"/>
              <w:rPr>
                <w:rFonts w:cstheme="minorHAnsi"/>
                <w:sz w:val="18"/>
                <w:szCs w:val="18"/>
              </w:rPr>
            </w:pPr>
            <w:r w:rsidRPr="00DF33CA">
              <w:rPr>
                <w:rFonts w:cstheme="minorHAnsi"/>
                <w:i/>
                <w:iCs/>
                <w:color w:val="auto"/>
                <w:sz w:val="20"/>
                <w:szCs w:val="20"/>
              </w:rPr>
              <w:t>Cash flow statement</w:t>
            </w:r>
          </w:p>
          <w:p w14:paraId="6D242CC0" w14:textId="15DFCF09" w:rsidR="00232AA7" w:rsidRPr="004F5C49" w:rsidRDefault="696C1F2C">
            <w:pPr>
              <w:pStyle w:val="Bullet1"/>
              <w:rPr>
                <w:rFonts w:cstheme="minorHAnsi"/>
                <w:sz w:val="18"/>
                <w:szCs w:val="18"/>
              </w:rPr>
            </w:pPr>
            <w:r w:rsidRPr="59A38EB4">
              <w:rPr>
                <w:rFonts w:cstheme="minorBidi"/>
                <w:i/>
                <w:iCs/>
                <w:sz w:val="18"/>
                <w:szCs w:val="18"/>
              </w:rPr>
              <w:t>Borrowing table 4.2.3 (from the Model Budget)</w:t>
            </w:r>
          </w:p>
        </w:tc>
        <w:tc>
          <w:tcPr>
            <w:tcW w:w="1366" w:type="dxa"/>
          </w:tcPr>
          <w:p w14:paraId="1FD5C0D5" w14:textId="77777777" w:rsidR="00EC3A39" w:rsidRPr="004F5C49" w:rsidRDefault="00EC3A39">
            <w:pPr>
              <w:rPr>
                <w:rFonts w:cstheme="minorHAnsi"/>
                <w:szCs w:val="18"/>
              </w:rPr>
            </w:pPr>
            <w:r w:rsidRPr="004F5C49">
              <w:rPr>
                <w:rFonts w:cstheme="minorHAnsi"/>
                <w:szCs w:val="18"/>
              </w:rPr>
              <w:br/>
            </w:r>
          </w:p>
        </w:tc>
      </w:tr>
    </w:tbl>
    <w:p w14:paraId="27C6C518" w14:textId="5F002392" w:rsidR="00EC3A39" w:rsidRPr="004F5C49" w:rsidRDefault="00EC3A39" w:rsidP="245AE7BB">
      <w:pPr>
        <w:rPr>
          <w:rFonts w:cstheme="minorBidi"/>
        </w:rPr>
      </w:pPr>
      <w:r w:rsidRPr="245AE7BB">
        <w:rPr>
          <w:rFonts w:cstheme="minorBidi"/>
        </w:rPr>
        <w:t xml:space="preserve">Should the council meet the credit assessment criteria and requirements, DTF will seek the Treasurer’s approval for the </w:t>
      </w:r>
      <w:r w:rsidR="0A079B67" w:rsidRPr="245AE7BB">
        <w:rPr>
          <w:rFonts w:cstheme="minorBidi"/>
        </w:rPr>
        <w:t>borrowing limit</w:t>
      </w:r>
      <w:r w:rsidRPr="245AE7BB">
        <w:rPr>
          <w:rFonts w:cstheme="minorBidi"/>
        </w:rPr>
        <w:t>.</w:t>
      </w:r>
      <w:r>
        <w:t xml:space="preserve"> </w:t>
      </w:r>
    </w:p>
    <w:p w14:paraId="2AABE8DD" w14:textId="7AE2B77E" w:rsidR="00987503" w:rsidRDefault="00C77E99" w:rsidP="00987503">
      <w:pPr>
        <w:pStyle w:val="Heading3"/>
      </w:pPr>
      <w:r>
        <w:t>Financial</w:t>
      </w:r>
      <w:r w:rsidR="00987503">
        <w:t xml:space="preserve"> </w:t>
      </w:r>
      <w:r w:rsidR="005A11C5">
        <w:t>Covenants</w:t>
      </w:r>
    </w:p>
    <w:p w14:paraId="0F83F254" w14:textId="2A164E0C" w:rsidR="00EC3A39" w:rsidRPr="004F5C49" w:rsidRDefault="00EC3A39" w:rsidP="00EC3A39">
      <w:pPr>
        <w:rPr>
          <w:rFonts w:cstheme="minorBidi"/>
        </w:rPr>
      </w:pPr>
      <w:r w:rsidRPr="645F3C79">
        <w:rPr>
          <w:rFonts w:cstheme="minorBidi"/>
        </w:rPr>
        <w:t xml:space="preserve">The following financial ratio criteria </w:t>
      </w:r>
      <w:r w:rsidR="610E8161" w:rsidRPr="3FC0CA3C">
        <w:rPr>
          <w:rFonts w:cstheme="minorBidi"/>
        </w:rPr>
        <w:t>must</w:t>
      </w:r>
      <w:r w:rsidRPr="645F3C79">
        <w:rPr>
          <w:rFonts w:cstheme="minorBidi"/>
        </w:rPr>
        <w:t xml:space="preserve"> be satisfied by councils</w:t>
      </w:r>
      <w:r w:rsidR="1DBFC995" w:rsidRPr="645F3C79">
        <w:rPr>
          <w:rFonts w:cstheme="minorBidi"/>
        </w:rPr>
        <w:t xml:space="preserve"> </w:t>
      </w:r>
      <w:r w:rsidR="1DBFC995" w:rsidRPr="05C341D1">
        <w:rPr>
          <w:rFonts w:cstheme="minorBidi"/>
        </w:rPr>
        <w:t xml:space="preserve">over </w:t>
      </w:r>
      <w:r w:rsidR="1DBFC995" w:rsidRPr="42F76EDF">
        <w:rPr>
          <w:rFonts w:cstheme="minorBidi"/>
        </w:rPr>
        <w:t xml:space="preserve">the </w:t>
      </w:r>
      <w:r w:rsidR="79A962A6" w:rsidRPr="285F03F0">
        <w:rPr>
          <w:rFonts w:cstheme="minorBidi"/>
        </w:rPr>
        <w:t>prior three years to the budget year</w:t>
      </w:r>
      <w:r w:rsidR="79A962A6" w:rsidRPr="1F0CBFD9">
        <w:rPr>
          <w:rFonts w:cstheme="minorBidi"/>
        </w:rPr>
        <w:t>,</w:t>
      </w:r>
      <w:r w:rsidR="79A962A6" w:rsidRPr="285F03F0">
        <w:rPr>
          <w:rFonts w:cstheme="minorBidi"/>
        </w:rPr>
        <w:t xml:space="preserve"> </w:t>
      </w:r>
      <w:r w:rsidR="79A962A6" w:rsidRPr="315C7707">
        <w:rPr>
          <w:rFonts w:cstheme="minorBidi"/>
        </w:rPr>
        <w:t>the budget year</w:t>
      </w:r>
      <w:r w:rsidR="79A962A6" w:rsidRPr="178AD189">
        <w:rPr>
          <w:rFonts w:cstheme="minorBidi"/>
        </w:rPr>
        <w:t>,</w:t>
      </w:r>
      <w:r w:rsidR="79A962A6" w:rsidRPr="315C7707">
        <w:rPr>
          <w:rFonts w:cstheme="minorBidi"/>
        </w:rPr>
        <w:t xml:space="preserve"> </w:t>
      </w:r>
      <w:r w:rsidR="79A962A6" w:rsidRPr="384D870D">
        <w:rPr>
          <w:rFonts w:cstheme="minorBidi"/>
        </w:rPr>
        <w:t xml:space="preserve">and </w:t>
      </w:r>
      <w:r w:rsidR="532206DF" w:rsidRPr="77D30E1B">
        <w:rPr>
          <w:rFonts w:cstheme="minorBidi"/>
        </w:rPr>
        <w:t>subsequent</w:t>
      </w:r>
      <w:r w:rsidR="642C4F4A" w:rsidRPr="28E7C2DE">
        <w:rPr>
          <w:rFonts w:cstheme="minorBidi"/>
        </w:rPr>
        <w:t xml:space="preserve"> three </w:t>
      </w:r>
      <w:r w:rsidR="30A954F3" w:rsidRPr="46086B13">
        <w:rPr>
          <w:rFonts w:cstheme="minorBidi"/>
        </w:rPr>
        <w:t xml:space="preserve">projected </w:t>
      </w:r>
      <w:r w:rsidR="1DBFC995" w:rsidRPr="3B7C70FB">
        <w:rPr>
          <w:rFonts w:cstheme="minorBidi"/>
        </w:rPr>
        <w:t>financial</w:t>
      </w:r>
      <w:r w:rsidR="73724D77" w:rsidRPr="3B7C70FB">
        <w:rPr>
          <w:rFonts w:cstheme="minorBidi"/>
        </w:rPr>
        <w:t xml:space="preserve"> years</w:t>
      </w:r>
      <w:r w:rsidRPr="645F3C79">
        <w:rPr>
          <w:rFonts w:cstheme="minorBidi"/>
        </w:rPr>
        <w:t xml:space="preserve"> </w:t>
      </w:r>
    </w:p>
    <w:p w14:paraId="53F4345D" w14:textId="77777777" w:rsidR="00EC3A39" w:rsidRPr="00DF33CA" w:rsidRDefault="0AFA450E" w:rsidP="00EC3A39">
      <w:pPr>
        <w:pStyle w:val="Bullet1"/>
        <w:rPr>
          <w:rFonts w:cstheme="minorHAnsi"/>
          <w:i/>
          <w:iCs/>
          <w:color w:val="auto"/>
        </w:rPr>
      </w:pPr>
      <w:r w:rsidRPr="00DF33CA">
        <w:rPr>
          <w:rFonts w:cstheme="minorBidi"/>
          <w:i/>
          <w:iCs/>
          <w:color w:val="auto"/>
        </w:rPr>
        <w:t>Interest Cover Ratio not to be less than 2:1</w:t>
      </w:r>
    </w:p>
    <w:p w14:paraId="5A89C84C" w14:textId="77777777" w:rsidR="00EC3A39" w:rsidRPr="00DF33CA" w:rsidRDefault="00EC3A39" w:rsidP="00EC3A39">
      <w:pPr>
        <w:pStyle w:val="Bullet2"/>
        <w:rPr>
          <w:rFonts w:cstheme="minorHAnsi"/>
          <w:i/>
          <w:iCs/>
          <w:color w:val="auto"/>
        </w:rPr>
      </w:pPr>
      <w:r w:rsidRPr="00DF33CA">
        <w:rPr>
          <w:rFonts w:cstheme="minorHAnsi"/>
          <w:i/>
          <w:iCs/>
          <w:color w:val="auto"/>
        </w:rPr>
        <w:t>Interest Cover Ratio = EBITDA: Interest Expenses</w:t>
      </w:r>
    </w:p>
    <w:p w14:paraId="72D5F6C1" w14:textId="61DD6D53" w:rsidR="00EC3A39" w:rsidRPr="00DF33CA" w:rsidRDefault="0AFA450E" w:rsidP="00EC3A39">
      <w:pPr>
        <w:pStyle w:val="Bullet1"/>
        <w:rPr>
          <w:rFonts w:cstheme="minorBidi"/>
          <w:i/>
          <w:color w:val="auto"/>
        </w:rPr>
      </w:pPr>
      <w:r w:rsidRPr="00DF33CA">
        <w:rPr>
          <w:rFonts w:cstheme="minorBidi"/>
          <w:i/>
          <w:iCs/>
          <w:color w:val="auto"/>
        </w:rPr>
        <w:t>Interest bearing loans</w:t>
      </w:r>
      <w:r w:rsidR="2A9B38B2" w:rsidRPr="4CC5AA41">
        <w:rPr>
          <w:rFonts w:cstheme="minorBidi"/>
          <w:i/>
          <w:iCs/>
          <w:color w:val="auto"/>
        </w:rPr>
        <w:t>, leases</w:t>
      </w:r>
      <w:r w:rsidRPr="00DF33CA">
        <w:rPr>
          <w:rFonts w:cstheme="minorBidi"/>
          <w:i/>
          <w:iCs/>
          <w:color w:val="auto"/>
        </w:rPr>
        <w:t xml:space="preserve"> and borrowings not exceeding 60 per cent of own source revenue (interest</w:t>
      </w:r>
      <w:r w:rsidRPr="00DF33CA">
        <w:rPr>
          <w:rFonts w:cstheme="minorBidi" w:hint="eastAsia"/>
          <w:i/>
          <w:iCs/>
          <w:color w:val="auto"/>
        </w:rPr>
        <w:t> </w:t>
      </w:r>
      <w:r w:rsidRPr="00DF33CA">
        <w:rPr>
          <w:rFonts w:cstheme="minorBidi"/>
          <w:i/>
          <w:iCs/>
          <w:color w:val="auto"/>
        </w:rPr>
        <w:t xml:space="preserve">bearing liabilities / own source revenue). </w:t>
      </w:r>
    </w:p>
    <w:p w14:paraId="297A9817" w14:textId="4EC6F280" w:rsidR="00842E70" w:rsidRPr="00842E70" w:rsidRDefault="00842E70" w:rsidP="245AE7BB">
      <w:pPr>
        <w:spacing w:before="360" w:after="240" w:line="300" w:lineRule="exact"/>
        <w:ind w:right="1134"/>
        <w:outlineLvl w:val="2"/>
        <w:rPr>
          <w:rFonts w:asciiTheme="majorHAnsi" w:hAnsiTheme="majorHAnsi"/>
          <w:b/>
          <w:bCs/>
          <w:color w:val="003A5E" w:themeColor="accent2" w:themeShade="80"/>
          <w:sz w:val="26"/>
          <w:szCs w:val="26"/>
        </w:rPr>
      </w:pPr>
      <w:r w:rsidRPr="245AE7BB">
        <w:rPr>
          <w:rFonts w:asciiTheme="majorHAnsi" w:hAnsiTheme="majorHAnsi"/>
          <w:b/>
          <w:bCs/>
          <w:color w:val="003A5E" w:themeColor="accent2" w:themeShade="80"/>
          <w:sz w:val="26"/>
          <w:szCs w:val="26"/>
        </w:rPr>
        <w:t>Borrowing Limi</w:t>
      </w:r>
      <w:r w:rsidR="00D54402" w:rsidRPr="245AE7BB">
        <w:rPr>
          <w:rFonts w:asciiTheme="majorHAnsi" w:hAnsiTheme="majorHAnsi"/>
          <w:b/>
          <w:bCs/>
          <w:color w:val="003A5E" w:themeColor="accent2" w:themeShade="80"/>
          <w:sz w:val="26"/>
          <w:szCs w:val="26"/>
        </w:rPr>
        <w:t>t</w:t>
      </w:r>
    </w:p>
    <w:p w14:paraId="04AAFE53" w14:textId="06D77FE3" w:rsidR="00842E70" w:rsidRDefault="49894887" w:rsidP="44ECBC8B">
      <w:pPr>
        <w:rPr>
          <w:rFonts w:cstheme="minorBidi"/>
        </w:rPr>
      </w:pPr>
      <w:r w:rsidRPr="44ECBC8B">
        <w:rPr>
          <w:rFonts w:cstheme="minorBidi"/>
        </w:rPr>
        <w:t>Subject to the financial covenants being satisfied</w:t>
      </w:r>
      <w:r w:rsidR="000C07A8" w:rsidRPr="44ECBC8B">
        <w:rPr>
          <w:rFonts w:cstheme="minorBidi"/>
        </w:rPr>
        <w:t xml:space="preserve"> over</w:t>
      </w:r>
      <w:r w:rsidR="0024671A" w:rsidRPr="44ECBC8B">
        <w:rPr>
          <w:rFonts w:cstheme="minorBidi"/>
        </w:rPr>
        <w:t xml:space="preserve"> the prior three years to the budget year, the budget year, and subsequent three projected financial years</w:t>
      </w:r>
      <w:r w:rsidRPr="44ECBC8B">
        <w:rPr>
          <w:rFonts w:cstheme="minorBidi"/>
        </w:rPr>
        <w:t xml:space="preserve">, a borrowing limit will be determined. </w:t>
      </w:r>
      <w:r w:rsidR="00B8586D" w:rsidRPr="44ECBC8B">
        <w:rPr>
          <w:rFonts w:cstheme="minorBidi"/>
        </w:rPr>
        <w:t xml:space="preserve">If there are covenant breaches </w:t>
      </w:r>
      <w:r w:rsidR="004C2BA9" w:rsidRPr="44ECBC8B">
        <w:rPr>
          <w:rFonts w:cstheme="minorBidi"/>
        </w:rPr>
        <w:t xml:space="preserve">in any of these years, </w:t>
      </w:r>
      <w:r w:rsidR="00031960" w:rsidRPr="44ECBC8B">
        <w:rPr>
          <w:rFonts w:cstheme="minorBidi"/>
        </w:rPr>
        <w:t xml:space="preserve">a </w:t>
      </w:r>
      <w:r w:rsidR="5E107EC9" w:rsidRPr="44ECBC8B">
        <w:rPr>
          <w:rFonts w:cstheme="minorBidi"/>
        </w:rPr>
        <w:t>borrowing limit</w:t>
      </w:r>
      <w:r w:rsidR="00031960" w:rsidRPr="44ECBC8B">
        <w:rPr>
          <w:rFonts w:cstheme="minorBidi"/>
        </w:rPr>
        <w:t xml:space="preserve"> may not be provided. </w:t>
      </w:r>
      <w:r w:rsidR="5BCE93B9" w:rsidRPr="44ECBC8B">
        <w:rPr>
          <w:rFonts w:cstheme="minorBidi"/>
        </w:rPr>
        <w:t xml:space="preserve">Borrowing limits are the </w:t>
      </w:r>
      <w:proofErr w:type="gramStart"/>
      <w:r w:rsidR="5BCE93B9" w:rsidRPr="44ECBC8B">
        <w:rPr>
          <w:rFonts w:cstheme="minorBidi"/>
        </w:rPr>
        <w:t>three year</w:t>
      </w:r>
      <w:proofErr w:type="gramEnd"/>
      <w:r w:rsidR="5BCE93B9" w:rsidRPr="44ECBC8B">
        <w:rPr>
          <w:rFonts w:cstheme="minorBidi"/>
        </w:rPr>
        <w:t xml:space="preserve"> rolling maximum of budgeted borrowings</w:t>
      </w:r>
      <w:r w:rsidR="000028FC" w:rsidRPr="44ECBC8B">
        <w:rPr>
          <w:rFonts w:cstheme="minorBidi"/>
        </w:rPr>
        <w:t>,</w:t>
      </w:r>
      <w:r w:rsidR="00CB611A" w:rsidRPr="44ECBC8B">
        <w:rPr>
          <w:rFonts w:cstheme="minorBidi"/>
        </w:rPr>
        <w:t xml:space="preserve"> </w:t>
      </w:r>
      <w:r w:rsidR="00B24FFD" w:rsidRPr="44ECBC8B">
        <w:rPr>
          <w:rFonts w:cstheme="minorBidi"/>
        </w:rPr>
        <w:t>commencing in the prior year</w:t>
      </w:r>
      <w:r w:rsidR="005706D1" w:rsidRPr="44ECBC8B">
        <w:rPr>
          <w:rFonts w:cstheme="minorBidi"/>
        </w:rPr>
        <w:t>,</w:t>
      </w:r>
      <w:r w:rsidR="5BCE93B9" w:rsidRPr="44ECBC8B">
        <w:rPr>
          <w:rFonts w:cstheme="minorBidi"/>
        </w:rPr>
        <w:t xml:space="preserve"> capped at 60</w:t>
      </w:r>
      <w:r w:rsidR="05D44ABC" w:rsidRPr="44ECBC8B">
        <w:rPr>
          <w:rFonts w:cstheme="minorBidi"/>
        </w:rPr>
        <w:t xml:space="preserve"> per cent of the council’s OSR for the budget year.</w:t>
      </w:r>
    </w:p>
    <w:p w14:paraId="5C939366" w14:textId="26CC5CBE" w:rsidR="05D44ABC" w:rsidRDefault="05D44ABC" w:rsidP="245AE7BB">
      <w:pPr>
        <w:rPr>
          <w:rFonts w:cstheme="minorBidi"/>
        </w:rPr>
      </w:pPr>
      <w:r w:rsidRPr="245AE7BB">
        <w:rPr>
          <w:rFonts w:cstheme="minorBidi"/>
        </w:rPr>
        <w:t xml:space="preserve">The calculation </w:t>
      </w:r>
      <w:bookmarkStart w:id="64" w:name="_Int_unJAabHZ"/>
      <w:proofErr w:type="gramStart"/>
      <w:r w:rsidRPr="245AE7BB">
        <w:rPr>
          <w:rFonts w:cstheme="minorBidi"/>
        </w:rPr>
        <w:t>takes into account</w:t>
      </w:r>
      <w:bookmarkEnd w:id="64"/>
      <w:proofErr w:type="gramEnd"/>
      <w:r w:rsidRPr="245AE7BB">
        <w:rPr>
          <w:rFonts w:cstheme="minorBidi"/>
        </w:rPr>
        <w:t xml:space="preserve"> the budgeted borrowings of each council in the </w:t>
      </w:r>
      <w:r w:rsidR="5472B984" w:rsidRPr="245AE7BB">
        <w:rPr>
          <w:rFonts w:cstheme="minorBidi"/>
        </w:rPr>
        <w:t xml:space="preserve">approval limit year, as well as the prior and following year. This gives flexibility to the </w:t>
      </w:r>
      <w:r w:rsidR="5472B984" w:rsidRPr="245AE7BB">
        <w:rPr>
          <w:rFonts w:cstheme="minorBidi"/>
        </w:rPr>
        <w:lastRenderedPageBreak/>
        <w:t>council with respect to the ti</w:t>
      </w:r>
      <w:r w:rsidR="6C037AEA" w:rsidRPr="245AE7BB">
        <w:rPr>
          <w:rFonts w:cstheme="minorBidi"/>
        </w:rPr>
        <w:t>ming of any required repayment of existing debt from the previous year and/or any required drawing d</w:t>
      </w:r>
      <w:r w:rsidR="2441C9B8" w:rsidRPr="245AE7BB">
        <w:rPr>
          <w:rFonts w:cstheme="minorBidi"/>
        </w:rPr>
        <w:t>own of new debt for the following year.</w:t>
      </w:r>
      <w:r w:rsidR="001B54F1" w:rsidRPr="245AE7BB">
        <w:rPr>
          <w:rFonts w:cstheme="minorBidi"/>
        </w:rPr>
        <w:t xml:space="preserve"> The following example shows</w:t>
      </w:r>
      <w:r w:rsidR="00014E80" w:rsidRPr="245AE7BB">
        <w:rPr>
          <w:rFonts w:cstheme="minorBidi"/>
        </w:rPr>
        <w:t xml:space="preserve"> how total borrowings are determined for the purposes of </w:t>
      </w:r>
      <w:r w:rsidR="00A93C65" w:rsidRPr="245AE7BB">
        <w:rPr>
          <w:rFonts w:cstheme="minorBidi"/>
        </w:rPr>
        <w:t>the credit assessment</w:t>
      </w:r>
      <w:r w:rsidR="000A64C8">
        <w:rPr>
          <w:rFonts w:cstheme="minorBidi"/>
        </w:rPr>
        <w:t>, presuming the financial credit ratios have been met</w:t>
      </w:r>
      <w:r w:rsidR="00A93C65" w:rsidRPr="245AE7BB">
        <w:rPr>
          <w:rFonts w:cstheme="minorBidi"/>
        </w:rPr>
        <w:t>:</w:t>
      </w:r>
    </w:p>
    <w:p w14:paraId="0D1D7755" w14:textId="3E4F28E9" w:rsidR="00842E70" w:rsidRDefault="1D7E446B" w:rsidP="00EC3A39">
      <w:pPr>
        <w:rPr>
          <w:rFonts w:cstheme="minorBidi"/>
        </w:rPr>
      </w:pPr>
      <w:r w:rsidRPr="11AA80A9">
        <w:rPr>
          <w:rFonts w:cstheme="minorBidi"/>
        </w:rPr>
        <w:t>Borrowings calculat</w:t>
      </w:r>
      <w:r w:rsidR="0027662A">
        <w:rPr>
          <w:rFonts w:cstheme="minorBidi"/>
        </w:rPr>
        <w:t>ion</w:t>
      </w:r>
      <w:r w:rsidRPr="11AA80A9">
        <w:rPr>
          <w:rFonts w:cstheme="minorBidi"/>
        </w:rPr>
        <w:t xml:space="preserve"> for the credit </w:t>
      </w:r>
      <w:r w:rsidRPr="35F9A7EF">
        <w:rPr>
          <w:rFonts w:cstheme="minorBidi"/>
        </w:rPr>
        <w:t>assessment</w:t>
      </w:r>
      <w:r w:rsidR="00E4061F">
        <w:rPr>
          <w:rFonts w:cstheme="minorBidi"/>
        </w:rPr>
        <w:t xml:space="preserve"> shown below</w:t>
      </w:r>
      <w:r w:rsidR="0027662A">
        <w:rPr>
          <w:rFonts w:cstheme="minorBidi"/>
        </w:rPr>
        <w:t>. Please note numbers are for illustrative purposes only</w:t>
      </w:r>
      <w:r w:rsidR="00B563CB">
        <w:rPr>
          <w:rFonts w:cstheme="minorBidi"/>
        </w:rPr>
        <w:t>.</w:t>
      </w:r>
    </w:p>
    <w:p w14:paraId="303F0679" w14:textId="7F9B7F18" w:rsidR="00C931D1" w:rsidRPr="00DE499C" w:rsidRDefault="0027662A" w:rsidP="35F9A7EF">
      <w:pPr>
        <w:rPr>
          <w:rFonts w:cstheme="minorBidi"/>
          <w:i/>
          <w:iCs/>
        </w:rPr>
      </w:pPr>
      <w:r w:rsidRPr="00DE499C">
        <w:rPr>
          <w:rFonts w:cstheme="minorBidi"/>
          <w:i/>
          <w:iCs/>
        </w:rPr>
        <w:t>From 4.2.3 Borrowing Table</w:t>
      </w:r>
    </w:p>
    <w:tbl>
      <w:tblPr>
        <w:tblStyle w:val="DGSTable"/>
        <w:tblW w:w="9845" w:type="dxa"/>
        <w:tblLook w:val="04A0" w:firstRow="1" w:lastRow="0" w:firstColumn="1" w:lastColumn="0" w:noHBand="0" w:noVBand="1"/>
      </w:tblPr>
      <w:tblGrid>
        <w:gridCol w:w="3977"/>
        <w:gridCol w:w="1867"/>
        <w:gridCol w:w="1530"/>
        <w:gridCol w:w="2503"/>
      </w:tblGrid>
      <w:tr w:rsidR="00DE4B3D" w:rsidRPr="005D3081" w14:paraId="26A1C4D4" w14:textId="77777777" w:rsidTr="003B0822">
        <w:trPr>
          <w:cnfStyle w:val="100000000000" w:firstRow="1" w:lastRow="0" w:firstColumn="0" w:lastColumn="0" w:oddVBand="0" w:evenVBand="0" w:oddHBand="0" w:evenHBand="0" w:firstRowFirstColumn="0" w:firstRowLastColumn="0" w:lastRowFirstColumn="0" w:lastRowLastColumn="0"/>
          <w:trHeight w:val="309"/>
        </w:trPr>
        <w:tc>
          <w:tcPr>
            <w:tcW w:w="3969" w:type="dxa"/>
            <w:noWrap/>
            <w:hideMark/>
          </w:tcPr>
          <w:p w14:paraId="3A1564B8" w14:textId="77777777" w:rsidR="005D3081" w:rsidRPr="005D3081" w:rsidRDefault="005D3081" w:rsidP="005D3081"/>
        </w:tc>
        <w:tc>
          <w:tcPr>
            <w:tcW w:w="1859" w:type="dxa"/>
            <w:hideMark/>
          </w:tcPr>
          <w:p w14:paraId="61C5CBB2" w14:textId="68D2FCA2" w:rsidR="005D3081" w:rsidRPr="00455869" w:rsidRDefault="005D3081" w:rsidP="00B85D4B">
            <w:pPr>
              <w:jc w:val="center"/>
              <w:rPr>
                <w:bCs/>
                <w:sz w:val="20"/>
                <w:szCs w:val="20"/>
              </w:rPr>
            </w:pPr>
            <w:r w:rsidRPr="00455869">
              <w:rPr>
                <w:bCs/>
                <w:sz w:val="20"/>
                <w:szCs w:val="20"/>
              </w:rPr>
              <w:t>Prior Year</w:t>
            </w:r>
            <w:r w:rsidR="00F32660">
              <w:rPr>
                <w:bCs/>
                <w:sz w:val="20"/>
                <w:szCs w:val="20"/>
              </w:rPr>
              <w:t xml:space="preserve"> Budget</w:t>
            </w:r>
          </w:p>
        </w:tc>
        <w:tc>
          <w:tcPr>
            <w:tcW w:w="1522" w:type="dxa"/>
            <w:hideMark/>
          </w:tcPr>
          <w:p w14:paraId="7C24583B" w14:textId="484B5A27" w:rsidR="005D3081" w:rsidRPr="00455869" w:rsidRDefault="005D3081" w:rsidP="00B85D4B">
            <w:pPr>
              <w:jc w:val="center"/>
              <w:rPr>
                <w:bCs/>
                <w:sz w:val="20"/>
                <w:szCs w:val="20"/>
              </w:rPr>
            </w:pPr>
            <w:r w:rsidRPr="00455869">
              <w:rPr>
                <w:bCs/>
                <w:sz w:val="20"/>
                <w:szCs w:val="20"/>
              </w:rPr>
              <w:t>Budget Year</w:t>
            </w:r>
          </w:p>
        </w:tc>
        <w:tc>
          <w:tcPr>
            <w:tcW w:w="2495" w:type="dxa"/>
            <w:hideMark/>
          </w:tcPr>
          <w:p w14:paraId="1959D735" w14:textId="257F79E9" w:rsidR="005D3081" w:rsidRPr="00455869" w:rsidRDefault="00F32660" w:rsidP="00B85D4B">
            <w:pPr>
              <w:jc w:val="center"/>
              <w:rPr>
                <w:bCs/>
                <w:sz w:val="20"/>
                <w:szCs w:val="20"/>
              </w:rPr>
            </w:pPr>
            <w:r>
              <w:rPr>
                <w:bCs/>
                <w:sz w:val="20"/>
                <w:szCs w:val="20"/>
              </w:rPr>
              <w:t xml:space="preserve">Subsequent Budget </w:t>
            </w:r>
            <w:r w:rsidR="005D3081" w:rsidRPr="00455869">
              <w:rPr>
                <w:bCs/>
                <w:sz w:val="20"/>
                <w:szCs w:val="20"/>
              </w:rPr>
              <w:t>Year</w:t>
            </w:r>
          </w:p>
        </w:tc>
      </w:tr>
      <w:tr w:rsidR="00DE4B3D" w:rsidRPr="005D3081" w14:paraId="712B8EC3" w14:textId="77777777" w:rsidTr="003B0822">
        <w:trPr>
          <w:trHeight w:val="293"/>
        </w:trPr>
        <w:tc>
          <w:tcPr>
            <w:tcW w:w="3969" w:type="dxa"/>
            <w:hideMark/>
          </w:tcPr>
          <w:p w14:paraId="2708B1D0" w14:textId="77777777" w:rsidR="005D3081" w:rsidRPr="00455869" w:rsidRDefault="005D3081" w:rsidP="00455869">
            <w:pPr>
              <w:ind w:left="0"/>
              <w:rPr>
                <w:sz w:val="20"/>
                <w:szCs w:val="20"/>
              </w:rPr>
            </w:pPr>
            <w:r w:rsidRPr="00455869">
              <w:rPr>
                <w:sz w:val="20"/>
                <w:szCs w:val="20"/>
              </w:rPr>
              <w:t xml:space="preserve">Amount borrowed as </w:t>
            </w:r>
            <w:proofErr w:type="gramStart"/>
            <w:r w:rsidRPr="00455869">
              <w:rPr>
                <w:sz w:val="20"/>
                <w:szCs w:val="20"/>
              </w:rPr>
              <w:t>at</w:t>
            </w:r>
            <w:proofErr w:type="gramEnd"/>
            <w:r w:rsidRPr="00455869">
              <w:rPr>
                <w:sz w:val="20"/>
                <w:szCs w:val="20"/>
              </w:rPr>
              <w:t xml:space="preserve"> 30 June of the prior year</w:t>
            </w:r>
          </w:p>
        </w:tc>
        <w:tc>
          <w:tcPr>
            <w:tcW w:w="1859" w:type="dxa"/>
            <w:noWrap/>
            <w:hideMark/>
          </w:tcPr>
          <w:p w14:paraId="139A4644" w14:textId="1C431750" w:rsidR="005D3081" w:rsidRPr="00455869" w:rsidRDefault="005D3081" w:rsidP="005D3081">
            <w:pPr>
              <w:jc w:val="center"/>
              <w:rPr>
                <w:sz w:val="20"/>
                <w:szCs w:val="20"/>
              </w:rPr>
            </w:pPr>
            <w:r w:rsidRPr="00455869">
              <w:rPr>
                <w:sz w:val="20"/>
                <w:szCs w:val="20"/>
              </w:rPr>
              <w:t>2,000</w:t>
            </w:r>
          </w:p>
        </w:tc>
        <w:tc>
          <w:tcPr>
            <w:tcW w:w="1522" w:type="dxa"/>
            <w:noWrap/>
            <w:hideMark/>
          </w:tcPr>
          <w:p w14:paraId="2086600B" w14:textId="7EFE3D82" w:rsidR="005D3081" w:rsidRPr="00455869" w:rsidRDefault="005D3081" w:rsidP="005D3081">
            <w:pPr>
              <w:jc w:val="center"/>
              <w:rPr>
                <w:sz w:val="20"/>
                <w:szCs w:val="20"/>
              </w:rPr>
            </w:pPr>
            <w:r w:rsidRPr="00455869">
              <w:rPr>
                <w:sz w:val="20"/>
                <w:szCs w:val="20"/>
              </w:rPr>
              <w:t>11,750</w:t>
            </w:r>
          </w:p>
        </w:tc>
        <w:tc>
          <w:tcPr>
            <w:tcW w:w="2495" w:type="dxa"/>
            <w:noWrap/>
            <w:hideMark/>
          </w:tcPr>
          <w:p w14:paraId="5E1F4875" w14:textId="33546766" w:rsidR="005D3081" w:rsidRPr="00455869" w:rsidRDefault="005D3081" w:rsidP="005D3081">
            <w:pPr>
              <w:jc w:val="center"/>
              <w:rPr>
                <w:sz w:val="20"/>
                <w:szCs w:val="20"/>
              </w:rPr>
            </w:pPr>
            <w:r w:rsidRPr="00455869">
              <w:rPr>
                <w:sz w:val="20"/>
                <w:szCs w:val="20"/>
              </w:rPr>
              <w:t>14,750</w:t>
            </w:r>
          </w:p>
        </w:tc>
      </w:tr>
      <w:tr w:rsidR="00DE4B3D" w:rsidRPr="005D3081" w14:paraId="2EF1643C" w14:textId="77777777" w:rsidTr="003B0822">
        <w:trPr>
          <w:trHeight w:val="259"/>
        </w:trPr>
        <w:tc>
          <w:tcPr>
            <w:tcW w:w="3969" w:type="dxa"/>
            <w:noWrap/>
            <w:hideMark/>
          </w:tcPr>
          <w:p w14:paraId="2F10BC03" w14:textId="77777777" w:rsidR="005D3081" w:rsidRPr="00455869" w:rsidRDefault="005D3081" w:rsidP="00DE4B3D">
            <w:pPr>
              <w:rPr>
                <w:sz w:val="20"/>
                <w:szCs w:val="20"/>
              </w:rPr>
            </w:pPr>
            <w:r w:rsidRPr="00455869">
              <w:rPr>
                <w:sz w:val="20"/>
                <w:szCs w:val="20"/>
              </w:rPr>
              <w:t>Amount proposed to be borrowed</w:t>
            </w:r>
          </w:p>
        </w:tc>
        <w:tc>
          <w:tcPr>
            <w:tcW w:w="1859" w:type="dxa"/>
            <w:noWrap/>
            <w:hideMark/>
          </w:tcPr>
          <w:p w14:paraId="30098B98" w14:textId="172DE297" w:rsidR="005D3081" w:rsidRPr="00455869" w:rsidRDefault="005D3081" w:rsidP="005D3081">
            <w:pPr>
              <w:jc w:val="center"/>
              <w:rPr>
                <w:sz w:val="20"/>
                <w:szCs w:val="20"/>
              </w:rPr>
            </w:pPr>
            <w:r w:rsidRPr="00455869">
              <w:rPr>
                <w:sz w:val="20"/>
                <w:szCs w:val="20"/>
              </w:rPr>
              <w:t>10,000</w:t>
            </w:r>
          </w:p>
        </w:tc>
        <w:tc>
          <w:tcPr>
            <w:tcW w:w="1522" w:type="dxa"/>
            <w:noWrap/>
            <w:hideMark/>
          </w:tcPr>
          <w:p w14:paraId="793D0B26" w14:textId="69949E87" w:rsidR="005D3081" w:rsidRPr="00455869" w:rsidRDefault="005D3081" w:rsidP="005D3081">
            <w:pPr>
              <w:jc w:val="center"/>
              <w:rPr>
                <w:sz w:val="20"/>
                <w:szCs w:val="20"/>
              </w:rPr>
            </w:pPr>
            <w:r w:rsidRPr="00455869">
              <w:rPr>
                <w:sz w:val="20"/>
                <w:szCs w:val="20"/>
              </w:rPr>
              <w:t>5,000</w:t>
            </w:r>
          </w:p>
        </w:tc>
        <w:tc>
          <w:tcPr>
            <w:tcW w:w="2495" w:type="dxa"/>
            <w:noWrap/>
            <w:hideMark/>
          </w:tcPr>
          <w:p w14:paraId="35E1B534" w14:textId="61D6E6DF" w:rsidR="005D3081" w:rsidRPr="00455869" w:rsidRDefault="005D3081" w:rsidP="005D3081">
            <w:pPr>
              <w:jc w:val="center"/>
              <w:rPr>
                <w:sz w:val="20"/>
                <w:szCs w:val="20"/>
              </w:rPr>
            </w:pPr>
            <w:r w:rsidRPr="00455869">
              <w:rPr>
                <w:sz w:val="20"/>
                <w:szCs w:val="20"/>
              </w:rPr>
              <w:t>5,000</w:t>
            </w:r>
          </w:p>
        </w:tc>
      </w:tr>
      <w:tr w:rsidR="00DE4B3D" w:rsidRPr="005D3081" w14:paraId="7FEFA6E2" w14:textId="77777777" w:rsidTr="003B0822">
        <w:trPr>
          <w:trHeight w:val="281"/>
        </w:trPr>
        <w:tc>
          <w:tcPr>
            <w:tcW w:w="3969" w:type="dxa"/>
            <w:noWrap/>
            <w:hideMark/>
          </w:tcPr>
          <w:p w14:paraId="7D9F0B30" w14:textId="77777777" w:rsidR="005D3081" w:rsidRPr="00455869" w:rsidRDefault="005D3081" w:rsidP="00DE4B3D">
            <w:pPr>
              <w:rPr>
                <w:sz w:val="20"/>
                <w:szCs w:val="20"/>
              </w:rPr>
            </w:pPr>
            <w:r w:rsidRPr="00455869">
              <w:rPr>
                <w:sz w:val="20"/>
                <w:szCs w:val="20"/>
              </w:rPr>
              <w:t>Amount projected to be redeemed</w:t>
            </w:r>
          </w:p>
        </w:tc>
        <w:tc>
          <w:tcPr>
            <w:tcW w:w="1859" w:type="dxa"/>
            <w:noWrap/>
            <w:hideMark/>
          </w:tcPr>
          <w:p w14:paraId="597D35E2" w14:textId="77777777" w:rsidR="005D3081" w:rsidRPr="00455869" w:rsidRDefault="005D3081" w:rsidP="005D3081">
            <w:pPr>
              <w:jc w:val="center"/>
              <w:rPr>
                <w:color w:val="FF0000"/>
                <w:sz w:val="20"/>
                <w:szCs w:val="20"/>
              </w:rPr>
            </w:pPr>
            <w:r w:rsidRPr="00455869">
              <w:rPr>
                <w:color w:val="FF0000"/>
                <w:sz w:val="20"/>
                <w:szCs w:val="20"/>
              </w:rPr>
              <w:t>(250)</w:t>
            </w:r>
          </w:p>
        </w:tc>
        <w:tc>
          <w:tcPr>
            <w:tcW w:w="1522" w:type="dxa"/>
            <w:noWrap/>
            <w:hideMark/>
          </w:tcPr>
          <w:p w14:paraId="33890C46" w14:textId="77777777" w:rsidR="005D3081" w:rsidRPr="00455869" w:rsidRDefault="005D3081" w:rsidP="005D3081">
            <w:pPr>
              <w:jc w:val="center"/>
              <w:rPr>
                <w:color w:val="FF0000"/>
                <w:sz w:val="20"/>
                <w:szCs w:val="20"/>
              </w:rPr>
            </w:pPr>
            <w:r w:rsidRPr="00455869">
              <w:rPr>
                <w:color w:val="FF0000"/>
                <w:sz w:val="20"/>
                <w:szCs w:val="20"/>
              </w:rPr>
              <w:t>(2,000)</w:t>
            </w:r>
          </w:p>
        </w:tc>
        <w:tc>
          <w:tcPr>
            <w:tcW w:w="2495" w:type="dxa"/>
            <w:noWrap/>
            <w:hideMark/>
          </w:tcPr>
          <w:p w14:paraId="2BA8A5DC" w14:textId="77777777" w:rsidR="005D3081" w:rsidRPr="00455869" w:rsidRDefault="005D3081" w:rsidP="005D3081">
            <w:pPr>
              <w:jc w:val="center"/>
              <w:rPr>
                <w:color w:val="FF0000"/>
                <w:sz w:val="20"/>
                <w:szCs w:val="20"/>
              </w:rPr>
            </w:pPr>
            <w:r w:rsidRPr="00455869">
              <w:rPr>
                <w:color w:val="FF0000"/>
                <w:sz w:val="20"/>
                <w:szCs w:val="20"/>
              </w:rPr>
              <w:t>(3,000)</w:t>
            </w:r>
          </w:p>
        </w:tc>
      </w:tr>
      <w:tr w:rsidR="00DE4B3D" w:rsidRPr="00DE4B3D" w14:paraId="16E3DEBF" w14:textId="77777777" w:rsidTr="003B0822">
        <w:trPr>
          <w:trHeight w:val="417"/>
        </w:trPr>
        <w:tc>
          <w:tcPr>
            <w:tcW w:w="3969" w:type="dxa"/>
            <w:noWrap/>
            <w:hideMark/>
          </w:tcPr>
          <w:p w14:paraId="27E2349F" w14:textId="32C0BE73" w:rsidR="005D3081" w:rsidRPr="00455869" w:rsidRDefault="005D3081" w:rsidP="00455869">
            <w:pPr>
              <w:ind w:left="0"/>
              <w:rPr>
                <w:b/>
                <w:bCs/>
                <w:sz w:val="20"/>
                <w:szCs w:val="20"/>
              </w:rPr>
            </w:pPr>
            <w:proofErr w:type="gramStart"/>
            <w:r w:rsidRPr="00455869">
              <w:rPr>
                <w:b/>
                <w:bCs/>
                <w:sz w:val="20"/>
                <w:szCs w:val="20"/>
              </w:rPr>
              <w:t>Amount</w:t>
            </w:r>
            <w:proofErr w:type="gramEnd"/>
            <w:r w:rsidRPr="00455869">
              <w:rPr>
                <w:b/>
                <w:bCs/>
                <w:sz w:val="20"/>
                <w:szCs w:val="20"/>
              </w:rPr>
              <w:t xml:space="preserve"> of borrowings as at 30 June</w:t>
            </w:r>
          </w:p>
        </w:tc>
        <w:tc>
          <w:tcPr>
            <w:tcW w:w="1859" w:type="dxa"/>
            <w:noWrap/>
            <w:hideMark/>
          </w:tcPr>
          <w:p w14:paraId="2C098FCE" w14:textId="70515C30" w:rsidR="005D3081" w:rsidRPr="00455869" w:rsidRDefault="005D3081" w:rsidP="005D3081">
            <w:pPr>
              <w:jc w:val="center"/>
              <w:rPr>
                <w:b/>
                <w:bCs/>
                <w:sz w:val="20"/>
                <w:szCs w:val="20"/>
              </w:rPr>
            </w:pPr>
            <w:r w:rsidRPr="00455869">
              <w:rPr>
                <w:b/>
                <w:bCs/>
                <w:sz w:val="20"/>
                <w:szCs w:val="20"/>
              </w:rPr>
              <w:t>11,750</w:t>
            </w:r>
          </w:p>
        </w:tc>
        <w:tc>
          <w:tcPr>
            <w:tcW w:w="1522" w:type="dxa"/>
            <w:noWrap/>
            <w:hideMark/>
          </w:tcPr>
          <w:p w14:paraId="05DE95BA" w14:textId="52E80CD8" w:rsidR="005D3081" w:rsidRPr="00455869" w:rsidRDefault="005D3081" w:rsidP="005D3081">
            <w:pPr>
              <w:jc w:val="center"/>
              <w:rPr>
                <w:b/>
                <w:bCs/>
                <w:sz w:val="20"/>
                <w:szCs w:val="20"/>
              </w:rPr>
            </w:pPr>
            <w:r w:rsidRPr="00455869">
              <w:rPr>
                <w:b/>
                <w:bCs/>
                <w:sz w:val="20"/>
                <w:szCs w:val="20"/>
              </w:rPr>
              <w:t>14,750</w:t>
            </w:r>
          </w:p>
        </w:tc>
        <w:tc>
          <w:tcPr>
            <w:tcW w:w="2495" w:type="dxa"/>
            <w:noWrap/>
            <w:hideMark/>
          </w:tcPr>
          <w:p w14:paraId="4722A369" w14:textId="10E5C9B7" w:rsidR="005D3081" w:rsidRPr="00455869" w:rsidRDefault="005D3081" w:rsidP="005D3081">
            <w:pPr>
              <w:jc w:val="center"/>
              <w:rPr>
                <w:b/>
                <w:bCs/>
                <w:sz w:val="20"/>
                <w:szCs w:val="20"/>
              </w:rPr>
            </w:pPr>
            <w:r w:rsidRPr="00455869">
              <w:rPr>
                <w:b/>
                <w:bCs/>
                <w:sz w:val="20"/>
                <w:szCs w:val="20"/>
              </w:rPr>
              <w:t>16,750</w:t>
            </w:r>
          </w:p>
        </w:tc>
      </w:tr>
    </w:tbl>
    <w:p w14:paraId="12EA4F52" w14:textId="1A584DA0" w:rsidR="00F32660" w:rsidRPr="003B0822" w:rsidRDefault="00F32660" w:rsidP="00F32660">
      <w:pPr>
        <w:rPr>
          <w:rFonts w:cstheme="minorBidi"/>
          <w:i/>
          <w:iCs/>
        </w:rPr>
      </w:pPr>
      <w:r w:rsidRPr="003B0822">
        <w:rPr>
          <w:rFonts w:cstheme="minorBidi"/>
          <w:i/>
          <w:iCs/>
        </w:rPr>
        <w:t>Current and non-current lease liabilities from the Balance Sheet total $5,660,000.</w:t>
      </w:r>
    </w:p>
    <w:p w14:paraId="5C6091AD" w14:textId="2513B54A" w:rsidR="005A0913" w:rsidRPr="003B0822" w:rsidRDefault="00F32660" w:rsidP="44ECBC8B">
      <w:pPr>
        <w:rPr>
          <w:rFonts w:cstheme="minorBidi"/>
        </w:rPr>
      </w:pPr>
      <w:r w:rsidRPr="44ECBC8B">
        <w:rPr>
          <w:rFonts w:cstheme="minorBidi"/>
        </w:rPr>
        <w:t>T</w:t>
      </w:r>
      <w:r w:rsidRPr="003B0822">
        <w:rPr>
          <w:rFonts w:cstheme="minorBidi"/>
        </w:rPr>
        <w:t xml:space="preserve">he above example would result in a borrowing limit of </w:t>
      </w:r>
      <w:r w:rsidR="005A0913" w:rsidRPr="003B0822">
        <w:rPr>
          <w:rFonts w:cstheme="minorBidi"/>
        </w:rPr>
        <w:t xml:space="preserve">$25,410,000 </w:t>
      </w:r>
      <w:r w:rsidRPr="003B0822">
        <w:rPr>
          <w:rFonts w:cstheme="minorBidi"/>
        </w:rPr>
        <w:t xml:space="preserve">which is the sum of lease </w:t>
      </w:r>
      <w:r w:rsidRPr="44ECBC8B">
        <w:rPr>
          <w:rFonts w:cstheme="minorBidi"/>
        </w:rPr>
        <w:t>liabilities</w:t>
      </w:r>
      <w:r w:rsidRPr="003B0822">
        <w:rPr>
          <w:rFonts w:cstheme="minorBidi"/>
        </w:rPr>
        <w:t xml:space="preserve"> (</w:t>
      </w:r>
      <w:r w:rsidR="005A0913" w:rsidRPr="003B0822">
        <w:rPr>
          <w:rFonts w:cstheme="minorBidi"/>
        </w:rPr>
        <w:t>$5,660,000</w:t>
      </w:r>
      <w:r w:rsidRPr="003B0822">
        <w:rPr>
          <w:rFonts w:cstheme="minorBidi"/>
        </w:rPr>
        <w:t xml:space="preserve">) and the peak borrowing </w:t>
      </w:r>
      <w:r w:rsidRPr="44ECBC8B">
        <w:rPr>
          <w:rFonts w:cstheme="minorBidi"/>
        </w:rPr>
        <w:t>requirement</w:t>
      </w:r>
      <w:r w:rsidRPr="003B0822">
        <w:rPr>
          <w:rFonts w:cstheme="minorBidi"/>
        </w:rPr>
        <w:t xml:space="preserve"> in the subsequent Budget year (</w:t>
      </w:r>
      <w:r w:rsidR="005A0913" w:rsidRPr="003B0822">
        <w:rPr>
          <w:rFonts w:cstheme="minorBidi"/>
        </w:rPr>
        <w:t>$19,750,000)</w:t>
      </w:r>
      <w:r w:rsidRPr="44ECBC8B">
        <w:rPr>
          <w:rFonts w:cstheme="minorBidi"/>
        </w:rPr>
        <w:t>. This calculation presumes</w:t>
      </w:r>
      <w:r w:rsidRPr="003B0822">
        <w:rPr>
          <w:rFonts w:cstheme="minorBidi"/>
        </w:rPr>
        <w:t xml:space="preserve"> </w:t>
      </w:r>
      <w:r w:rsidRPr="44ECBC8B">
        <w:rPr>
          <w:rFonts w:cstheme="minorBidi"/>
        </w:rPr>
        <w:t>compliance</w:t>
      </w:r>
      <w:r w:rsidRPr="003B0822">
        <w:rPr>
          <w:rFonts w:cstheme="minorBidi"/>
        </w:rPr>
        <w:t xml:space="preserve"> with </w:t>
      </w:r>
      <w:r w:rsidRPr="44ECBC8B">
        <w:rPr>
          <w:rFonts w:cstheme="minorBidi"/>
        </w:rPr>
        <w:t>financial</w:t>
      </w:r>
      <w:r w:rsidRPr="003B0822">
        <w:rPr>
          <w:rFonts w:cstheme="minorBidi"/>
        </w:rPr>
        <w:t xml:space="preserve"> ratios</w:t>
      </w:r>
      <w:r w:rsidRPr="44ECBC8B">
        <w:rPr>
          <w:rFonts w:cstheme="minorBidi"/>
        </w:rPr>
        <w:t>.</w:t>
      </w:r>
    </w:p>
    <w:p w14:paraId="15684094" w14:textId="590E1A8D" w:rsidR="00EC3A39" w:rsidRPr="004F5C49" w:rsidRDefault="00EC3A39" w:rsidP="00EC3A39">
      <w:pPr>
        <w:rPr>
          <w:rFonts w:cstheme="minorHAnsi"/>
          <w:szCs w:val="18"/>
        </w:rPr>
      </w:pPr>
      <w:r w:rsidRPr="004F5C49">
        <w:rPr>
          <w:rFonts w:cstheme="minorHAnsi"/>
          <w:szCs w:val="18"/>
        </w:rPr>
        <w:t xml:space="preserve">Approval of the </w:t>
      </w:r>
      <w:r>
        <w:rPr>
          <w:rFonts w:cstheme="minorHAnsi"/>
          <w:szCs w:val="18"/>
        </w:rPr>
        <w:t>TCV borrowing</w:t>
      </w:r>
      <w:r w:rsidRPr="004F5C49">
        <w:rPr>
          <w:rFonts w:cstheme="minorHAnsi"/>
          <w:szCs w:val="18"/>
        </w:rPr>
        <w:t xml:space="preserve"> limit by the Treasurer will be </w:t>
      </w:r>
      <w:r>
        <w:rPr>
          <w:rFonts w:cstheme="minorHAnsi"/>
          <w:szCs w:val="18"/>
        </w:rPr>
        <w:t xml:space="preserve">premised on no variation to the adopted budget. Where a revised budget is required in compliance with the </w:t>
      </w:r>
      <w:r w:rsidRPr="005C6E01">
        <w:rPr>
          <w:rFonts w:cstheme="minorHAnsi"/>
          <w:i/>
          <w:iCs/>
          <w:szCs w:val="18"/>
        </w:rPr>
        <w:t>Local Government Act 2020</w:t>
      </w:r>
      <w:r w:rsidR="007B253A">
        <w:rPr>
          <w:rFonts w:cstheme="minorHAnsi"/>
          <w:i/>
          <w:iCs/>
          <w:szCs w:val="18"/>
        </w:rPr>
        <w:t>,</w:t>
      </w:r>
      <w:r>
        <w:rPr>
          <w:rFonts w:cstheme="minorHAnsi"/>
          <w:szCs w:val="18"/>
        </w:rPr>
        <w:t xml:space="preserve"> it is the responsibility of the council to advise DTF and TCV of any revised budget that is prepared. </w:t>
      </w:r>
    </w:p>
    <w:p w14:paraId="5B8227FC" w14:textId="0BAEB909" w:rsidR="00EC3A39" w:rsidRPr="004F5C49" w:rsidRDefault="00EC3A39" w:rsidP="00EC3A39">
      <w:pPr>
        <w:rPr>
          <w:rFonts w:cstheme="minorHAnsi"/>
          <w:szCs w:val="18"/>
        </w:rPr>
      </w:pPr>
      <w:r w:rsidRPr="004F5C49">
        <w:rPr>
          <w:rFonts w:cstheme="minorHAnsi"/>
          <w:szCs w:val="18"/>
        </w:rPr>
        <w:t xml:space="preserve">Once a council receives written confirmation from </w:t>
      </w:r>
      <w:r w:rsidR="00C65936">
        <w:rPr>
          <w:rFonts w:cstheme="minorHAnsi"/>
          <w:szCs w:val="18"/>
        </w:rPr>
        <w:t>TCV</w:t>
      </w:r>
      <w:r w:rsidRPr="004F5C49">
        <w:rPr>
          <w:rFonts w:cstheme="minorHAnsi"/>
          <w:szCs w:val="18"/>
        </w:rPr>
        <w:t xml:space="preserve"> of the amount of their approved</w:t>
      </w:r>
      <w:r>
        <w:rPr>
          <w:rFonts w:cstheme="minorHAnsi"/>
          <w:szCs w:val="18"/>
        </w:rPr>
        <w:t xml:space="preserve"> borrowing limit</w:t>
      </w:r>
      <w:r w:rsidR="007B253A">
        <w:rPr>
          <w:rFonts w:cstheme="minorHAnsi"/>
          <w:szCs w:val="18"/>
        </w:rPr>
        <w:t>,</w:t>
      </w:r>
      <w:r w:rsidRPr="004F5C49">
        <w:rPr>
          <w:rFonts w:cstheme="minorHAnsi"/>
          <w:szCs w:val="18"/>
        </w:rPr>
        <w:t xml:space="preserve"> they will be eligible to apply for a TCV loan. </w:t>
      </w:r>
    </w:p>
    <w:p w14:paraId="2B44CD8F" w14:textId="77777777" w:rsidR="00EC3A39" w:rsidRPr="00DF33CA" w:rsidRDefault="00EC3A39" w:rsidP="00EC3A39">
      <w:pPr>
        <w:pStyle w:val="Heading2"/>
        <w:rPr>
          <w:color w:val="00B0F0"/>
        </w:rPr>
      </w:pPr>
      <w:bookmarkStart w:id="65" w:name="_Toc79755063"/>
      <w:bookmarkStart w:id="66" w:name="_Toc135819870"/>
      <w:bookmarkStart w:id="67" w:name="_Toc138251061"/>
      <w:r w:rsidRPr="712ED00F">
        <w:rPr>
          <w:color w:val="00B0F0"/>
        </w:rPr>
        <w:t>TCV loan application</w:t>
      </w:r>
      <w:bookmarkEnd w:id="65"/>
      <w:bookmarkEnd w:id="66"/>
      <w:bookmarkEnd w:id="67"/>
    </w:p>
    <w:p w14:paraId="098EA6B8" w14:textId="1BAE8447" w:rsidR="00EC3A39" w:rsidRDefault="00EC3A39" w:rsidP="00EC3A39">
      <w:pPr>
        <w:keepNext/>
      </w:pPr>
      <w:r>
        <w:t xml:space="preserve">Councils wishing to access TCV loans must comply with the TCV requirements outlined </w:t>
      </w:r>
      <w:r w:rsidR="004023F3">
        <w:t>in the next section</w:t>
      </w:r>
      <w:r w:rsidR="62CF23C3">
        <w:t>.</w:t>
      </w:r>
    </w:p>
    <w:p w14:paraId="409E840F" w14:textId="193D1566" w:rsidR="00EC3A39" w:rsidRDefault="00EC3A39" w:rsidP="00EC3A39">
      <w:r>
        <w:t>It is important that councils provide true and correct information in their documentation and during the period of the loan. Providing false details or omitting required information may result in the loan being cancelled or the borrower being in default.</w:t>
      </w:r>
    </w:p>
    <w:p w14:paraId="737E28B1" w14:textId="6F8EC4C5" w:rsidR="00EC3A39" w:rsidRDefault="00EC3A39" w:rsidP="59A38EB4"/>
    <w:p w14:paraId="49EBFD1F" w14:textId="115A2F76" w:rsidR="00EC3A39" w:rsidRDefault="00EC3A39" w:rsidP="59A38EB4"/>
    <w:p w14:paraId="7D5A5A9C" w14:textId="77777777" w:rsidR="00EC3A39" w:rsidRDefault="00EC3A39" w:rsidP="00EC3A39"/>
    <w:p w14:paraId="0E531666" w14:textId="77777777" w:rsidR="00EC3A39" w:rsidRPr="00DB0DED" w:rsidRDefault="00EC3A39" w:rsidP="00EC3A39">
      <w:pPr>
        <w:pStyle w:val="Heading1"/>
      </w:pPr>
      <w:bookmarkStart w:id="68" w:name="_Toc79755065"/>
      <w:bookmarkStart w:id="69" w:name="_Toc135819871"/>
      <w:bookmarkStart w:id="70" w:name="_Toc138251062"/>
      <w:r>
        <w:lastRenderedPageBreak/>
        <w:t>Conditions that apply to TCV borrowings</w:t>
      </w:r>
      <w:bookmarkEnd w:id="68"/>
      <w:bookmarkEnd w:id="69"/>
      <w:bookmarkEnd w:id="70"/>
    </w:p>
    <w:p w14:paraId="248F071F" w14:textId="77777777" w:rsidR="00EC3A39" w:rsidRPr="00DF33CA" w:rsidRDefault="00EC3A39" w:rsidP="00EC3A39">
      <w:pPr>
        <w:pStyle w:val="Heading2"/>
        <w:rPr>
          <w:color w:val="00B0F0"/>
        </w:rPr>
      </w:pPr>
      <w:bookmarkStart w:id="71" w:name="_Toc79755066"/>
      <w:bookmarkStart w:id="72" w:name="_Toc135819872"/>
      <w:bookmarkStart w:id="73" w:name="_Toc138251063"/>
      <w:r w:rsidRPr="712ED00F">
        <w:rPr>
          <w:color w:val="00B0F0"/>
        </w:rPr>
        <w:t>TCV loan agreement and other documentation</w:t>
      </w:r>
      <w:bookmarkEnd w:id="71"/>
      <w:bookmarkEnd w:id="72"/>
      <w:bookmarkEnd w:id="73"/>
    </w:p>
    <w:p w14:paraId="1E10EF5B" w14:textId="77777777" w:rsidR="00EC3A39" w:rsidRPr="00592FAE" w:rsidRDefault="00EC3A39" w:rsidP="00EC3A39">
      <w:r>
        <w:t>The TCV loan agreement will set out the terms and conditions of the loan. A council must satisfy itself as to the appropriateness of any such agreement.</w:t>
      </w:r>
    </w:p>
    <w:p w14:paraId="0ABB274A" w14:textId="33004B5B" w:rsidR="00EC3A39" w:rsidRDefault="00365B07" w:rsidP="00EC3A39">
      <w:r>
        <w:t>A key condition is that l</w:t>
      </w:r>
      <w:r w:rsidR="00EC3A39">
        <w:t xml:space="preserve">oans will be secured against the council’s revenue from general rates. </w:t>
      </w:r>
    </w:p>
    <w:p w14:paraId="13C37166" w14:textId="763FECFE" w:rsidR="00A11849" w:rsidRDefault="00EC3A39" w:rsidP="00EC3A39">
      <w:pPr>
        <w:spacing w:before="80"/>
      </w:pPr>
      <w:r>
        <w:t xml:space="preserve">There are </w:t>
      </w:r>
      <w:bookmarkStart w:id="74" w:name="_Int_a8WWNTId"/>
      <w:proofErr w:type="gramStart"/>
      <w:r>
        <w:t>a number of</w:t>
      </w:r>
      <w:bookmarkEnd w:id="74"/>
      <w:proofErr w:type="gramEnd"/>
      <w:r>
        <w:t xml:space="preserve"> </w:t>
      </w:r>
      <w:r w:rsidR="00A11849">
        <w:t xml:space="preserve">undertakings and </w:t>
      </w:r>
      <w:r>
        <w:t xml:space="preserve">conditions under the TCV loan agreement that require </w:t>
      </w:r>
      <w:r w:rsidR="004D552A">
        <w:t xml:space="preserve">confirmation </w:t>
      </w:r>
      <w:r w:rsidR="00C47A8F">
        <w:t xml:space="preserve">by the council </w:t>
      </w:r>
      <w:r>
        <w:t xml:space="preserve">prior to draw down. </w:t>
      </w:r>
      <w:r w:rsidR="00A11849">
        <w:t xml:space="preserve">The key conditions </w:t>
      </w:r>
      <w:r w:rsidR="00AE1F08">
        <w:t>include</w:t>
      </w:r>
      <w:r w:rsidR="00402926">
        <w:t xml:space="preserve"> the council</w:t>
      </w:r>
      <w:r w:rsidR="00A11849">
        <w:t>:</w:t>
      </w:r>
    </w:p>
    <w:p w14:paraId="3B8A0054" w14:textId="3AABC349" w:rsidR="00A11849" w:rsidRDefault="00A11849" w:rsidP="00DF33CA">
      <w:pPr>
        <w:pStyle w:val="ListParagraph"/>
        <w:numPr>
          <w:ilvl w:val="0"/>
          <w:numId w:val="37"/>
        </w:numPr>
        <w:spacing w:before="80"/>
        <w:ind w:left="360"/>
      </w:pPr>
      <w:r>
        <w:t>can only borrow for specific purposes</w:t>
      </w:r>
      <w:r w:rsidR="00AE1F08">
        <w:t>,</w:t>
      </w:r>
      <w:r>
        <w:t xml:space="preserve"> as noted earlier in the eligibility </w:t>
      </w:r>
      <w:proofErr w:type="gramStart"/>
      <w:r>
        <w:t>section;</w:t>
      </w:r>
      <w:proofErr w:type="gramEnd"/>
      <w:r>
        <w:t xml:space="preserve">  </w:t>
      </w:r>
    </w:p>
    <w:p w14:paraId="76752547" w14:textId="58366ECE" w:rsidR="00823615" w:rsidRDefault="00A11849" w:rsidP="00DF33CA">
      <w:pPr>
        <w:pStyle w:val="ListParagraph"/>
        <w:numPr>
          <w:ilvl w:val="0"/>
          <w:numId w:val="37"/>
        </w:numPr>
        <w:spacing w:before="80"/>
        <w:ind w:left="360"/>
      </w:pPr>
      <w:r>
        <w:t xml:space="preserve">can only borrow </w:t>
      </w:r>
      <w:r w:rsidR="00823615">
        <w:t xml:space="preserve">as per details in their current annual adopted </w:t>
      </w:r>
      <w:proofErr w:type="gramStart"/>
      <w:r w:rsidR="00823615">
        <w:t>budget;</w:t>
      </w:r>
      <w:proofErr w:type="gramEnd"/>
    </w:p>
    <w:p w14:paraId="3EE7EC60" w14:textId="3B45AFB9" w:rsidR="00823615" w:rsidRDefault="00823615" w:rsidP="00DF33CA">
      <w:pPr>
        <w:pStyle w:val="ListParagraph"/>
        <w:numPr>
          <w:ilvl w:val="0"/>
          <w:numId w:val="37"/>
        </w:numPr>
        <w:spacing w:before="80"/>
        <w:ind w:left="360"/>
      </w:pPr>
      <w:r>
        <w:t xml:space="preserve">is required to </w:t>
      </w:r>
      <w:bookmarkStart w:id="75" w:name="_Int_o5qUUe9n"/>
      <w:proofErr w:type="gramStart"/>
      <w:r>
        <w:t xml:space="preserve">adhere to </w:t>
      </w:r>
      <w:r w:rsidR="003B4F28">
        <w:t xml:space="preserve">the following </w:t>
      </w:r>
      <w:r>
        <w:t>fin</w:t>
      </w:r>
      <w:r w:rsidR="00184008">
        <w:t>a</w:t>
      </w:r>
      <w:r>
        <w:t>n</w:t>
      </w:r>
      <w:r w:rsidR="00184008">
        <w:t>c</w:t>
      </w:r>
      <w:r>
        <w:t>ial indebtedness covenants</w:t>
      </w:r>
      <w:r w:rsidR="0040593C">
        <w:t xml:space="preserve"> at all times</w:t>
      </w:r>
      <w:bookmarkEnd w:id="75"/>
      <w:proofErr w:type="gramEnd"/>
      <w:r w:rsidR="00184008">
        <w:t>:</w:t>
      </w:r>
    </w:p>
    <w:p w14:paraId="1E454528" w14:textId="31C42FE5" w:rsidR="00184008" w:rsidRDefault="00184008" w:rsidP="00DF33CA">
      <w:pPr>
        <w:pStyle w:val="ListParagraph"/>
        <w:numPr>
          <w:ilvl w:val="1"/>
          <w:numId w:val="37"/>
        </w:numPr>
        <w:spacing w:before="80"/>
        <w:ind w:left="1080"/>
      </w:pPr>
      <w:r>
        <w:t xml:space="preserve">the aggregate </w:t>
      </w:r>
      <w:r w:rsidR="00AB659C">
        <w:t xml:space="preserve">of </w:t>
      </w:r>
      <w:bookmarkStart w:id="76" w:name="_Int_AkDXB6y7"/>
      <w:proofErr w:type="gramStart"/>
      <w:r>
        <w:t>Interest Bearing</w:t>
      </w:r>
      <w:bookmarkEnd w:id="76"/>
      <w:proofErr w:type="gramEnd"/>
      <w:r>
        <w:t xml:space="preserve"> Loans</w:t>
      </w:r>
      <w:r w:rsidR="4831FE37">
        <w:t xml:space="preserve">, Current and Non-Current Leases </w:t>
      </w:r>
      <w:r>
        <w:t>and Borrowings does not exceed 60% of Own Source Revenue</w:t>
      </w:r>
    </w:p>
    <w:p w14:paraId="2B3D86D0" w14:textId="6DDD7981" w:rsidR="00184008" w:rsidRDefault="00AB156D" w:rsidP="00DF33CA">
      <w:pPr>
        <w:pStyle w:val="ListParagraph"/>
        <w:numPr>
          <w:ilvl w:val="1"/>
          <w:numId w:val="37"/>
        </w:numPr>
        <w:spacing w:before="80"/>
        <w:ind w:left="1080"/>
      </w:pPr>
      <w:r>
        <w:t xml:space="preserve">an </w:t>
      </w:r>
      <w:r w:rsidR="00184008" w:rsidRPr="00DF33CA">
        <w:t xml:space="preserve">Interest Cover Ratio </w:t>
      </w:r>
      <w:r>
        <w:t xml:space="preserve">that is </w:t>
      </w:r>
      <w:r w:rsidR="00184008" w:rsidRPr="00DF33CA">
        <w:t>not less than 2.00:1.00</w:t>
      </w:r>
    </w:p>
    <w:p w14:paraId="44FCB031" w14:textId="5BE08CCE" w:rsidR="00184008" w:rsidRPr="00184008" w:rsidRDefault="00FA0C0A" w:rsidP="00DF33CA">
      <w:pPr>
        <w:pStyle w:val="ListParagraph"/>
        <w:numPr>
          <w:ilvl w:val="0"/>
          <w:numId w:val="37"/>
        </w:numPr>
        <w:ind w:left="360"/>
      </w:pPr>
      <w:r>
        <w:t>needing to s</w:t>
      </w:r>
      <w:r w:rsidR="00184008">
        <w:t xml:space="preserve">eek TCV’s consent </w:t>
      </w:r>
      <w:r w:rsidR="003D5688">
        <w:t xml:space="preserve">regarding the </w:t>
      </w:r>
      <w:r w:rsidR="00F7122F">
        <w:t>creation of security interests</w:t>
      </w:r>
      <w:r w:rsidR="003B3EA5">
        <w:t xml:space="preserve">, and closure or replacement of </w:t>
      </w:r>
      <w:r w:rsidR="00184008" w:rsidRPr="00DF33CA">
        <w:t>any bank account into/in which its General Rates revenue is deposited or held.</w:t>
      </w:r>
    </w:p>
    <w:p w14:paraId="48DF0252" w14:textId="56CE9956" w:rsidR="00EC3A39" w:rsidRDefault="00EC3A39" w:rsidP="00DF33CA">
      <w:pPr>
        <w:pStyle w:val="ListParagraph"/>
        <w:spacing w:before="80"/>
        <w:ind w:left="360"/>
      </w:pPr>
    </w:p>
    <w:p w14:paraId="2E68E5B9" w14:textId="4EDD5FF1" w:rsidR="00EC3A39" w:rsidRDefault="00EC3A39" w:rsidP="00EC3A39">
      <w:pPr>
        <w:rPr>
          <w:highlight w:val="yellow"/>
        </w:rPr>
      </w:pPr>
      <w:bookmarkStart w:id="77" w:name="_Int_QEDTwnMP"/>
      <w:proofErr w:type="gramStart"/>
      <w:r>
        <w:t xml:space="preserve">In </w:t>
      </w:r>
      <w:r w:rsidR="00087A14">
        <w:t>order to</w:t>
      </w:r>
      <w:bookmarkEnd w:id="77"/>
      <w:proofErr w:type="gramEnd"/>
      <w:r w:rsidR="00087A14">
        <w:t xml:space="preserve"> arrange a loan with TCV, </w:t>
      </w:r>
      <w:r>
        <w:t>a council will also be required to submit a Notice of Drawing as provided for in the loan agreement.</w:t>
      </w:r>
    </w:p>
    <w:p w14:paraId="0941AD32" w14:textId="1DB68961" w:rsidR="00EC3A39" w:rsidRDefault="00EC3A39" w:rsidP="00EC3A39">
      <w:r w:rsidRPr="00C9654C">
        <w:t>A</w:t>
      </w:r>
      <w:r>
        <w:t>n intercreditor deed may be required by councils which have other secured creditors. Where this is required</w:t>
      </w:r>
      <w:r w:rsidR="003A4018">
        <w:t>,</w:t>
      </w:r>
      <w:r>
        <w:t xml:space="preserve"> TCV’s legal costs regarding the preparation, negotiation, and execution of an intercreditor deed are payable by the council. </w:t>
      </w:r>
    </w:p>
    <w:p w14:paraId="2337746D" w14:textId="734F62C2" w:rsidR="00184008" w:rsidRDefault="00184008" w:rsidP="00EC3A39">
      <w:r>
        <w:t xml:space="preserve">The loan agreement also specifies </w:t>
      </w:r>
      <w:r w:rsidR="00EB70AC">
        <w:t xml:space="preserve">the </w:t>
      </w:r>
      <w:r w:rsidR="006B7DF6">
        <w:t xml:space="preserve">requirement </w:t>
      </w:r>
      <w:r w:rsidR="00EB70AC">
        <w:t xml:space="preserve">to </w:t>
      </w:r>
      <w:r w:rsidR="006B7DF6">
        <w:t>provide the following reporting to TCV annually</w:t>
      </w:r>
      <w:r>
        <w:t>:</w:t>
      </w:r>
    </w:p>
    <w:p w14:paraId="34EC0DB0" w14:textId="77777777" w:rsidR="00184008" w:rsidRPr="00DF33CA" w:rsidRDefault="00184008" w:rsidP="00DF33CA">
      <w:pPr>
        <w:pStyle w:val="ListParagraph"/>
        <w:numPr>
          <w:ilvl w:val="0"/>
          <w:numId w:val="37"/>
        </w:numPr>
        <w:spacing w:before="80"/>
        <w:ind w:left="360"/>
      </w:pPr>
      <w:r w:rsidRPr="00DF33CA">
        <w:t xml:space="preserve">copies of its audited Financial Statements for that Financial </w:t>
      </w:r>
      <w:proofErr w:type="gramStart"/>
      <w:r w:rsidRPr="00DF33CA">
        <w:t>Year;</w:t>
      </w:r>
      <w:proofErr w:type="gramEnd"/>
      <w:r w:rsidRPr="00DF33CA">
        <w:t xml:space="preserve"> </w:t>
      </w:r>
    </w:p>
    <w:p w14:paraId="5ED5D7A7" w14:textId="77777777" w:rsidR="00184008" w:rsidRPr="00DF33CA" w:rsidRDefault="00184008" w:rsidP="00DF33CA">
      <w:pPr>
        <w:pStyle w:val="ListParagraph"/>
        <w:numPr>
          <w:ilvl w:val="0"/>
          <w:numId w:val="37"/>
        </w:numPr>
        <w:spacing w:before="80"/>
        <w:ind w:left="360"/>
      </w:pPr>
      <w:r w:rsidRPr="00DF33CA">
        <w:t>a copy of its Annual Budget for the next Financial Year; and</w:t>
      </w:r>
    </w:p>
    <w:p w14:paraId="4CBEFCC8" w14:textId="7A8D03BF" w:rsidR="00184008" w:rsidRPr="00DF33CA" w:rsidRDefault="00184008" w:rsidP="00DF33CA">
      <w:pPr>
        <w:pStyle w:val="ListParagraph"/>
        <w:numPr>
          <w:ilvl w:val="0"/>
          <w:numId w:val="37"/>
        </w:numPr>
        <w:spacing w:before="80"/>
        <w:ind w:left="360"/>
      </w:pPr>
      <w:r w:rsidRPr="00DF33CA">
        <w:t>a compliance certificate confirming compliance with the financial undertakings.</w:t>
      </w:r>
    </w:p>
    <w:p w14:paraId="379E197A" w14:textId="77777777" w:rsidR="00EC3A39" w:rsidRPr="00DF33CA" w:rsidRDefault="00EC3A39" w:rsidP="00EC3A39">
      <w:pPr>
        <w:pStyle w:val="Heading2"/>
        <w:rPr>
          <w:color w:val="00B0F0"/>
        </w:rPr>
      </w:pPr>
      <w:bookmarkStart w:id="78" w:name="_Toc79755067"/>
      <w:bookmarkStart w:id="79" w:name="_Toc135819873"/>
      <w:bookmarkStart w:id="80" w:name="_Toc138251064"/>
      <w:r w:rsidRPr="712ED00F">
        <w:rPr>
          <w:color w:val="00B0F0"/>
        </w:rPr>
        <w:t>TCV client account onboarding</w:t>
      </w:r>
      <w:bookmarkEnd w:id="78"/>
      <w:bookmarkEnd w:id="79"/>
      <w:bookmarkEnd w:id="80"/>
    </w:p>
    <w:p w14:paraId="47442DA5" w14:textId="77777777" w:rsidR="00EC3A39" w:rsidRPr="00C508E1" w:rsidRDefault="00EC3A39" w:rsidP="245AE7BB">
      <w:pPr>
        <w:rPr>
          <w:rFonts w:cstheme="minorBidi"/>
        </w:rPr>
      </w:pPr>
      <w:bookmarkStart w:id="81" w:name="_Int_MNdD1KA3"/>
      <w:proofErr w:type="gramStart"/>
      <w:r w:rsidRPr="245AE7BB">
        <w:rPr>
          <w:rFonts w:cstheme="minorBidi"/>
        </w:rPr>
        <w:t>In order to</w:t>
      </w:r>
      <w:bookmarkEnd w:id="81"/>
      <w:proofErr w:type="gramEnd"/>
      <w:r w:rsidRPr="245AE7BB">
        <w:rPr>
          <w:rFonts w:cstheme="minorBidi"/>
        </w:rPr>
        <w:t xml:space="preserve"> access TCV’s lending and other transactional services, a council will be required to establish a client account at TCV. The following client account onboarding documentation will require completion:</w:t>
      </w:r>
    </w:p>
    <w:p w14:paraId="1D97E1FE" w14:textId="77777777" w:rsidR="00EC3A39" w:rsidRPr="00DF33CA" w:rsidRDefault="00EC3A39" w:rsidP="00EC3A39">
      <w:pPr>
        <w:pStyle w:val="Bullet"/>
        <w:spacing w:before="80"/>
        <w:ind w:left="357" w:hanging="357"/>
        <w:rPr>
          <w:rFonts w:asciiTheme="minorHAnsi" w:hAnsiTheme="minorHAnsi" w:cstheme="minorHAnsi"/>
          <w:i/>
          <w:iCs/>
          <w:sz w:val="20"/>
        </w:rPr>
      </w:pPr>
      <w:r w:rsidRPr="00DF33CA">
        <w:rPr>
          <w:rFonts w:asciiTheme="minorHAnsi" w:hAnsiTheme="minorHAnsi" w:cstheme="minorHAnsi"/>
          <w:i/>
          <w:iCs/>
          <w:sz w:val="20"/>
          <w:lang w:eastAsia="en-AU"/>
        </w:rPr>
        <w:t xml:space="preserve">TCV Participating Authority application </w:t>
      </w:r>
    </w:p>
    <w:p w14:paraId="66C598F3" w14:textId="77777777" w:rsidR="00EC3A39" w:rsidRPr="00DF33CA" w:rsidRDefault="00EC3A39" w:rsidP="00EC3A39">
      <w:pPr>
        <w:pStyle w:val="Bullet"/>
        <w:spacing w:before="80"/>
        <w:ind w:left="357" w:hanging="357"/>
        <w:rPr>
          <w:rFonts w:asciiTheme="minorHAnsi" w:hAnsiTheme="minorHAnsi" w:cstheme="minorHAnsi"/>
          <w:i/>
          <w:iCs/>
          <w:sz w:val="20"/>
        </w:rPr>
      </w:pPr>
      <w:r w:rsidRPr="00DF33CA">
        <w:rPr>
          <w:rFonts w:asciiTheme="minorHAnsi" w:hAnsiTheme="minorHAnsi" w:cstheme="minorHAnsi"/>
          <w:i/>
          <w:iCs/>
          <w:sz w:val="20"/>
          <w:lang w:eastAsia="en-AU"/>
        </w:rPr>
        <w:t xml:space="preserve">List of </w:t>
      </w:r>
      <w:proofErr w:type="spellStart"/>
      <w:r w:rsidRPr="00DF33CA">
        <w:rPr>
          <w:rFonts w:asciiTheme="minorHAnsi" w:hAnsiTheme="minorHAnsi" w:cstheme="minorHAnsi"/>
          <w:i/>
          <w:iCs/>
          <w:sz w:val="20"/>
          <w:lang w:eastAsia="en-AU"/>
        </w:rPr>
        <w:t>Authorised</w:t>
      </w:r>
      <w:proofErr w:type="spellEnd"/>
      <w:r w:rsidRPr="00DF33CA">
        <w:rPr>
          <w:rFonts w:asciiTheme="minorHAnsi" w:hAnsiTheme="minorHAnsi" w:cstheme="minorHAnsi"/>
          <w:i/>
          <w:iCs/>
          <w:sz w:val="20"/>
          <w:lang w:eastAsia="en-AU"/>
        </w:rPr>
        <w:t xml:space="preserve"> Personnel form</w:t>
      </w:r>
    </w:p>
    <w:p w14:paraId="45898DA6" w14:textId="77777777" w:rsidR="00EC3A39" w:rsidRPr="00DF33CA" w:rsidRDefault="00EC3A39" w:rsidP="00EC3A39">
      <w:pPr>
        <w:pStyle w:val="Bullet"/>
        <w:spacing w:before="80"/>
        <w:ind w:left="357" w:hanging="357"/>
        <w:rPr>
          <w:rFonts w:asciiTheme="minorHAnsi" w:hAnsiTheme="minorHAnsi" w:cstheme="minorHAnsi"/>
          <w:i/>
          <w:iCs/>
          <w:sz w:val="20"/>
        </w:rPr>
      </w:pPr>
      <w:r w:rsidRPr="00DF33CA">
        <w:rPr>
          <w:rFonts w:asciiTheme="minorHAnsi" w:hAnsiTheme="minorHAnsi" w:cstheme="minorHAnsi"/>
          <w:i/>
          <w:iCs/>
          <w:sz w:val="20"/>
          <w:lang w:eastAsia="en-AU"/>
        </w:rPr>
        <w:t>TCV Client Portal Access form</w:t>
      </w:r>
    </w:p>
    <w:p w14:paraId="490BFE4F" w14:textId="77777777" w:rsidR="00EC3A39" w:rsidRPr="00DF33CA" w:rsidRDefault="00EC3A39" w:rsidP="00EC3A39">
      <w:pPr>
        <w:pStyle w:val="Bullet"/>
        <w:spacing w:before="80"/>
        <w:ind w:left="357" w:hanging="357"/>
        <w:rPr>
          <w:rFonts w:asciiTheme="minorHAnsi" w:hAnsiTheme="minorHAnsi" w:cstheme="minorHAnsi"/>
          <w:i/>
          <w:iCs/>
          <w:sz w:val="20"/>
          <w:lang w:eastAsia="en-AU"/>
        </w:rPr>
      </w:pPr>
      <w:r w:rsidRPr="00DF33CA">
        <w:rPr>
          <w:rFonts w:asciiTheme="minorHAnsi" w:hAnsiTheme="minorHAnsi" w:cstheme="minorHAnsi"/>
          <w:i/>
          <w:iCs/>
          <w:sz w:val="20"/>
          <w:lang w:eastAsia="en-AU"/>
        </w:rPr>
        <w:lastRenderedPageBreak/>
        <w:t xml:space="preserve">Direct Debit Request Service Agreement / confirmation of </w:t>
      </w:r>
      <w:proofErr w:type="spellStart"/>
      <w:r w:rsidRPr="00DF33CA">
        <w:rPr>
          <w:rFonts w:asciiTheme="minorHAnsi" w:hAnsiTheme="minorHAnsi" w:cstheme="minorHAnsi"/>
          <w:i/>
          <w:iCs/>
          <w:sz w:val="20"/>
          <w:lang w:eastAsia="en-AU"/>
        </w:rPr>
        <w:t>organisation</w:t>
      </w:r>
      <w:proofErr w:type="spellEnd"/>
      <w:r w:rsidRPr="00DF33CA">
        <w:rPr>
          <w:rFonts w:asciiTheme="minorHAnsi" w:hAnsiTheme="minorHAnsi" w:cstheme="minorHAnsi"/>
          <w:i/>
          <w:iCs/>
          <w:sz w:val="20"/>
          <w:lang w:eastAsia="en-AU"/>
        </w:rPr>
        <w:t xml:space="preserve"> bank account details.</w:t>
      </w:r>
    </w:p>
    <w:p w14:paraId="6C27F0D7" w14:textId="77777777" w:rsidR="00EC3A39" w:rsidRPr="00DF33CA" w:rsidRDefault="00EC3A39" w:rsidP="00EC3A39">
      <w:pPr>
        <w:pStyle w:val="Heading2"/>
        <w:rPr>
          <w:color w:val="00B0F0"/>
        </w:rPr>
      </w:pPr>
      <w:bookmarkStart w:id="82" w:name="_Toc79755068"/>
      <w:bookmarkStart w:id="83" w:name="_Toc135819874"/>
      <w:bookmarkStart w:id="84" w:name="_Toc138251065"/>
      <w:r w:rsidRPr="712ED00F">
        <w:rPr>
          <w:color w:val="00B0F0"/>
        </w:rPr>
        <w:t>TCV loan product offering</w:t>
      </w:r>
      <w:bookmarkEnd w:id="82"/>
      <w:bookmarkEnd w:id="83"/>
      <w:bookmarkEnd w:id="84"/>
    </w:p>
    <w:p w14:paraId="534F67A2" w14:textId="77777777" w:rsidR="00EC3A39" w:rsidRPr="00DF33CA" w:rsidRDefault="00EC3A39" w:rsidP="00EC3A39">
      <w:pPr>
        <w:pStyle w:val="Listnum"/>
        <w:numPr>
          <w:ilvl w:val="0"/>
          <w:numId w:val="0"/>
        </w:numPr>
        <w:tabs>
          <w:tab w:val="left" w:pos="720"/>
        </w:tabs>
        <w:rPr>
          <w:rFonts w:cstheme="minorHAnsi"/>
          <w:color w:val="auto"/>
          <w:sz w:val="22"/>
          <w:szCs w:val="22"/>
        </w:rPr>
      </w:pPr>
      <w:r w:rsidRPr="00DF33CA">
        <w:rPr>
          <w:rFonts w:cstheme="minorHAnsi"/>
          <w:color w:val="auto"/>
          <w:sz w:val="22"/>
          <w:szCs w:val="22"/>
        </w:rPr>
        <w:t>TCV offers a range of flexible loan products that can be arranged to meet the requirements of individual councils. The range includes:</w:t>
      </w:r>
    </w:p>
    <w:tbl>
      <w:tblPr>
        <w:tblStyle w:val="TableGrid"/>
        <w:tblW w:w="0" w:type="auto"/>
        <w:tblLook w:val="04A0" w:firstRow="1" w:lastRow="0" w:firstColumn="1" w:lastColumn="0" w:noHBand="0" w:noVBand="1"/>
      </w:tblPr>
      <w:tblGrid>
        <w:gridCol w:w="2547"/>
        <w:gridCol w:w="6469"/>
      </w:tblGrid>
      <w:tr w:rsidR="00EC3A39" w:rsidRPr="00294848" w14:paraId="6C32FF19" w14:textId="77777777">
        <w:tc>
          <w:tcPr>
            <w:tcW w:w="2547" w:type="dxa"/>
            <w:tcBorders>
              <w:top w:val="single" w:sz="4" w:space="0" w:color="auto"/>
              <w:left w:val="single" w:sz="4" w:space="0" w:color="auto"/>
              <w:bottom w:val="single" w:sz="4" w:space="0" w:color="auto"/>
              <w:right w:val="single" w:sz="4" w:space="0" w:color="auto"/>
            </w:tcBorders>
            <w:shd w:val="clear" w:color="auto" w:fill="DFE1DF" w:themeFill="background2"/>
            <w:hideMark/>
          </w:tcPr>
          <w:p w14:paraId="284791B0" w14:textId="77777777" w:rsidR="00EC3A39" w:rsidRPr="000D118F" w:rsidRDefault="00EC3A39">
            <w:pPr>
              <w:rPr>
                <w:rFonts w:cstheme="minorHAnsi"/>
                <w:b/>
                <w:bCs/>
                <w:szCs w:val="18"/>
              </w:rPr>
            </w:pPr>
            <w:r w:rsidRPr="000D118F">
              <w:rPr>
                <w:rFonts w:cstheme="minorHAnsi"/>
                <w:b/>
                <w:bCs/>
                <w:szCs w:val="18"/>
              </w:rPr>
              <w:t>TCV loan</w:t>
            </w:r>
          </w:p>
        </w:tc>
        <w:tc>
          <w:tcPr>
            <w:tcW w:w="6469" w:type="dxa"/>
            <w:tcBorders>
              <w:top w:val="single" w:sz="4" w:space="0" w:color="auto"/>
              <w:left w:val="single" w:sz="4" w:space="0" w:color="auto"/>
              <w:bottom w:val="single" w:sz="4" w:space="0" w:color="auto"/>
              <w:right w:val="single" w:sz="4" w:space="0" w:color="auto"/>
            </w:tcBorders>
            <w:shd w:val="clear" w:color="auto" w:fill="DFE1DF" w:themeFill="background2"/>
            <w:hideMark/>
          </w:tcPr>
          <w:p w14:paraId="5CACCCA0" w14:textId="77777777" w:rsidR="00EC3A39" w:rsidRPr="000D118F" w:rsidRDefault="00EC3A39">
            <w:pPr>
              <w:rPr>
                <w:rFonts w:cstheme="minorHAnsi"/>
                <w:b/>
                <w:bCs/>
                <w:szCs w:val="18"/>
              </w:rPr>
            </w:pPr>
            <w:r w:rsidRPr="000D118F">
              <w:rPr>
                <w:rFonts w:cstheme="minorHAnsi"/>
                <w:b/>
                <w:bCs/>
                <w:szCs w:val="18"/>
              </w:rPr>
              <w:t>Description</w:t>
            </w:r>
          </w:p>
        </w:tc>
      </w:tr>
      <w:tr w:rsidR="00EC3A39" w:rsidRPr="00294848" w14:paraId="35712C76" w14:textId="77777777">
        <w:tc>
          <w:tcPr>
            <w:tcW w:w="2547" w:type="dxa"/>
            <w:tcBorders>
              <w:top w:val="single" w:sz="4" w:space="0" w:color="auto"/>
              <w:left w:val="single" w:sz="4" w:space="0" w:color="auto"/>
              <w:bottom w:val="single" w:sz="4" w:space="0" w:color="auto"/>
              <w:right w:val="single" w:sz="4" w:space="0" w:color="auto"/>
            </w:tcBorders>
            <w:hideMark/>
          </w:tcPr>
          <w:p w14:paraId="7B714E46" w14:textId="77777777" w:rsidR="00EC3A39" w:rsidRPr="00D90D44" w:rsidRDefault="00EC3A39">
            <w:pPr>
              <w:rPr>
                <w:rFonts w:cstheme="minorHAnsi"/>
                <w:szCs w:val="18"/>
              </w:rPr>
            </w:pPr>
            <w:r w:rsidRPr="00D90D44">
              <w:rPr>
                <w:rFonts w:cstheme="minorHAnsi"/>
                <w:szCs w:val="18"/>
              </w:rPr>
              <w:t>11am loan</w:t>
            </w:r>
          </w:p>
        </w:tc>
        <w:tc>
          <w:tcPr>
            <w:tcW w:w="6469" w:type="dxa"/>
            <w:tcBorders>
              <w:top w:val="single" w:sz="4" w:space="0" w:color="auto"/>
              <w:left w:val="single" w:sz="4" w:space="0" w:color="auto"/>
              <w:bottom w:val="single" w:sz="4" w:space="0" w:color="auto"/>
              <w:right w:val="single" w:sz="4" w:space="0" w:color="auto"/>
            </w:tcBorders>
            <w:hideMark/>
          </w:tcPr>
          <w:p w14:paraId="44D4DEB9" w14:textId="77777777" w:rsidR="00EC3A39" w:rsidRPr="00DF33CA" w:rsidRDefault="00EC3A39">
            <w:pPr>
              <w:pStyle w:val="NormalSpace"/>
              <w:rPr>
                <w:rFonts w:asciiTheme="minorHAnsi" w:hAnsiTheme="minorHAnsi" w:cstheme="minorHAnsi"/>
                <w:i/>
                <w:iCs/>
                <w:sz w:val="20"/>
              </w:rPr>
            </w:pPr>
            <w:r w:rsidRPr="00DF33CA">
              <w:rPr>
                <w:rFonts w:asciiTheme="minorHAnsi" w:hAnsiTheme="minorHAnsi" w:cstheme="minorHAnsi"/>
                <w:i/>
                <w:iCs/>
                <w:sz w:val="20"/>
              </w:rPr>
              <w:t>A short-term loan product to be generally used by council to fund working capital and cash management requirements or alternatively to be drawn to fund specific project borrowings during the construction phase. The interest rate on a TCV 11am loan is variable and is determined with reference to the market cash rate and TCV’s client lending fees. Interest on the 11am loan facility accrues daily and is payable on the first business day on the following month.</w:t>
            </w:r>
          </w:p>
        </w:tc>
      </w:tr>
      <w:tr w:rsidR="00EC3A39" w:rsidRPr="00294848" w14:paraId="40C416C5" w14:textId="77777777">
        <w:tc>
          <w:tcPr>
            <w:tcW w:w="2547" w:type="dxa"/>
            <w:tcBorders>
              <w:top w:val="single" w:sz="4" w:space="0" w:color="auto"/>
              <w:left w:val="single" w:sz="4" w:space="0" w:color="auto"/>
              <w:bottom w:val="single" w:sz="4" w:space="0" w:color="auto"/>
              <w:right w:val="single" w:sz="4" w:space="0" w:color="auto"/>
            </w:tcBorders>
            <w:hideMark/>
          </w:tcPr>
          <w:p w14:paraId="51C368C2" w14:textId="77777777" w:rsidR="00EC3A39" w:rsidRPr="00781D50" w:rsidRDefault="00EC3A39">
            <w:pPr>
              <w:rPr>
                <w:rFonts w:cstheme="minorHAnsi"/>
                <w:szCs w:val="18"/>
              </w:rPr>
            </w:pPr>
            <w:r w:rsidRPr="00D90D44">
              <w:rPr>
                <w:rFonts w:cstheme="minorHAnsi"/>
                <w:szCs w:val="18"/>
              </w:rPr>
              <w:t>Term Floating Rate Note loan</w:t>
            </w:r>
          </w:p>
        </w:tc>
        <w:tc>
          <w:tcPr>
            <w:tcW w:w="6469" w:type="dxa"/>
            <w:tcBorders>
              <w:top w:val="single" w:sz="4" w:space="0" w:color="auto"/>
              <w:left w:val="single" w:sz="4" w:space="0" w:color="auto"/>
              <w:bottom w:val="single" w:sz="4" w:space="0" w:color="auto"/>
              <w:right w:val="single" w:sz="4" w:space="0" w:color="auto"/>
            </w:tcBorders>
            <w:hideMark/>
          </w:tcPr>
          <w:p w14:paraId="5096B5AA" w14:textId="77777777" w:rsidR="00EC3A39" w:rsidRPr="00DF33CA" w:rsidRDefault="00EC3A39">
            <w:pPr>
              <w:pStyle w:val="NormalSpace"/>
              <w:rPr>
                <w:rFonts w:asciiTheme="minorHAnsi" w:hAnsiTheme="minorHAnsi" w:cstheme="minorHAnsi"/>
                <w:i/>
                <w:iCs/>
                <w:sz w:val="20"/>
              </w:rPr>
            </w:pPr>
            <w:r w:rsidRPr="00DF33CA">
              <w:rPr>
                <w:rFonts w:asciiTheme="minorHAnsi" w:hAnsiTheme="minorHAnsi" w:cstheme="minorHAnsi"/>
                <w:i/>
                <w:iCs/>
                <w:sz w:val="20"/>
              </w:rPr>
              <w:t xml:space="preserve">Term Floating Rate Note loans are for fixed terms, however, the rate of interest paid is variable and may be reset monthly, quarterly, or semi-annually. </w:t>
            </w:r>
          </w:p>
        </w:tc>
      </w:tr>
      <w:tr w:rsidR="00EC3A39" w:rsidRPr="00294848" w14:paraId="4FD94078" w14:textId="77777777">
        <w:tc>
          <w:tcPr>
            <w:tcW w:w="2547" w:type="dxa"/>
            <w:tcBorders>
              <w:top w:val="single" w:sz="4" w:space="0" w:color="auto"/>
              <w:left w:val="single" w:sz="4" w:space="0" w:color="auto"/>
              <w:bottom w:val="single" w:sz="4" w:space="0" w:color="auto"/>
              <w:right w:val="single" w:sz="4" w:space="0" w:color="auto"/>
            </w:tcBorders>
            <w:hideMark/>
          </w:tcPr>
          <w:p w14:paraId="3DAA5F81" w14:textId="77777777" w:rsidR="00EC3A39" w:rsidRPr="00D90D44" w:rsidRDefault="00EC3A39">
            <w:pPr>
              <w:rPr>
                <w:rFonts w:cstheme="minorHAnsi"/>
                <w:szCs w:val="18"/>
              </w:rPr>
            </w:pPr>
            <w:r w:rsidRPr="00D90D44">
              <w:rPr>
                <w:rFonts w:cstheme="minorHAnsi"/>
                <w:szCs w:val="18"/>
              </w:rPr>
              <w:t>Term fixed rate loan</w:t>
            </w:r>
          </w:p>
        </w:tc>
        <w:tc>
          <w:tcPr>
            <w:tcW w:w="6469" w:type="dxa"/>
            <w:tcBorders>
              <w:top w:val="single" w:sz="4" w:space="0" w:color="auto"/>
              <w:left w:val="single" w:sz="4" w:space="0" w:color="auto"/>
              <w:bottom w:val="single" w:sz="4" w:space="0" w:color="auto"/>
              <w:right w:val="single" w:sz="4" w:space="0" w:color="auto"/>
            </w:tcBorders>
            <w:hideMark/>
          </w:tcPr>
          <w:p w14:paraId="4C1EACD5" w14:textId="77777777" w:rsidR="00EC3A39" w:rsidRPr="00DF33CA" w:rsidRDefault="00EC3A39">
            <w:pPr>
              <w:pStyle w:val="NormalSpaceCharChar"/>
              <w:rPr>
                <w:rFonts w:asciiTheme="minorHAnsi" w:hAnsiTheme="minorHAnsi" w:cstheme="minorHAnsi"/>
                <w:i/>
                <w:iCs/>
                <w:sz w:val="20"/>
              </w:rPr>
            </w:pPr>
            <w:r w:rsidRPr="00DF33CA">
              <w:rPr>
                <w:rFonts w:asciiTheme="minorHAnsi" w:hAnsiTheme="minorHAnsi" w:cstheme="minorHAnsi"/>
                <w:i/>
                <w:iCs/>
                <w:sz w:val="20"/>
              </w:rPr>
              <w:t xml:space="preserve">Term fixed rate loans include interest only (bullet style) loans with principal payable at maturity and amortising principal and interest (credit </w:t>
            </w:r>
            <w:proofErr w:type="spellStart"/>
            <w:r w:rsidRPr="00DF33CA">
              <w:rPr>
                <w:rFonts w:asciiTheme="minorHAnsi" w:hAnsiTheme="minorHAnsi" w:cstheme="minorHAnsi"/>
                <w:i/>
                <w:iCs/>
                <w:sz w:val="20"/>
              </w:rPr>
              <w:t>foncier</w:t>
            </w:r>
            <w:proofErr w:type="spellEnd"/>
            <w:r w:rsidRPr="00DF33CA">
              <w:rPr>
                <w:rFonts w:asciiTheme="minorHAnsi" w:hAnsiTheme="minorHAnsi" w:cstheme="minorHAnsi"/>
                <w:i/>
                <w:iCs/>
                <w:sz w:val="20"/>
              </w:rPr>
              <w:t>) loans. TCV offers fixed rate loans for periods up to 15 years, while loan terms greater than this can be provided by special arrangement. Term loans can be structured to suit tailored drawdown and repayment profiles.</w:t>
            </w:r>
          </w:p>
        </w:tc>
      </w:tr>
      <w:tr w:rsidR="00EC3A39" w:rsidRPr="00294848" w14:paraId="608C1FAA" w14:textId="77777777">
        <w:tc>
          <w:tcPr>
            <w:tcW w:w="2547" w:type="dxa"/>
            <w:tcBorders>
              <w:top w:val="single" w:sz="4" w:space="0" w:color="auto"/>
              <w:left w:val="single" w:sz="4" w:space="0" w:color="auto"/>
              <w:bottom w:val="single" w:sz="4" w:space="0" w:color="auto"/>
              <w:right w:val="single" w:sz="4" w:space="0" w:color="auto"/>
            </w:tcBorders>
            <w:hideMark/>
          </w:tcPr>
          <w:p w14:paraId="5C8B144F" w14:textId="77777777" w:rsidR="00EC3A39" w:rsidRPr="00D90D44" w:rsidRDefault="00EC3A39">
            <w:pPr>
              <w:rPr>
                <w:rFonts w:cstheme="minorHAnsi"/>
                <w:szCs w:val="18"/>
              </w:rPr>
            </w:pPr>
            <w:r w:rsidRPr="00D90D44">
              <w:rPr>
                <w:rFonts w:cstheme="minorHAnsi"/>
                <w:szCs w:val="18"/>
              </w:rPr>
              <w:t>Flexible Rate Set Term loans</w:t>
            </w:r>
          </w:p>
        </w:tc>
        <w:tc>
          <w:tcPr>
            <w:tcW w:w="6469" w:type="dxa"/>
            <w:tcBorders>
              <w:top w:val="single" w:sz="4" w:space="0" w:color="auto"/>
              <w:left w:val="single" w:sz="4" w:space="0" w:color="auto"/>
              <w:bottom w:val="single" w:sz="4" w:space="0" w:color="auto"/>
              <w:right w:val="single" w:sz="4" w:space="0" w:color="auto"/>
            </w:tcBorders>
            <w:hideMark/>
          </w:tcPr>
          <w:p w14:paraId="5E96F6EF" w14:textId="77777777" w:rsidR="00EC3A39" w:rsidRPr="00DF33CA" w:rsidRDefault="00EC3A39">
            <w:pPr>
              <w:pStyle w:val="NormalSpaceCharChar"/>
              <w:rPr>
                <w:rFonts w:asciiTheme="minorHAnsi" w:hAnsiTheme="minorHAnsi" w:cstheme="minorHAnsi"/>
                <w:i/>
                <w:iCs/>
                <w:sz w:val="20"/>
              </w:rPr>
            </w:pPr>
            <w:r w:rsidRPr="00DF33CA">
              <w:rPr>
                <w:rFonts w:asciiTheme="minorHAnsi" w:hAnsiTheme="minorHAnsi" w:cstheme="minorHAnsi"/>
                <w:i/>
                <w:iCs/>
                <w:sz w:val="20"/>
              </w:rPr>
              <w:t>Flexible Rate Set Term loans are for a fixed term and coupon payment frequency and provide councils with the flexibility to set the interest rate at the floating rate benchmark rate or fix the interest rate for certain periods during the life of the loan. The Flexible Rate Set Term loan provides for multiple resets of the interest rate from floating to fixed, or from fixed to floating. Interest rate resets occur on coupon payment dates.</w:t>
            </w:r>
          </w:p>
        </w:tc>
      </w:tr>
    </w:tbl>
    <w:p w14:paraId="7AA7ABB9" w14:textId="77777777" w:rsidR="00EC3A39" w:rsidRDefault="00EC3A39" w:rsidP="00EC3A39">
      <w:r>
        <w:t>TCV will work with the council to determine the most appropriate structure to meet their needs.</w:t>
      </w:r>
    </w:p>
    <w:p w14:paraId="3050652C" w14:textId="77777777" w:rsidR="00EC3A39" w:rsidRPr="00DF33CA" w:rsidRDefault="00EC3A39" w:rsidP="00EC3A39">
      <w:pPr>
        <w:pStyle w:val="Heading2"/>
        <w:rPr>
          <w:color w:val="00B0F0"/>
        </w:rPr>
      </w:pPr>
      <w:bookmarkStart w:id="85" w:name="_Toc79755069"/>
      <w:bookmarkStart w:id="86" w:name="_Toc135819875"/>
      <w:bookmarkStart w:id="87" w:name="_Toc138251066"/>
      <w:r w:rsidRPr="712ED00F">
        <w:rPr>
          <w:color w:val="00B0F0"/>
        </w:rPr>
        <w:t>Interest rates</w:t>
      </w:r>
      <w:bookmarkEnd w:id="85"/>
      <w:bookmarkEnd w:id="86"/>
      <w:bookmarkEnd w:id="87"/>
    </w:p>
    <w:p w14:paraId="17460DC5" w14:textId="5BD40026" w:rsidR="00EC3A39" w:rsidRDefault="00EC3A39" w:rsidP="00EC3A39">
      <w:pPr>
        <w:rPr>
          <w:rFonts w:cstheme="minorHAnsi"/>
          <w:szCs w:val="18"/>
        </w:rPr>
      </w:pPr>
      <w:r w:rsidRPr="00B54B56">
        <w:rPr>
          <w:rFonts w:cstheme="minorHAnsi"/>
          <w:szCs w:val="18"/>
        </w:rPr>
        <w:t xml:space="preserve">TCV will provide borrowers with prevailing loan interest rate information at the time requested. It is important to note that TCV’s loan interest rates are subject to market </w:t>
      </w:r>
      <w:r w:rsidR="008337B1">
        <w:rPr>
          <w:rFonts w:cstheme="minorHAnsi"/>
          <w:szCs w:val="18"/>
        </w:rPr>
        <w:t>movem</w:t>
      </w:r>
      <w:r w:rsidR="00E11178">
        <w:rPr>
          <w:rFonts w:cstheme="minorHAnsi"/>
          <w:szCs w:val="18"/>
        </w:rPr>
        <w:t>ents</w:t>
      </w:r>
      <w:r w:rsidRPr="00B54B56">
        <w:rPr>
          <w:rFonts w:cstheme="minorHAnsi"/>
          <w:szCs w:val="18"/>
        </w:rPr>
        <w:t xml:space="preserve"> and therefore the actual interest rate offered will be dependent on TCV's loan interest rate at the date of transaction execution.</w:t>
      </w:r>
      <w:r>
        <w:rPr>
          <w:rFonts w:cstheme="minorHAnsi"/>
          <w:szCs w:val="18"/>
        </w:rPr>
        <w:t xml:space="preserve"> </w:t>
      </w:r>
    </w:p>
    <w:p w14:paraId="758B0EA9" w14:textId="77777777" w:rsidR="00EC3A39" w:rsidRDefault="00EC3A39" w:rsidP="00EC3A39">
      <w:pPr>
        <w:rPr>
          <w:rFonts w:cstheme="minorHAnsi"/>
          <w:szCs w:val="18"/>
        </w:rPr>
      </w:pPr>
      <w:r>
        <w:rPr>
          <w:rFonts w:cstheme="minorHAnsi"/>
          <w:szCs w:val="18"/>
        </w:rPr>
        <w:t xml:space="preserve">The TCV loan interest rate is determined by the TCV yield curve which is primarily derived from observable TCV market funding rates across the maturity spectrum. Indicative 3-year and 10-year TCV bond yields are published monthly on TCV’s website, </w:t>
      </w:r>
      <w:hyperlink r:id="rId12" w:history="1">
        <w:r w:rsidRPr="00583909">
          <w:rPr>
            <w:rStyle w:val="Hyperlink"/>
            <w:rFonts w:cstheme="minorHAnsi"/>
            <w:szCs w:val="18"/>
          </w:rPr>
          <w:t>www.tcv.vic.gov.au</w:t>
        </w:r>
      </w:hyperlink>
      <w:r>
        <w:rPr>
          <w:rStyle w:val="Hyperlink"/>
          <w:rFonts w:cstheme="minorHAnsi"/>
          <w:szCs w:val="18"/>
        </w:rPr>
        <w:t>.</w:t>
      </w:r>
      <w:r>
        <w:rPr>
          <w:rFonts w:cstheme="minorHAnsi"/>
          <w:szCs w:val="18"/>
        </w:rPr>
        <w:t xml:space="preserve"> </w:t>
      </w:r>
    </w:p>
    <w:p w14:paraId="72BE7043" w14:textId="57702C77" w:rsidR="00EC3A39" w:rsidRPr="00DF33CA" w:rsidRDefault="00EC3A39" w:rsidP="245AE7BB">
      <w:pPr>
        <w:rPr>
          <w:rFonts w:cstheme="minorBidi"/>
        </w:rPr>
      </w:pPr>
      <w:r w:rsidRPr="245AE7BB">
        <w:rPr>
          <w:rFonts w:cstheme="minorBidi"/>
        </w:rPr>
        <w:lastRenderedPageBreak/>
        <w:t xml:space="preserve">A sample of TCV’s interest rates </w:t>
      </w:r>
      <w:r w:rsidRPr="245AE7BB">
        <w:rPr>
          <w:rFonts w:cstheme="minorBidi"/>
          <w:b/>
          <w:bCs/>
        </w:rPr>
        <w:t xml:space="preserve">as of </w:t>
      </w:r>
      <w:r w:rsidR="0014592C">
        <w:rPr>
          <w:rFonts w:cstheme="minorBidi"/>
          <w:b/>
          <w:bCs/>
        </w:rPr>
        <w:t xml:space="preserve">1 June </w:t>
      </w:r>
      <w:r w:rsidR="00551347" w:rsidRPr="245AE7BB">
        <w:rPr>
          <w:rFonts w:cstheme="minorBidi"/>
          <w:b/>
          <w:bCs/>
        </w:rPr>
        <w:t>2023</w:t>
      </w:r>
      <w:r w:rsidRPr="245AE7BB">
        <w:rPr>
          <w:rFonts w:cstheme="minorBidi"/>
        </w:rPr>
        <w:t>, inclusive of TCV’s lending fee, is detailed in the following table:</w:t>
      </w:r>
    </w:p>
    <w:tbl>
      <w:tblPr>
        <w:tblStyle w:val="TableGrid"/>
        <w:tblW w:w="0" w:type="auto"/>
        <w:tblLook w:val="04A0" w:firstRow="1" w:lastRow="0" w:firstColumn="1" w:lastColumn="0" w:noHBand="0" w:noVBand="1"/>
      </w:tblPr>
      <w:tblGrid>
        <w:gridCol w:w="2254"/>
        <w:gridCol w:w="2419"/>
        <w:gridCol w:w="2089"/>
        <w:gridCol w:w="2254"/>
      </w:tblGrid>
      <w:tr w:rsidR="00EC3A39" w:rsidRPr="00E7428D" w14:paraId="310A9582" w14:textId="77777777" w:rsidTr="245AE7BB">
        <w:tc>
          <w:tcPr>
            <w:tcW w:w="4673" w:type="dxa"/>
            <w:gridSpan w:val="2"/>
            <w:tcBorders>
              <w:top w:val="single" w:sz="4" w:space="0" w:color="auto"/>
              <w:left w:val="single" w:sz="4" w:space="0" w:color="auto"/>
              <w:bottom w:val="single" w:sz="4" w:space="0" w:color="auto"/>
              <w:right w:val="single" w:sz="4" w:space="0" w:color="auto"/>
            </w:tcBorders>
            <w:hideMark/>
          </w:tcPr>
          <w:p w14:paraId="0EE5B8BF" w14:textId="77777777" w:rsidR="00EC3A39" w:rsidRPr="00DF33CA" w:rsidRDefault="00EC3A39" w:rsidP="245AE7BB">
            <w:pPr>
              <w:rPr>
                <w:rFonts w:cstheme="minorBidi"/>
              </w:rPr>
            </w:pPr>
            <w:r w:rsidRPr="245AE7BB">
              <w:rPr>
                <w:rFonts w:cstheme="minorBidi"/>
              </w:rPr>
              <w:t>TCV 11am loan</w:t>
            </w:r>
          </w:p>
        </w:tc>
        <w:tc>
          <w:tcPr>
            <w:tcW w:w="4343" w:type="dxa"/>
            <w:gridSpan w:val="2"/>
            <w:tcBorders>
              <w:top w:val="single" w:sz="4" w:space="0" w:color="auto"/>
              <w:left w:val="single" w:sz="4" w:space="0" w:color="auto"/>
              <w:bottom w:val="single" w:sz="4" w:space="0" w:color="auto"/>
              <w:right w:val="single" w:sz="4" w:space="0" w:color="auto"/>
            </w:tcBorders>
            <w:hideMark/>
          </w:tcPr>
          <w:p w14:paraId="1DED3B59" w14:textId="0566BDA8" w:rsidR="00EC3A39" w:rsidRPr="00DF33CA" w:rsidRDefault="0014592C" w:rsidP="245AE7BB">
            <w:pPr>
              <w:rPr>
                <w:rFonts w:cstheme="minorBidi"/>
              </w:rPr>
            </w:pPr>
            <w:r>
              <w:rPr>
                <w:rFonts w:cstheme="minorBidi"/>
              </w:rPr>
              <w:t>4.165</w:t>
            </w:r>
            <w:r w:rsidR="00EC3A39" w:rsidRPr="245AE7BB">
              <w:rPr>
                <w:rFonts w:cstheme="minorBidi"/>
              </w:rPr>
              <w:t>%</w:t>
            </w:r>
          </w:p>
        </w:tc>
      </w:tr>
      <w:tr w:rsidR="00EC3A39" w:rsidRPr="00E7428D" w14:paraId="2F8C4D4E" w14:textId="77777777" w:rsidTr="245AE7BB">
        <w:tc>
          <w:tcPr>
            <w:tcW w:w="4673" w:type="dxa"/>
            <w:gridSpan w:val="2"/>
            <w:tcBorders>
              <w:top w:val="single" w:sz="4" w:space="0" w:color="auto"/>
              <w:left w:val="single" w:sz="4" w:space="0" w:color="auto"/>
              <w:bottom w:val="single" w:sz="4" w:space="0" w:color="auto"/>
              <w:right w:val="single" w:sz="4" w:space="0" w:color="auto"/>
            </w:tcBorders>
            <w:hideMark/>
          </w:tcPr>
          <w:p w14:paraId="7E165D56" w14:textId="77777777" w:rsidR="00EC3A39" w:rsidRPr="00DF33CA" w:rsidRDefault="00EC3A39" w:rsidP="245AE7BB">
            <w:pPr>
              <w:rPr>
                <w:rFonts w:cstheme="minorBidi"/>
              </w:rPr>
            </w:pPr>
            <w:r w:rsidRPr="245AE7BB">
              <w:rPr>
                <w:rFonts w:cstheme="minorBidi"/>
              </w:rPr>
              <w:t>Fixed rate loan, semi-annual interest payments</w:t>
            </w:r>
          </w:p>
        </w:tc>
        <w:tc>
          <w:tcPr>
            <w:tcW w:w="4343" w:type="dxa"/>
            <w:gridSpan w:val="2"/>
            <w:tcBorders>
              <w:top w:val="single" w:sz="4" w:space="0" w:color="auto"/>
              <w:left w:val="single" w:sz="4" w:space="0" w:color="auto"/>
              <w:bottom w:val="single" w:sz="4" w:space="0" w:color="auto"/>
              <w:right w:val="single" w:sz="4" w:space="0" w:color="auto"/>
            </w:tcBorders>
            <w:hideMark/>
          </w:tcPr>
          <w:p w14:paraId="3B07A687" w14:textId="77777777" w:rsidR="00EC3A39" w:rsidRPr="00DF33CA" w:rsidRDefault="00EC3A39" w:rsidP="245AE7BB">
            <w:pPr>
              <w:rPr>
                <w:rFonts w:cstheme="minorBidi"/>
              </w:rPr>
            </w:pPr>
            <w:r w:rsidRPr="245AE7BB">
              <w:rPr>
                <w:rFonts w:cstheme="minorBidi"/>
              </w:rPr>
              <w:t xml:space="preserve">Credit </w:t>
            </w:r>
            <w:proofErr w:type="spellStart"/>
            <w:r w:rsidRPr="245AE7BB">
              <w:rPr>
                <w:rFonts w:cstheme="minorBidi"/>
              </w:rPr>
              <w:t>foncier</w:t>
            </w:r>
            <w:proofErr w:type="spellEnd"/>
            <w:r w:rsidRPr="245AE7BB">
              <w:rPr>
                <w:rFonts w:cstheme="minorBidi"/>
              </w:rPr>
              <w:t xml:space="preserve"> loan, semi-annual principal, and interest payments</w:t>
            </w:r>
          </w:p>
        </w:tc>
      </w:tr>
      <w:tr w:rsidR="00EC3A39" w:rsidRPr="00E7428D" w14:paraId="1F82332E" w14:textId="77777777" w:rsidTr="245AE7BB">
        <w:tc>
          <w:tcPr>
            <w:tcW w:w="2254" w:type="dxa"/>
            <w:tcBorders>
              <w:top w:val="single" w:sz="4" w:space="0" w:color="auto"/>
              <w:left w:val="single" w:sz="4" w:space="0" w:color="auto"/>
              <w:bottom w:val="single" w:sz="4" w:space="0" w:color="auto"/>
              <w:right w:val="single" w:sz="4" w:space="0" w:color="auto"/>
            </w:tcBorders>
            <w:hideMark/>
          </w:tcPr>
          <w:p w14:paraId="347E6F05" w14:textId="77777777" w:rsidR="00EC3A39" w:rsidRPr="00DF33CA" w:rsidRDefault="00EC3A39" w:rsidP="245AE7BB">
            <w:pPr>
              <w:rPr>
                <w:rFonts w:cstheme="minorBidi"/>
              </w:rPr>
            </w:pPr>
            <w:r w:rsidRPr="245AE7BB">
              <w:rPr>
                <w:rFonts w:cstheme="minorBidi"/>
              </w:rPr>
              <w:t>Term to maturity</w:t>
            </w:r>
          </w:p>
        </w:tc>
        <w:tc>
          <w:tcPr>
            <w:tcW w:w="2419" w:type="dxa"/>
            <w:tcBorders>
              <w:top w:val="single" w:sz="4" w:space="0" w:color="auto"/>
              <w:left w:val="single" w:sz="4" w:space="0" w:color="auto"/>
              <w:bottom w:val="single" w:sz="4" w:space="0" w:color="auto"/>
              <w:right w:val="single" w:sz="4" w:space="0" w:color="auto"/>
            </w:tcBorders>
            <w:hideMark/>
          </w:tcPr>
          <w:p w14:paraId="7175E9CE" w14:textId="77777777" w:rsidR="00EC3A39" w:rsidRPr="00DF33CA" w:rsidRDefault="00EC3A39" w:rsidP="245AE7BB">
            <w:pPr>
              <w:rPr>
                <w:rFonts w:cstheme="minorBidi"/>
              </w:rPr>
            </w:pPr>
            <w:r w:rsidRPr="245AE7BB">
              <w:rPr>
                <w:rFonts w:cstheme="minorBidi"/>
              </w:rPr>
              <w:t>TCV interest rate</w:t>
            </w:r>
          </w:p>
        </w:tc>
        <w:tc>
          <w:tcPr>
            <w:tcW w:w="2089" w:type="dxa"/>
            <w:tcBorders>
              <w:top w:val="single" w:sz="4" w:space="0" w:color="auto"/>
              <w:left w:val="single" w:sz="4" w:space="0" w:color="auto"/>
              <w:bottom w:val="single" w:sz="4" w:space="0" w:color="auto"/>
              <w:right w:val="single" w:sz="4" w:space="0" w:color="auto"/>
            </w:tcBorders>
            <w:hideMark/>
          </w:tcPr>
          <w:p w14:paraId="53977F9E" w14:textId="77777777" w:rsidR="00EC3A39" w:rsidRPr="00DF33CA" w:rsidRDefault="00EC3A39" w:rsidP="245AE7BB">
            <w:pPr>
              <w:rPr>
                <w:rFonts w:cstheme="minorBidi"/>
              </w:rPr>
            </w:pPr>
            <w:r w:rsidRPr="245AE7BB">
              <w:rPr>
                <w:rFonts w:cstheme="minorBidi"/>
              </w:rPr>
              <w:t>Term to maturity</w:t>
            </w:r>
          </w:p>
        </w:tc>
        <w:tc>
          <w:tcPr>
            <w:tcW w:w="2254" w:type="dxa"/>
            <w:tcBorders>
              <w:top w:val="single" w:sz="4" w:space="0" w:color="auto"/>
              <w:left w:val="single" w:sz="4" w:space="0" w:color="auto"/>
              <w:bottom w:val="single" w:sz="4" w:space="0" w:color="auto"/>
              <w:right w:val="single" w:sz="4" w:space="0" w:color="auto"/>
            </w:tcBorders>
            <w:hideMark/>
          </w:tcPr>
          <w:p w14:paraId="7607ACEF" w14:textId="77777777" w:rsidR="00EC3A39" w:rsidRPr="00DF33CA" w:rsidRDefault="00EC3A39" w:rsidP="245AE7BB">
            <w:pPr>
              <w:rPr>
                <w:rFonts w:cstheme="minorBidi"/>
              </w:rPr>
            </w:pPr>
            <w:r w:rsidRPr="245AE7BB">
              <w:rPr>
                <w:rFonts w:cstheme="minorBidi"/>
              </w:rPr>
              <w:t>TCV interest rate</w:t>
            </w:r>
          </w:p>
        </w:tc>
      </w:tr>
      <w:tr w:rsidR="00EC3A39" w:rsidRPr="00E7428D" w14:paraId="56C1EC80" w14:textId="77777777" w:rsidTr="00C377A6">
        <w:tc>
          <w:tcPr>
            <w:tcW w:w="2254" w:type="dxa"/>
            <w:tcBorders>
              <w:top w:val="single" w:sz="4" w:space="0" w:color="auto"/>
              <w:left w:val="single" w:sz="4" w:space="0" w:color="auto"/>
              <w:bottom w:val="single" w:sz="4" w:space="0" w:color="auto"/>
              <w:right w:val="single" w:sz="4" w:space="0" w:color="auto"/>
            </w:tcBorders>
            <w:hideMark/>
          </w:tcPr>
          <w:p w14:paraId="60F223FB" w14:textId="77777777" w:rsidR="00EC3A39" w:rsidRPr="00DF33CA" w:rsidRDefault="00EC3A39" w:rsidP="245AE7BB">
            <w:pPr>
              <w:rPr>
                <w:rFonts w:cstheme="minorBidi"/>
              </w:rPr>
            </w:pPr>
            <w:r w:rsidRPr="245AE7BB">
              <w:rPr>
                <w:rFonts w:cstheme="minorBidi"/>
              </w:rPr>
              <w:t>1 year</w:t>
            </w:r>
          </w:p>
        </w:tc>
        <w:tc>
          <w:tcPr>
            <w:tcW w:w="2419" w:type="dxa"/>
            <w:tcBorders>
              <w:top w:val="single" w:sz="4" w:space="0" w:color="auto"/>
              <w:left w:val="single" w:sz="4" w:space="0" w:color="auto"/>
              <w:bottom w:val="single" w:sz="4" w:space="0" w:color="auto"/>
              <w:right w:val="single" w:sz="4" w:space="0" w:color="auto"/>
            </w:tcBorders>
          </w:tcPr>
          <w:p w14:paraId="445B3DD5" w14:textId="11154B46" w:rsidR="00EC3A39" w:rsidRPr="00DF33CA" w:rsidRDefault="0014592C" w:rsidP="245AE7BB">
            <w:pPr>
              <w:jc w:val="center"/>
              <w:rPr>
                <w:rFonts w:cstheme="minorBidi"/>
              </w:rPr>
            </w:pPr>
            <w:r>
              <w:rPr>
                <w:rFonts w:cstheme="minorBidi"/>
              </w:rPr>
              <w:t>4.</w:t>
            </w:r>
            <w:r w:rsidR="009E6227">
              <w:rPr>
                <w:rFonts w:cstheme="minorBidi"/>
              </w:rPr>
              <w:t>569</w:t>
            </w:r>
            <w:r w:rsidR="00551347" w:rsidRPr="245AE7BB">
              <w:rPr>
                <w:rFonts w:cstheme="minorBidi"/>
              </w:rPr>
              <w:t>%</w:t>
            </w:r>
          </w:p>
        </w:tc>
        <w:tc>
          <w:tcPr>
            <w:tcW w:w="2089" w:type="dxa"/>
            <w:tcBorders>
              <w:top w:val="single" w:sz="4" w:space="0" w:color="auto"/>
              <w:left w:val="single" w:sz="4" w:space="0" w:color="auto"/>
              <w:bottom w:val="single" w:sz="4" w:space="0" w:color="auto"/>
              <w:right w:val="single" w:sz="4" w:space="0" w:color="auto"/>
            </w:tcBorders>
            <w:hideMark/>
          </w:tcPr>
          <w:p w14:paraId="7B5FF28F" w14:textId="77777777" w:rsidR="00EC3A39" w:rsidRPr="00DF33CA" w:rsidRDefault="00EC3A39" w:rsidP="245AE7BB">
            <w:pPr>
              <w:jc w:val="center"/>
              <w:rPr>
                <w:rFonts w:cstheme="minorBidi"/>
              </w:rPr>
            </w:pPr>
            <w:r w:rsidRPr="245AE7BB">
              <w:rPr>
                <w:rFonts w:cstheme="minorBidi"/>
              </w:rPr>
              <w:t>1 year</w:t>
            </w:r>
          </w:p>
        </w:tc>
        <w:tc>
          <w:tcPr>
            <w:tcW w:w="2254" w:type="dxa"/>
            <w:tcBorders>
              <w:top w:val="single" w:sz="4" w:space="0" w:color="auto"/>
              <w:left w:val="single" w:sz="4" w:space="0" w:color="auto"/>
              <w:bottom w:val="single" w:sz="4" w:space="0" w:color="auto"/>
              <w:right w:val="single" w:sz="4" w:space="0" w:color="auto"/>
            </w:tcBorders>
          </w:tcPr>
          <w:p w14:paraId="2AE96484" w14:textId="2DF320E4" w:rsidR="00EC3A39" w:rsidRPr="00DF33CA" w:rsidRDefault="0014592C" w:rsidP="245AE7BB">
            <w:pPr>
              <w:jc w:val="center"/>
              <w:rPr>
                <w:rFonts w:cstheme="minorBidi"/>
              </w:rPr>
            </w:pPr>
            <w:r>
              <w:rPr>
                <w:rFonts w:cstheme="minorBidi"/>
              </w:rPr>
              <w:t>4.</w:t>
            </w:r>
            <w:r w:rsidR="009E6227">
              <w:rPr>
                <w:rFonts w:cstheme="minorBidi"/>
              </w:rPr>
              <w:t>58</w:t>
            </w:r>
            <w:r w:rsidR="00551347" w:rsidRPr="245AE7BB">
              <w:rPr>
                <w:rFonts w:cstheme="minorBidi"/>
              </w:rPr>
              <w:t>%</w:t>
            </w:r>
          </w:p>
        </w:tc>
      </w:tr>
      <w:tr w:rsidR="00EC3A39" w:rsidRPr="00E7428D" w14:paraId="28DF2D8B" w14:textId="77777777" w:rsidTr="00C377A6">
        <w:tc>
          <w:tcPr>
            <w:tcW w:w="2254" w:type="dxa"/>
            <w:tcBorders>
              <w:top w:val="single" w:sz="4" w:space="0" w:color="auto"/>
              <w:left w:val="single" w:sz="4" w:space="0" w:color="auto"/>
              <w:bottom w:val="single" w:sz="4" w:space="0" w:color="auto"/>
              <w:right w:val="single" w:sz="4" w:space="0" w:color="auto"/>
            </w:tcBorders>
            <w:hideMark/>
          </w:tcPr>
          <w:p w14:paraId="689ACE74" w14:textId="77777777" w:rsidR="00EC3A39" w:rsidRPr="00DF33CA" w:rsidRDefault="00EC3A39" w:rsidP="245AE7BB">
            <w:pPr>
              <w:rPr>
                <w:rFonts w:cstheme="minorBidi"/>
              </w:rPr>
            </w:pPr>
            <w:r w:rsidRPr="245AE7BB">
              <w:rPr>
                <w:rFonts w:cstheme="minorBidi"/>
              </w:rPr>
              <w:t>3 years</w:t>
            </w:r>
          </w:p>
        </w:tc>
        <w:tc>
          <w:tcPr>
            <w:tcW w:w="2419" w:type="dxa"/>
            <w:tcBorders>
              <w:top w:val="single" w:sz="4" w:space="0" w:color="auto"/>
              <w:left w:val="single" w:sz="4" w:space="0" w:color="auto"/>
              <w:bottom w:val="single" w:sz="4" w:space="0" w:color="auto"/>
              <w:right w:val="single" w:sz="4" w:space="0" w:color="auto"/>
            </w:tcBorders>
          </w:tcPr>
          <w:p w14:paraId="15EF1DD2" w14:textId="78F567BC" w:rsidR="00EC3A39" w:rsidRPr="00DF33CA" w:rsidRDefault="0014592C" w:rsidP="245AE7BB">
            <w:pPr>
              <w:jc w:val="center"/>
              <w:rPr>
                <w:rFonts w:cstheme="minorBidi"/>
              </w:rPr>
            </w:pPr>
            <w:r>
              <w:rPr>
                <w:rFonts w:cstheme="minorBidi"/>
              </w:rPr>
              <w:t>4.</w:t>
            </w:r>
            <w:r w:rsidR="009E6227">
              <w:rPr>
                <w:rFonts w:cstheme="minorBidi"/>
              </w:rPr>
              <w:t>429</w:t>
            </w:r>
            <w:r w:rsidR="00551347" w:rsidRPr="245AE7BB">
              <w:rPr>
                <w:rFonts w:cstheme="minorBidi"/>
              </w:rPr>
              <w:t>%</w:t>
            </w:r>
          </w:p>
        </w:tc>
        <w:tc>
          <w:tcPr>
            <w:tcW w:w="2089" w:type="dxa"/>
            <w:tcBorders>
              <w:top w:val="single" w:sz="4" w:space="0" w:color="auto"/>
              <w:left w:val="single" w:sz="4" w:space="0" w:color="auto"/>
              <w:bottom w:val="single" w:sz="4" w:space="0" w:color="auto"/>
              <w:right w:val="single" w:sz="4" w:space="0" w:color="auto"/>
            </w:tcBorders>
            <w:hideMark/>
          </w:tcPr>
          <w:p w14:paraId="1157C76D" w14:textId="77777777" w:rsidR="00EC3A39" w:rsidRPr="00DF33CA" w:rsidRDefault="00EC3A39" w:rsidP="245AE7BB">
            <w:pPr>
              <w:jc w:val="center"/>
              <w:rPr>
                <w:rFonts w:cstheme="minorBidi"/>
              </w:rPr>
            </w:pPr>
            <w:r w:rsidRPr="245AE7BB">
              <w:rPr>
                <w:rFonts w:cstheme="minorBidi"/>
              </w:rPr>
              <w:t>3 years</w:t>
            </w:r>
          </w:p>
        </w:tc>
        <w:tc>
          <w:tcPr>
            <w:tcW w:w="2254" w:type="dxa"/>
            <w:tcBorders>
              <w:top w:val="single" w:sz="4" w:space="0" w:color="auto"/>
              <w:left w:val="single" w:sz="4" w:space="0" w:color="auto"/>
              <w:bottom w:val="single" w:sz="4" w:space="0" w:color="auto"/>
              <w:right w:val="single" w:sz="4" w:space="0" w:color="auto"/>
            </w:tcBorders>
          </w:tcPr>
          <w:p w14:paraId="6F8A54AC" w14:textId="63418858" w:rsidR="00EC3A39" w:rsidRPr="00DF33CA" w:rsidRDefault="0014592C" w:rsidP="245AE7BB">
            <w:pPr>
              <w:jc w:val="center"/>
              <w:rPr>
                <w:rFonts w:cstheme="minorBidi"/>
              </w:rPr>
            </w:pPr>
            <w:r>
              <w:rPr>
                <w:rFonts w:cstheme="minorBidi"/>
              </w:rPr>
              <w:t>4.</w:t>
            </w:r>
            <w:r w:rsidR="009E6227">
              <w:rPr>
                <w:rFonts w:cstheme="minorBidi"/>
              </w:rPr>
              <w:t>48</w:t>
            </w:r>
            <w:r>
              <w:rPr>
                <w:rFonts w:cstheme="minorBidi"/>
              </w:rPr>
              <w:t>5</w:t>
            </w:r>
            <w:r w:rsidR="00551347" w:rsidRPr="245AE7BB">
              <w:rPr>
                <w:rFonts w:cstheme="minorBidi"/>
              </w:rPr>
              <w:t>%</w:t>
            </w:r>
          </w:p>
        </w:tc>
      </w:tr>
      <w:tr w:rsidR="00EC3A39" w:rsidRPr="00E7428D" w14:paraId="2C6B5E14" w14:textId="77777777" w:rsidTr="00C377A6">
        <w:tc>
          <w:tcPr>
            <w:tcW w:w="2254" w:type="dxa"/>
            <w:tcBorders>
              <w:top w:val="single" w:sz="4" w:space="0" w:color="auto"/>
              <w:left w:val="single" w:sz="4" w:space="0" w:color="auto"/>
              <w:bottom w:val="single" w:sz="4" w:space="0" w:color="auto"/>
              <w:right w:val="single" w:sz="4" w:space="0" w:color="auto"/>
            </w:tcBorders>
            <w:hideMark/>
          </w:tcPr>
          <w:p w14:paraId="14E2E612" w14:textId="77777777" w:rsidR="00EC3A39" w:rsidRPr="00DF33CA" w:rsidRDefault="00EC3A39" w:rsidP="245AE7BB">
            <w:pPr>
              <w:rPr>
                <w:rFonts w:cstheme="minorBidi"/>
              </w:rPr>
            </w:pPr>
            <w:r w:rsidRPr="245AE7BB">
              <w:rPr>
                <w:rFonts w:cstheme="minorBidi"/>
              </w:rPr>
              <w:t>5 years</w:t>
            </w:r>
          </w:p>
        </w:tc>
        <w:tc>
          <w:tcPr>
            <w:tcW w:w="2419" w:type="dxa"/>
            <w:tcBorders>
              <w:top w:val="single" w:sz="4" w:space="0" w:color="auto"/>
              <w:left w:val="single" w:sz="4" w:space="0" w:color="auto"/>
              <w:bottom w:val="single" w:sz="4" w:space="0" w:color="auto"/>
              <w:right w:val="single" w:sz="4" w:space="0" w:color="auto"/>
            </w:tcBorders>
          </w:tcPr>
          <w:p w14:paraId="5FA0F955" w14:textId="7999970C" w:rsidR="00EC3A39" w:rsidRPr="00DF33CA" w:rsidRDefault="0014592C" w:rsidP="245AE7BB">
            <w:pPr>
              <w:jc w:val="center"/>
              <w:rPr>
                <w:rFonts w:cstheme="minorBidi"/>
              </w:rPr>
            </w:pPr>
            <w:r>
              <w:rPr>
                <w:rFonts w:cstheme="minorBidi"/>
              </w:rPr>
              <w:t>4.</w:t>
            </w:r>
            <w:r w:rsidR="009E6227">
              <w:rPr>
                <w:rFonts w:cstheme="minorBidi"/>
              </w:rPr>
              <w:t>444</w:t>
            </w:r>
            <w:r w:rsidR="00551347" w:rsidRPr="245AE7BB">
              <w:rPr>
                <w:rFonts w:cstheme="minorBidi"/>
              </w:rPr>
              <w:t>%</w:t>
            </w:r>
          </w:p>
        </w:tc>
        <w:tc>
          <w:tcPr>
            <w:tcW w:w="2089" w:type="dxa"/>
            <w:tcBorders>
              <w:top w:val="single" w:sz="4" w:space="0" w:color="auto"/>
              <w:left w:val="single" w:sz="4" w:space="0" w:color="auto"/>
              <w:bottom w:val="single" w:sz="4" w:space="0" w:color="auto"/>
              <w:right w:val="single" w:sz="4" w:space="0" w:color="auto"/>
            </w:tcBorders>
            <w:hideMark/>
          </w:tcPr>
          <w:p w14:paraId="3D8A25F1" w14:textId="77777777" w:rsidR="00EC3A39" w:rsidRPr="00DF33CA" w:rsidRDefault="00EC3A39" w:rsidP="245AE7BB">
            <w:pPr>
              <w:jc w:val="center"/>
              <w:rPr>
                <w:rFonts w:cstheme="minorBidi"/>
              </w:rPr>
            </w:pPr>
            <w:r w:rsidRPr="245AE7BB">
              <w:rPr>
                <w:rFonts w:cstheme="minorBidi"/>
              </w:rPr>
              <w:t>5 years</w:t>
            </w:r>
          </w:p>
        </w:tc>
        <w:tc>
          <w:tcPr>
            <w:tcW w:w="2254" w:type="dxa"/>
            <w:tcBorders>
              <w:top w:val="single" w:sz="4" w:space="0" w:color="auto"/>
              <w:left w:val="single" w:sz="4" w:space="0" w:color="auto"/>
              <w:bottom w:val="single" w:sz="4" w:space="0" w:color="auto"/>
              <w:right w:val="single" w:sz="4" w:space="0" w:color="auto"/>
            </w:tcBorders>
          </w:tcPr>
          <w:p w14:paraId="77DE7640" w14:textId="641876AD" w:rsidR="00EC3A39" w:rsidRPr="00DF33CA" w:rsidRDefault="0014592C" w:rsidP="245AE7BB">
            <w:pPr>
              <w:jc w:val="center"/>
              <w:rPr>
                <w:rFonts w:cstheme="minorBidi"/>
              </w:rPr>
            </w:pPr>
            <w:r>
              <w:rPr>
                <w:rFonts w:cstheme="minorBidi"/>
              </w:rPr>
              <w:t>4.</w:t>
            </w:r>
            <w:r w:rsidR="009E6227">
              <w:rPr>
                <w:rFonts w:cstheme="minorBidi"/>
              </w:rPr>
              <w:t>455</w:t>
            </w:r>
            <w:r w:rsidR="00551347" w:rsidRPr="245AE7BB">
              <w:rPr>
                <w:rFonts w:cstheme="minorBidi"/>
              </w:rPr>
              <w:t>%</w:t>
            </w:r>
          </w:p>
        </w:tc>
      </w:tr>
      <w:tr w:rsidR="00EC3A39" w:rsidRPr="00E7428D" w14:paraId="79F02DF4" w14:textId="77777777" w:rsidTr="00C377A6">
        <w:tc>
          <w:tcPr>
            <w:tcW w:w="2254" w:type="dxa"/>
            <w:tcBorders>
              <w:top w:val="single" w:sz="4" w:space="0" w:color="auto"/>
              <w:left w:val="single" w:sz="4" w:space="0" w:color="auto"/>
              <w:bottom w:val="single" w:sz="4" w:space="0" w:color="auto"/>
              <w:right w:val="single" w:sz="4" w:space="0" w:color="auto"/>
            </w:tcBorders>
            <w:hideMark/>
          </w:tcPr>
          <w:p w14:paraId="2E04DD3D" w14:textId="77777777" w:rsidR="00EC3A39" w:rsidRPr="00DF33CA" w:rsidRDefault="00EC3A39" w:rsidP="245AE7BB">
            <w:pPr>
              <w:rPr>
                <w:rFonts w:cstheme="minorBidi"/>
              </w:rPr>
            </w:pPr>
            <w:r w:rsidRPr="245AE7BB">
              <w:rPr>
                <w:rFonts w:cstheme="minorBidi"/>
              </w:rPr>
              <w:t>10 years</w:t>
            </w:r>
          </w:p>
        </w:tc>
        <w:tc>
          <w:tcPr>
            <w:tcW w:w="2419" w:type="dxa"/>
            <w:tcBorders>
              <w:top w:val="single" w:sz="4" w:space="0" w:color="auto"/>
              <w:left w:val="single" w:sz="4" w:space="0" w:color="auto"/>
              <w:bottom w:val="single" w:sz="4" w:space="0" w:color="auto"/>
              <w:right w:val="single" w:sz="4" w:space="0" w:color="auto"/>
            </w:tcBorders>
          </w:tcPr>
          <w:p w14:paraId="0BA83AF0" w14:textId="14449C07" w:rsidR="00EC3A39" w:rsidRPr="00DF33CA" w:rsidRDefault="0014592C" w:rsidP="245AE7BB">
            <w:pPr>
              <w:jc w:val="center"/>
              <w:rPr>
                <w:rFonts w:cstheme="minorBidi"/>
              </w:rPr>
            </w:pPr>
            <w:r>
              <w:rPr>
                <w:rFonts w:cstheme="minorBidi"/>
              </w:rPr>
              <w:t>4.</w:t>
            </w:r>
            <w:r w:rsidR="009E6227">
              <w:rPr>
                <w:rFonts w:cstheme="minorBidi"/>
              </w:rPr>
              <w:t>886</w:t>
            </w:r>
            <w:r w:rsidR="00551347" w:rsidRPr="245AE7BB">
              <w:rPr>
                <w:rFonts w:cstheme="minorBidi"/>
              </w:rPr>
              <w:t>%</w:t>
            </w:r>
          </w:p>
        </w:tc>
        <w:tc>
          <w:tcPr>
            <w:tcW w:w="2089" w:type="dxa"/>
            <w:tcBorders>
              <w:top w:val="single" w:sz="4" w:space="0" w:color="auto"/>
              <w:left w:val="single" w:sz="4" w:space="0" w:color="auto"/>
              <w:bottom w:val="single" w:sz="4" w:space="0" w:color="auto"/>
              <w:right w:val="single" w:sz="4" w:space="0" w:color="auto"/>
            </w:tcBorders>
            <w:hideMark/>
          </w:tcPr>
          <w:p w14:paraId="4FE9D17E" w14:textId="77777777" w:rsidR="00EC3A39" w:rsidRPr="00DF33CA" w:rsidRDefault="00EC3A39" w:rsidP="245AE7BB">
            <w:pPr>
              <w:jc w:val="center"/>
              <w:rPr>
                <w:rFonts w:cstheme="minorBidi"/>
              </w:rPr>
            </w:pPr>
            <w:r w:rsidRPr="245AE7BB">
              <w:rPr>
                <w:rFonts w:cstheme="minorBidi"/>
              </w:rPr>
              <w:t>10 years</w:t>
            </w:r>
          </w:p>
        </w:tc>
        <w:tc>
          <w:tcPr>
            <w:tcW w:w="2254" w:type="dxa"/>
            <w:tcBorders>
              <w:top w:val="single" w:sz="4" w:space="0" w:color="auto"/>
              <w:left w:val="single" w:sz="4" w:space="0" w:color="auto"/>
              <w:bottom w:val="single" w:sz="4" w:space="0" w:color="auto"/>
              <w:right w:val="single" w:sz="4" w:space="0" w:color="auto"/>
            </w:tcBorders>
          </w:tcPr>
          <w:p w14:paraId="5816B37A" w14:textId="198DBB78" w:rsidR="00EC3A39" w:rsidRPr="00DF33CA" w:rsidRDefault="0014592C" w:rsidP="245AE7BB">
            <w:pPr>
              <w:jc w:val="center"/>
              <w:rPr>
                <w:rFonts w:cstheme="minorBidi"/>
              </w:rPr>
            </w:pPr>
            <w:r>
              <w:rPr>
                <w:rFonts w:cstheme="minorBidi"/>
              </w:rPr>
              <w:t>4.</w:t>
            </w:r>
            <w:r w:rsidR="009E6227">
              <w:rPr>
                <w:rFonts w:cstheme="minorBidi"/>
              </w:rPr>
              <w:t>63</w:t>
            </w:r>
            <w:r w:rsidR="00551347" w:rsidRPr="245AE7BB">
              <w:rPr>
                <w:rFonts w:cstheme="minorBidi"/>
              </w:rPr>
              <w:t>%</w:t>
            </w:r>
          </w:p>
        </w:tc>
      </w:tr>
      <w:tr w:rsidR="00EC3A39" w:rsidRPr="00B54B56" w14:paraId="21F9461F" w14:textId="77777777" w:rsidTr="00C377A6">
        <w:tc>
          <w:tcPr>
            <w:tcW w:w="2254" w:type="dxa"/>
            <w:tcBorders>
              <w:top w:val="single" w:sz="4" w:space="0" w:color="auto"/>
              <w:left w:val="single" w:sz="4" w:space="0" w:color="auto"/>
              <w:bottom w:val="single" w:sz="4" w:space="0" w:color="auto"/>
              <w:right w:val="single" w:sz="4" w:space="0" w:color="auto"/>
            </w:tcBorders>
            <w:hideMark/>
          </w:tcPr>
          <w:p w14:paraId="0E1FD34B" w14:textId="77777777" w:rsidR="00EC3A39" w:rsidRPr="00DF33CA" w:rsidRDefault="00EC3A39" w:rsidP="245AE7BB">
            <w:pPr>
              <w:rPr>
                <w:rFonts w:cstheme="minorBidi"/>
              </w:rPr>
            </w:pPr>
            <w:r w:rsidRPr="245AE7BB">
              <w:rPr>
                <w:rFonts w:cstheme="minorBidi"/>
              </w:rPr>
              <w:t>15 years</w:t>
            </w:r>
          </w:p>
        </w:tc>
        <w:tc>
          <w:tcPr>
            <w:tcW w:w="2419" w:type="dxa"/>
            <w:tcBorders>
              <w:top w:val="single" w:sz="4" w:space="0" w:color="auto"/>
              <w:left w:val="single" w:sz="4" w:space="0" w:color="auto"/>
              <w:bottom w:val="single" w:sz="4" w:space="0" w:color="auto"/>
              <w:right w:val="single" w:sz="4" w:space="0" w:color="auto"/>
            </w:tcBorders>
          </w:tcPr>
          <w:p w14:paraId="75F99C37" w14:textId="272264FA" w:rsidR="00EC3A39" w:rsidRPr="00DF33CA" w:rsidRDefault="0014592C" w:rsidP="245AE7BB">
            <w:pPr>
              <w:jc w:val="center"/>
              <w:rPr>
                <w:rFonts w:cstheme="minorBidi"/>
              </w:rPr>
            </w:pPr>
            <w:r>
              <w:rPr>
                <w:rFonts w:cstheme="minorBidi"/>
              </w:rPr>
              <w:t>5.</w:t>
            </w:r>
            <w:r w:rsidR="009E6227">
              <w:rPr>
                <w:rFonts w:cstheme="minorBidi"/>
              </w:rPr>
              <w:t>246</w:t>
            </w:r>
            <w:r w:rsidR="00551347" w:rsidRPr="245AE7BB">
              <w:rPr>
                <w:rFonts w:cstheme="minorBidi"/>
              </w:rPr>
              <w:t>%</w:t>
            </w:r>
          </w:p>
        </w:tc>
        <w:tc>
          <w:tcPr>
            <w:tcW w:w="2089" w:type="dxa"/>
            <w:tcBorders>
              <w:top w:val="single" w:sz="4" w:space="0" w:color="auto"/>
              <w:left w:val="single" w:sz="4" w:space="0" w:color="auto"/>
              <w:bottom w:val="single" w:sz="4" w:space="0" w:color="auto"/>
              <w:right w:val="single" w:sz="4" w:space="0" w:color="auto"/>
            </w:tcBorders>
            <w:hideMark/>
          </w:tcPr>
          <w:p w14:paraId="03EADE20" w14:textId="77777777" w:rsidR="00EC3A39" w:rsidRPr="00DF33CA" w:rsidRDefault="00EC3A39" w:rsidP="245AE7BB">
            <w:pPr>
              <w:jc w:val="center"/>
              <w:rPr>
                <w:rFonts w:cstheme="minorBidi"/>
              </w:rPr>
            </w:pPr>
            <w:r w:rsidRPr="245AE7BB">
              <w:rPr>
                <w:rFonts w:cstheme="minorBidi"/>
              </w:rPr>
              <w:t>15 years</w:t>
            </w:r>
          </w:p>
        </w:tc>
        <w:tc>
          <w:tcPr>
            <w:tcW w:w="2254" w:type="dxa"/>
            <w:tcBorders>
              <w:top w:val="single" w:sz="4" w:space="0" w:color="auto"/>
              <w:left w:val="single" w:sz="4" w:space="0" w:color="auto"/>
              <w:bottom w:val="single" w:sz="4" w:space="0" w:color="auto"/>
              <w:right w:val="single" w:sz="4" w:space="0" w:color="auto"/>
            </w:tcBorders>
          </w:tcPr>
          <w:p w14:paraId="645813B7" w14:textId="6D5D9E4B" w:rsidR="00EC3A39" w:rsidRPr="004F66B8" w:rsidRDefault="0014592C" w:rsidP="245AE7BB">
            <w:pPr>
              <w:jc w:val="center"/>
              <w:rPr>
                <w:rFonts w:cstheme="minorBidi"/>
              </w:rPr>
            </w:pPr>
            <w:r>
              <w:rPr>
                <w:rFonts w:cstheme="minorBidi"/>
              </w:rPr>
              <w:t>4.</w:t>
            </w:r>
            <w:r w:rsidR="009E6227">
              <w:rPr>
                <w:rFonts w:cstheme="minorBidi"/>
              </w:rPr>
              <w:t>92</w:t>
            </w:r>
            <w:r w:rsidR="00551347" w:rsidRPr="245AE7BB">
              <w:rPr>
                <w:rFonts w:cstheme="minorBidi"/>
              </w:rPr>
              <w:t>%</w:t>
            </w:r>
          </w:p>
        </w:tc>
      </w:tr>
    </w:tbl>
    <w:p w14:paraId="7303E9A7" w14:textId="77777777" w:rsidR="00EC3A39" w:rsidRPr="00DF33CA" w:rsidRDefault="00EC3A39" w:rsidP="00EC3A39">
      <w:pPr>
        <w:pStyle w:val="Heading2"/>
        <w:rPr>
          <w:color w:val="00B0F0"/>
        </w:rPr>
      </w:pPr>
      <w:bookmarkStart w:id="88" w:name="_Toc79440882"/>
      <w:bookmarkStart w:id="89" w:name="_Toc79484882"/>
      <w:bookmarkStart w:id="90" w:name="_Toc79484921"/>
      <w:bookmarkStart w:id="91" w:name="_Toc79755070"/>
      <w:bookmarkStart w:id="92" w:name="_Toc135819876"/>
      <w:bookmarkStart w:id="93" w:name="_Toc138251067"/>
      <w:bookmarkEnd w:id="88"/>
      <w:bookmarkEnd w:id="89"/>
      <w:bookmarkEnd w:id="90"/>
      <w:r w:rsidRPr="712ED00F">
        <w:rPr>
          <w:color w:val="00B0F0"/>
        </w:rPr>
        <w:t>Lending and guarantee fees</w:t>
      </w:r>
      <w:bookmarkEnd w:id="91"/>
      <w:bookmarkEnd w:id="92"/>
      <w:bookmarkEnd w:id="93"/>
    </w:p>
    <w:p w14:paraId="78279610" w14:textId="36A08C84" w:rsidR="00EC3A39" w:rsidRPr="00891C9A" w:rsidRDefault="00EC3A39" w:rsidP="00EC3A39">
      <w:pPr>
        <w:rPr>
          <w:rFonts w:cstheme="minorHAnsi"/>
        </w:rPr>
      </w:pPr>
      <w:r>
        <w:rPr>
          <w:rFonts w:cstheme="minorHAnsi"/>
        </w:rPr>
        <w:t xml:space="preserve">The above interest rates include the TCV lending fee of 0.115%. </w:t>
      </w:r>
      <w:r w:rsidRPr="00891C9A">
        <w:rPr>
          <w:rFonts w:cstheme="minorHAnsi"/>
        </w:rPr>
        <w:t xml:space="preserve">No other lending fees such as establishment </w:t>
      </w:r>
      <w:r w:rsidR="00425D59">
        <w:rPr>
          <w:rFonts w:cstheme="minorHAnsi"/>
        </w:rPr>
        <w:t>and</w:t>
      </w:r>
      <w:r w:rsidR="00EF5EB7">
        <w:rPr>
          <w:rFonts w:cstheme="minorHAnsi"/>
        </w:rPr>
        <w:t xml:space="preserve"> </w:t>
      </w:r>
      <w:r w:rsidR="00425D59">
        <w:rPr>
          <w:rFonts w:cstheme="minorHAnsi"/>
        </w:rPr>
        <w:t>commitment</w:t>
      </w:r>
      <w:r w:rsidR="00EF5EB7">
        <w:rPr>
          <w:rFonts w:cstheme="minorHAnsi"/>
        </w:rPr>
        <w:t xml:space="preserve"> </w:t>
      </w:r>
      <w:r w:rsidRPr="00891C9A">
        <w:rPr>
          <w:rFonts w:cstheme="minorHAnsi"/>
        </w:rPr>
        <w:t>fees</w:t>
      </w:r>
      <w:r w:rsidR="00425D59">
        <w:rPr>
          <w:rFonts w:cstheme="minorHAnsi"/>
        </w:rPr>
        <w:t>,</w:t>
      </w:r>
      <w:r w:rsidRPr="00891C9A">
        <w:rPr>
          <w:rFonts w:cstheme="minorHAnsi"/>
        </w:rPr>
        <w:t xml:space="preserve"> or ongoing service </w:t>
      </w:r>
      <w:r w:rsidR="00425D59">
        <w:rPr>
          <w:rFonts w:cstheme="minorHAnsi"/>
        </w:rPr>
        <w:t>and</w:t>
      </w:r>
      <w:r w:rsidRPr="00891C9A">
        <w:rPr>
          <w:rFonts w:cstheme="minorHAnsi"/>
        </w:rPr>
        <w:t xml:space="preserve"> facility fees are applicable.</w:t>
      </w:r>
    </w:p>
    <w:p w14:paraId="21B4E152" w14:textId="77777777" w:rsidR="00EC3A39" w:rsidRPr="00B54B56" w:rsidRDefault="00EC3A39" w:rsidP="245AE7BB">
      <w:pPr>
        <w:rPr>
          <w:rFonts w:cstheme="minorBidi"/>
        </w:rPr>
      </w:pPr>
      <w:r w:rsidRPr="245AE7BB">
        <w:rPr>
          <w:rFonts w:cstheme="minorBidi"/>
        </w:rPr>
        <w:t xml:space="preserve">In addition, a </w:t>
      </w:r>
      <w:bookmarkStart w:id="94" w:name="_Int_pLi1kKCr"/>
      <w:proofErr w:type="gramStart"/>
      <w:r w:rsidRPr="245AE7BB">
        <w:rPr>
          <w:rFonts w:cstheme="minorBidi"/>
        </w:rPr>
        <w:t>guarantee</w:t>
      </w:r>
      <w:bookmarkEnd w:id="94"/>
      <w:proofErr w:type="gramEnd"/>
      <w:r w:rsidRPr="245AE7BB">
        <w:rPr>
          <w:rFonts w:cstheme="minorBidi"/>
        </w:rPr>
        <w:t xml:space="preserve"> fee of 0.15% will be charged on council loans from TCV. The </w:t>
      </w:r>
      <w:bookmarkStart w:id="95" w:name="_Int_T8IvuMNs"/>
      <w:proofErr w:type="gramStart"/>
      <w:r w:rsidRPr="245AE7BB">
        <w:rPr>
          <w:rFonts w:cstheme="minorBidi"/>
        </w:rPr>
        <w:t>guarantee</w:t>
      </w:r>
      <w:bookmarkEnd w:id="95"/>
      <w:proofErr w:type="gramEnd"/>
      <w:r w:rsidRPr="245AE7BB">
        <w:rPr>
          <w:rFonts w:cstheme="minorBidi"/>
        </w:rPr>
        <w:t xml:space="preserve"> fee is charged by the State to recoup the cost of the guarantee provided to TCV. </w:t>
      </w:r>
    </w:p>
    <w:p w14:paraId="3334C3DB" w14:textId="77777777" w:rsidR="00EC3A39" w:rsidRDefault="00EC3A39" w:rsidP="00EC3A39"/>
    <w:p w14:paraId="0A4A83D3" w14:textId="77777777" w:rsidR="00EC3A39" w:rsidRDefault="00EC3A39" w:rsidP="00EC3A39"/>
    <w:p w14:paraId="67AFF244" w14:textId="77777777" w:rsidR="00EC3A39" w:rsidRDefault="00EC3A39" w:rsidP="00EC3A39"/>
    <w:p w14:paraId="63EE18E1" w14:textId="77777777" w:rsidR="00EC3A39" w:rsidRDefault="00EC3A39" w:rsidP="00EC3A39"/>
    <w:p w14:paraId="403D6B72" w14:textId="77777777" w:rsidR="00EC3A39" w:rsidRDefault="00EC3A39" w:rsidP="00EC3A39"/>
    <w:p w14:paraId="0F4FC9FC" w14:textId="77777777" w:rsidR="00EC3A39" w:rsidRPr="00DB0DED" w:rsidRDefault="00EC3A39" w:rsidP="00EC3A39">
      <w:pPr>
        <w:pStyle w:val="Heading1"/>
      </w:pPr>
      <w:bookmarkStart w:id="96" w:name="_Toc79755071"/>
      <w:bookmarkStart w:id="97" w:name="_Toc135819877"/>
      <w:bookmarkStart w:id="98" w:name="_Toc138251068"/>
      <w:r>
        <w:lastRenderedPageBreak/>
        <w:t>Other services available to Victorian councils</w:t>
      </w:r>
      <w:bookmarkEnd w:id="96"/>
      <w:bookmarkEnd w:id="97"/>
      <w:bookmarkEnd w:id="98"/>
    </w:p>
    <w:p w14:paraId="03048CA9" w14:textId="2E04FE88" w:rsidR="00EC3A39" w:rsidRPr="00DF33CA" w:rsidRDefault="00EC3A39" w:rsidP="00EC3A39">
      <w:pPr>
        <w:pStyle w:val="Heading2"/>
        <w:rPr>
          <w:color w:val="00B0F0"/>
        </w:rPr>
      </w:pPr>
      <w:bookmarkStart w:id="99" w:name="_Toc79755072"/>
      <w:bookmarkStart w:id="100" w:name="_Toc135819878"/>
      <w:bookmarkStart w:id="101" w:name="_Toc138251069"/>
      <w:r w:rsidRPr="712ED00F">
        <w:rPr>
          <w:color w:val="00B0F0"/>
        </w:rPr>
        <w:t>TC</w:t>
      </w:r>
      <w:r w:rsidR="00425D59" w:rsidRPr="712ED00F">
        <w:rPr>
          <w:color w:val="00B0F0"/>
        </w:rPr>
        <w:t>V’</w:t>
      </w:r>
      <w:r w:rsidRPr="712ED00F">
        <w:rPr>
          <w:color w:val="00B0F0"/>
        </w:rPr>
        <w:t>s other services</w:t>
      </w:r>
      <w:bookmarkEnd w:id="99"/>
      <w:bookmarkEnd w:id="100"/>
      <w:bookmarkEnd w:id="101"/>
    </w:p>
    <w:p w14:paraId="6094E724" w14:textId="77777777" w:rsidR="00EC3A39" w:rsidRDefault="00EC3A39" w:rsidP="00EC3A39">
      <w:r>
        <w:t>TCV can offer councils other services including treasury management and advisory, project advisory and economic services. An outline of these services is detailed below.</w:t>
      </w:r>
    </w:p>
    <w:p w14:paraId="4B742F50" w14:textId="77777777" w:rsidR="00EC3A39" w:rsidRDefault="00EC3A39" w:rsidP="00EC3A39">
      <w:pPr>
        <w:pStyle w:val="Heading3"/>
      </w:pPr>
      <w:bookmarkStart w:id="102" w:name="_Toc79755073"/>
      <w:r>
        <w:t>TCV treasury management services</w:t>
      </w:r>
      <w:bookmarkEnd w:id="102"/>
    </w:p>
    <w:p w14:paraId="4347FBBC" w14:textId="77777777" w:rsidR="00EC3A39" w:rsidRPr="009E1A26" w:rsidRDefault="00EC3A39" w:rsidP="245AE7BB">
      <w:pPr>
        <w:rPr>
          <w:rFonts w:cstheme="minorBidi"/>
        </w:rPr>
      </w:pPr>
      <w:r w:rsidRPr="245AE7BB">
        <w:rPr>
          <w:rFonts w:cstheme="minorBidi"/>
        </w:rPr>
        <w:t xml:space="preserve">The treasury management services that TCV </w:t>
      </w:r>
      <w:bookmarkStart w:id="103" w:name="_Int_PyvBvpjk"/>
      <w:proofErr w:type="gramStart"/>
      <w:r w:rsidRPr="245AE7BB">
        <w:rPr>
          <w:rFonts w:cstheme="minorBidi"/>
        </w:rPr>
        <w:t>is able to</w:t>
      </w:r>
      <w:bookmarkEnd w:id="103"/>
      <w:proofErr w:type="gramEnd"/>
      <w:r w:rsidRPr="245AE7BB">
        <w:rPr>
          <w:rFonts w:cstheme="minorBidi"/>
        </w:rPr>
        <w:t xml:space="preserve"> provide include:</w:t>
      </w:r>
    </w:p>
    <w:p w14:paraId="3B9135D0" w14:textId="77777777" w:rsidR="00EC3A39" w:rsidRPr="009E1A26" w:rsidRDefault="00EC3A39" w:rsidP="00EC3A39">
      <w:pPr>
        <w:spacing w:after="0"/>
        <w:rPr>
          <w:rFonts w:cstheme="minorHAnsi"/>
          <w:szCs w:val="18"/>
        </w:rPr>
      </w:pPr>
      <w:r w:rsidRPr="009E1A26">
        <w:rPr>
          <w:rFonts w:cstheme="minorHAnsi"/>
          <w:szCs w:val="18"/>
        </w:rPr>
        <w:t>•</w:t>
      </w:r>
      <w:r w:rsidRPr="009E1A26">
        <w:rPr>
          <w:rFonts w:cstheme="minorHAnsi"/>
          <w:szCs w:val="18"/>
        </w:rPr>
        <w:tab/>
        <w:t>financial market updates</w:t>
      </w:r>
    </w:p>
    <w:p w14:paraId="4CCA3039" w14:textId="6DDF585D" w:rsidR="00EC3A39" w:rsidRPr="009E1A26" w:rsidRDefault="00EC3A39" w:rsidP="00DF33CA">
      <w:pPr>
        <w:spacing w:after="0"/>
        <w:ind w:left="720" w:hanging="720"/>
        <w:rPr>
          <w:rFonts w:cstheme="minorBidi"/>
        </w:rPr>
      </w:pPr>
      <w:r w:rsidRPr="4CC5AA41">
        <w:rPr>
          <w:rFonts w:cstheme="minorBidi"/>
        </w:rPr>
        <w:t>•</w:t>
      </w:r>
      <w:r>
        <w:tab/>
      </w:r>
      <w:r w:rsidRPr="4CC5AA41">
        <w:rPr>
          <w:rFonts w:cstheme="minorBidi"/>
        </w:rPr>
        <w:t>debt, short term investment and cash management advice</w:t>
      </w:r>
      <w:r w:rsidR="00B27E3B">
        <w:rPr>
          <w:rFonts w:cstheme="minorBidi"/>
        </w:rPr>
        <w:t>, including transaction execution</w:t>
      </w:r>
    </w:p>
    <w:p w14:paraId="03A8D560" w14:textId="77777777" w:rsidR="00EC3A39" w:rsidRPr="009E1A26" w:rsidRDefault="00EC3A39" w:rsidP="00EC3A39">
      <w:pPr>
        <w:spacing w:after="0"/>
        <w:rPr>
          <w:rFonts w:cstheme="minorHAnsi"/>
          <w:szCs w:val="18"/>
        </w:rPr>
      </w:pPr>
      <w:r w:rsidRPr="009E1A26">
        <w:rPr>
          <w:rFonts w:cstheme="minorHAnsi"/>
          <w:szCs w:val="18"/>
        </w:rPr>
        <w:t>•</w:t>
      </w:r>
      <w:r w:rsidRPr="009E1A26">
        <w:rPr>
          <w:rFonts w:cstheme="minorHAnsi"/>
          <w:szCs w:val="18"/>
        </w:rPr>
        <w:tab/>
      </w:r>
      <w:r>
        <w:rPr>
          <w:rFonts w:cstheme="minorHAnsi"/>
          <w:szCs w:val="18"/>
        </w:rPr>
        <w:t xml:space="preserve">debt </w:t>
      </w:r>
      <w:r w:rsidRPr="009E1A26">
        <w:rPr>
          <w:rFonts w:cstheme="minorHAnsi"/>
          <w:szCs w:val="18"/>
        </w:rPr>
        <w:t>portfolio management advice, valuations, and reporting</w:t>
      </w:r>
    </w:p>
    <w:p w14:paraId="7F0E6F1B" w14:textId="77777777" w:rsidR="00EC3A39" w:rsidRPr="009E1A26" w:rsidRDefault="00EC3A39" w:rsidP="00EC3A39">
      <w:pPr>
        <w:spacing w:after="0"/>
        <w:rPr>
          <w:rFonts w:cstheme="minorHAnsi"/>
          <w:szCs w:val="18"/>
        </w:rPr>
      </w:pPr>
      <w:r w:rsidRPr="009E1A26">
        <w:rPr>
          <w:rFonts w:cstheme="minorHAnsi"/>
          <w:szCs w:val="18"/>
        </w:rPr>
        <w:t>•</w:t>
      </w:r>
      <w:r w:rsidRPr="009E1A26">
        <w:rPr>
          <w:rFonts w:cstheme="minorHAnsi"/>
          <w:szCs w:val="18"/>
        </w:rPr>
        <w:tab/>
      </w:r>
      <w:r>
        <w:rPr>
          <w:rFonts w:cstheme="minorHAnsi"/>
          <w:szCs w:val="18"/>
        </w:rPr>
        <w:t xml:space="preserve">debt </w:t>
      </w:r>
      <w:r w:rsidRPr="009E1A26">
        <w:rPr>
          <w:rFonts w:cstheme="minorHAnsi"/>
          <w:szCs w:val="18"/>
        </w:rPr>
        <w:t>portfolio performance monitoring and benchmarking</w:t>
      </w:r>
    </w:p>
    <w:p w14:paraId="67C95797" w14:textId="77777777" w:rsidR="00EC3A39" w:rsidRPr="009E1A26" w:rsidRDefault="00EC3A39" w:rsidP="00EC3A39">
      <w:pPr>
        <w:spacing w:after="0"/>
        <w:rPr>
          <w:rFonts w:cstheme="minorHAnsi"/>
          <w:szCs w:val="18"/>
        </w:rPr>
      </w:pPr>
      <w:r w:rsidRPr="009E1A26">
        <w:rPr>
          <w:rFonts w:cstheme="minorHAnsi"/>
          <w:szCs w:val="18"/>
        </w:rPr>
        <w:t>•</w:t>
      </w:r>
      <w:r w:rsidRPr="009E1A26">
        <w:rPr>
          <w:rFonts w:cstheme="minorHAnsi"/>
          <w:szCs w:val="18"/>
        </w:rPr>
        <w:tab/>
        <w:t>interest expense forecasting and scenario analysis</w:t>
      </w:r>
    </w:p>
    <w:p w14:paraId="32323491" w14:textId="77777777" w:rsidR="00EC3A39" w:rsidRPr="009E1A26" w:rsidRDefault="00EC3A39" w:rsidP="00EC3A39">
      <w:pPr>
        <w:spacing w:after="0"/>
        <w:rPr>
          <w:rFonts w:cstheme="minorHAnsi"/>
          <w:szCs w:val="18"/>
        </w:rPr>
      </w:pPr>
      <w:r w:rsidRPr="009E1A26">
        <w:rPr>
          <w:rFonts w:cstheme="minorHAnsi"/>
          <w:szCs w:val="18"/>
        </w:rPr>
        <w:t>•</w:t>
      </w:r>
      <w:r w:rsidRPr="009E1A26">
        <w:rPr>
          <w:rFonts w:cstheme="minorHAnsi"/>
          <w:szCs w:val="18"/>
        </w:rPr>
        <w:tab/>
        <w:t>treasury policy development and or review advice.</w:t>
      </w:r>
    </w:p>
    <w:p w14:paraId="4B176A0E" w14:textId="77777777" w:rsidR="00EC3A39" w:rsidRDefault="00EC3A39" w:rsidP="00EC3A39">
      <w:pPr>
        <w:pStyle w:val="Heading3"/>
      </w:pPr>
      <w:bookmarkStart w:id="104" w:name="_Toc79755074"/>
      <w:r>
        <w:t>TCV project advisory services</w:t>
      </w:r>
      <w:bookmarkEnd w:id="104"/>
    </w:p>
    <w:p w14:paraId="5C4C6A95" w14:textId="77777777" w:rsidR="00EC3A39" w:rsidRPr="009E1A26" w:rsidRDefault="00EC3A39" w:rsidP="00EC3A39">
      <w:pPr>
        <w:rPr>
          <w:rFonts w:cstheme="minorHAnsi"/>
          <w:szCs w:val="18"/>
        </w:rPr>
      </w:pPr>
      <w:r w:rsidRPr="009E1A26">
        <w:rPr>
          <w:rFonts w:cstheme="minorHAnsi"/>
          <w:szCs w:val="18"/>
        </w:rPr>
        <w:t xml:space="preserve">TCV’s </w:t>
      </w:r>
      <w:r>
        <w:rPr>
          <w:rFonts w:cstheme="minorHAnsi"/>
          <w:szCs w:val="18"/>
        </w:rPr>
        <w:t>p</w:t>
      </w:r>
      <w:r w:rsidRPr="009E1A26">
        <w:rPr>
          <w:rFonts w:cstheme="minorHAnsi"/>
          <w:szCs w:val="18"/>
        </w:rPr>
        <w:t xml:space="preserve">roject </w:t>
      </w:r>
      <w:r>
        <w:rPr>
          <w:rFonts w:cstheme="minorHAnsi"/>
          <w:szCs w:val="18"/>
        </w:rPr>
        <w:t>a</w:t>
      </w:r>
      <w:r w:rsidRPr="009E1A26">
        <w:rPr>
          <w:rFonts w:cstheme="minorHAnsi"/>
          <w:szCs w:val="18"/>
        </w:rPr>
        <w:t xml:space="preserve">dvisory </w:t>
      </w:r>
      <w:r>
        <w:rPr>
          <w:rFonts w:cstheme="minorHAnsi"/>
          <w:szCs w:val="18"/>
        </w:rPr>
        <w:t>s</w:t>
      </w:r>
      <w:r w:rsidRPr="009E1A26">
        <w:rPr>
          <w:rFonts w:cstheme="minorHAnsi"/>
          <w:szCs w:val="18"/>
        </w:rPr>
        <w:t xml:space="preserve">ervices team can offer councils an extensive range of financing advice and services. These services can focus on the specific financial evaluation and risk management aspects of a project and/or business plan. This can include determining the most appropriate funding solution for a business or project, when considering the cash flows of the business and relevant financial metrics. </w:t>
      </w:r>
    </w:p>
    <w:p w14:paraId="7AA1CB9D" w14:textId="77777777" w:rsidR="00EC3A39" w:rsidRPr="009E1A26" w:rsidRDefault="00EC3A39" w:rsidP="00EC3A39">
      <w:pPr>
        <w:rPr>
          <w:rFonts w:cstheme="minorHAnsi"/>
          <w:szCs w:val="18"/>
        </w:rPr>
      </w:pPr>
      <w:r w:rsidRPr="009E1A26">
        <w:rPr>
          <w:rFonts w:cstheme="minorHAnsi"/>
          <w:szCs w:val="18"/>
        </w:rPr>
        <w:t>The advisory team can also assist with investment evaluation and the development of sound business planning and/or business case viability, utilising a full range of sophisticated financial analysis tools including:</w:t>
      </w:r>
    </w:p>
    <w:p w14:paraId="2C0D3F0C" w14:textId="77777777" w:rsidR="00EC3A39" w:rsidRPr="009E1A26" w:rsidRDefault="00EC3A39" w:rsidP="00EC3A39">
      <w:pPr>
        <w:spacing w:after="0"/>
        <w:rPr>
          <w:rFonts w:cstheme="minorHAnsi"/>
          <w:szCs w:val="18"/>
        </w:rPr>
      </w:pPr>
      <w:r w:rsidRPr="009E1A26">
        <w:rPr>
          <w:rFonts w:cstheme="minorHAnsi"/>
          <w:szCs w:val="18"/>
        </w:rPr>
        <w:t>•</w:t>
      </w:r>
      <w:r w:rsidRPr="009E1A26">
        <w:rPr>
          <w:rFonts w:cstheme="minorHAnsi"/>
          <w:szCs w:val="18"/>
        </w:rPr>
        <w:tab/>
        <w:t>cash flow modelling</w:t>
      </w:r>
    </w:p>
    <w:p w14:paraId="13387053" w14:textId="77777777" w:rsidR="00EC3A39" w:rsidRPr="009E1A26" w:rsidRDefault="00EC3A39" w:rsidP="00EC3A39">
      <w:pPr>
        <w:spacing w:after="0"/>
        <w:rPr>
          <w:rFonts w:cstheme="minorHAnsi"/>
          <w:szCs w:val="18"/>
        </w:rPr>
      </w:pPr>
      <w:r w:rsidRPr="009E1A26">
        <w:rPr>
          <w:rFonts w:cstheme="minorHAnsi"/>
          <w:szCs w:val="18"/>
        </w:rPr>
        <w:t>•</w:t>
      </w:r>
      <w:r w:rsidRPr="009E1A26">
        <w:rPr>
          <w:rFonts w:cstheme="minorHAnsi"/>
          <w:szCs w:val="18"/>
        </w:rPr>
        <w:tab/>
        <w:t>debt modelling and forecasting</w:t>
      </w:r>
    </w:p>
    <w:p w14:paraId="7739E622" w14:textId="77777777" w:rsidR="00EC3A39" w:rsidRPr="009E1A26" w:rsidRDefault="00EC3A39" w:rsidP="00EC3A39">
      <w:pPr>
        <w:spacing w:after="0"/>
        <w:rPr>
          <w:rFonts w:cstheme="minorHAnsi"/>
          <w:szCs w:val="18"/>
        </w:rPr>
      </w:pPr>
      <w:r w:rsidRPr="009E1A26">
        <w:rPr>
          <w:rFonts w:cstheme="minorHAnsi"/>
          <w:szCs w:val="18"/>
        </w:rPr>
        <w:t>•</w:t>
      </w:r>
      <w:r w:rsidRPr="009E1A26">
        <w:rPr>
          <w:rFonts w:cstheme="minorHAnsi"/>
          <w:szCs w:val="18"/>
        </w:rPr>
        <w:tab/>
        <w:t>financial sustainability reviews</w:t>
      </w:r>
    </w:p>
    <w:p w14:paraId="033E9938" w14:textId="77777777" w:rsidR="00EC3A39" w:rsidRPr="009E1A26" w:rsidRDefault="00EC3A39" w:rsidP="00EC3A39">
      <w:pPr>
        <w:spacing w:after="0"/>
        <w:rPr>
          <w:rFonts w:cstheme="minorHAnsi"/>
          <w:szCs w:val="18"/>
        </w:rPr>
      </w:pPr>
      <w:r w:rsidRPr="009E1A26">
        <w:rPr>
          <w:rFonts w:cstheme="minorHAnsi"/>
          <w:szCs w:val="18"/>
        </w:rPr>
        <w:t>•</w:t>
      </w:r>
      <w:r w:rsidRPr="009E1A26">
        <w:rPr>
          <w:rFonts w:cstheme="minorHAnsi"/>
          <w:szCs w:val="18"/>
        </w:rPr>
        <w:tab/>
        <w:t>risk and sensitivity analysis</w:t>
      </w:r>
    </w:p>
    <w:p w14:paraId="1388BE5B" w14:textId="77777777" w:rsidR="00EC3A39" w:rsidRPr="009E1A26" w:rsidRDefault="00EC3A39" w:rsidP="00EC3A39">
      <w:pPr>
        <w:spacing w:after="0"/>
        <w:rPr>
          <w:rFonts w:cstheme="minorHAnsi"/>
          <w:szCs w:val="18"/>
        </w:rPr>
      </w:pPr>
      <w:r w:rsidRPr="009E1A26">
        <w:rPr>
          <w:rFonts w:cstheme="minorHAnsi"/>
          <w:szCs w:val="18"/>
        </w:rPr>
        <w:t>•</w:t>
      </w:r>
      <w:r w:rsidRPr="009E1A26">
        <w:rPr>
          <w:rFonts w:cstheme="minorHAnsi"/>
          <w:szCs w:val="18"/>
        </w:rPr>
        <w:tab/>
        <w:t>project viability assessments.</w:t>
      </w:r>
    </w:p>
    <w:p w14:paraId="7FFB67B3" w14:textId="77777777" w:rsidR="00EC3A39" w:rsidRDefault="00EC3A39" w:rsidP="00EC3A39">
      <w:pPr>
        <w:pStyle w:val="Heading3"/>
      </w:pPr>
      <w:bookmarkStart w:id="105" w:name="_Toc79755075"/>
      <w:r>
        <w:t>TCV economic services</w:t>
      </w:r>
      <w:bookmarkEnd w:id="105"/>
    </w:p>
    <w:p w14:paraId="6AC6292C" w14:textId="77777777" w:rsidR="00EC3A39" w:rsidRPr="009E1A26" w:rsidRDefault="00EC3A39" w:rsidP="00EC3A39">
      <w:pPr>
        <w:rPr>
          <w:rFonts w:cstheme="minorHAnsi"/>
          <w:szCs w:val="18"/>
        </w:rPr>
      </w:pPr>
      <w:r w:rsidRPr="009E1A26">
        <w:rPr>
          <w:rFonts w:cstheme="minorHAnsi"/>
          <w:szCs w:val="18"/>
        </w:rPr>
        <w:t xml:space="preserve">TCV </w:t>
      </w:r>
      <w:r>
        <w:rPr>
          <w:rFonts w:cstheme="minorHAnsi"/>
          <w:szCs w:val="18"/>
        </w:rPr>
        <w:t>e</w:t>
      </w:r>
      <w:r w:rsidRPr="009E1A26">
        <w:rPr>
          <w:rFonts w:cstheme="minorHAnsi"/>
          <w:szCs w:val="18"/>
        </w:rPr>
        <w:t xml:space="preserve">conomic </w:t>
      </w:r>
      <w:r>
        <w:rPr>
          <w:rFonts w:cstheme="minorHAnsi"/>
          <w:szCs w:val="18"/>
        </w:rPr>
        <w:t>s</w:t>
      </w:r>
      <w:r w:rsidRPr="009E1A26">
        <w:rPr>
          <w:rFonts w:cstheme="minorHAnsi"/>
          <w:szCs w:val="18"/>
        </w:rPr>
        <w:t>ervices can inform councils of developments in the economy and financial markets. This service can provide vital input into business planning and treasury strategy development.</w:t>
      </w:r>
    </w:p>
    <w:p w14:paraId="4F267398" w14:textId="77777777" w:rsidR="00EC3A39" w:rsidRPr="009E1A26" w:rsidRDefault="00EC3A39" w:rsidP="245AE7BB">
      <w:pPr>
        <w:rPr>
          <w:rFonts w:cstheme="minorBidi"/>
        </w:rPr>
      </w:pPr>
      <w:r w:rsidRPr="245AE7BB">
        <w:rPr>
          <w:rFonts w:cstheme="minorBidi"/>
        </w:rPr>
        <w:t xml:space="preserve">TCV </w:t>
      </w:r>
      <w:bookmarkStart w:id="106" w:name="_Int_gYlS1XjR"/>
      <w:proofErr w:type="gramStart"/>
      <w:r w:rsidRPr="245AE7BB">
        <w:rPr>
          <w:rFonts w:cstheme="minorBidi"/>
        </w:rPr>
        <w:t>is able to</w:t>
      </w:r>
      <w:bookmarkEnd w:id="106"/>
      <w:proofErr w:type="gramEnd"/>
      <w:r w:rsidRPr="245AE7BB">
        <w:rPr>
          <w:rFonts w:cstheme="minorBidi"/>
        </w:rPr>
        <w:t xml:space="preserve"> provide periodic economic and financial updates and reviews, and invitations to regular economic briefing presentations.</w:t>
      </w:r>
    </w:p>
    <w:p w14:paraId="112D7CBE" w14:textId="2C4DEAC4" w:rsidR="00EC3A39" w:rsidRPr="00DF33CA" w:rsidRDefault="00EC3A39" w:rsidP="00EC3A39">
      <w:pPr>
        <w:pStyle w:val="Heading2"/>
        <w:rPr>
          <w:color w:val="00B0F0"/>
        </w:rPr>
      </w:pPr>
      <w:bookmarkStart w:id="107" w:name="_Toc79755076"/>
      <w:bookmarkStart w:id="108" w:name="_Toc135819879"/>
      <w:bookmarkStart w:id="109" w:name="_Toc138251070"/>
      <w:r w:rsidRPr="712ED00F">
        <w:rPr>
          <w:color w:val="00B0F0"/>
        </w:rPr>
        <w:lastRenderedPageBreak/>
        <w:t>Deposit services</w:t>
      </w:r>
      <w:bookmarkEnd w:id="107"/>
      <w:bookmarkEnd w:id="108"/>
      <w:bookmarkEnd w:id="109"/>
    </w:p>
    <w:p w14:paraId="1917356E" w14:textId="77777777" w:rsidR="00EC3A39" w:rsidRPr="005B02FF" w:rsidRDefault="00EC3A39" w:rsidP="00EC3A39">
      <w:pPr>
        <w:pStyle w:val="Heading3"/>
      </w:pPr>
      <w:bookmarkStart w:id="110" w:name="_Toc79755077"/>
      <w:r w:rsidRPr="005B02FF">
        <w:t>TCV deposits</w:t>
      </w:r>
      <w:bookmarkEnd w:id="110"/>
    </w:p>
    <w:p w14:paraId="2A697D7A" w14:textId="77777777" w:rsidR="00EC3A39" w:rsidRPr="005B02FF" w:rsidRDefault="00EC3A39" w:rsidP="245AE7BB">
      <w:pPr>
        <w:rPr>
          <w:rFonts w:cstheme="minorBidi"/>
        </w:rPr>
      </w:pPr>
      <w:r w:rsidRPr="245AE7BB">
        <w:rPr>
          <w:rFonts w:cstheme="minorBidi"/>
        </w:rPr>
        <w:t xml:space="preserve">In addition to TCV loans, TCV </w:t>
      </w:r>
      <w:bookmarkStart w:id="111" w:name="_Int_7WikhiMv"/>
      <w:proofErr w:type="gramStart"/>
      <w:r w:rsidRPr="245AE7BB">
        <w:rPr>
          <w:rFonts w:cstheme="minorBidi"/>
        </w:rPr>
        <w:t>is able to</w:t>
      </w:r>
      <w:bookmarkEnd w:id="111"/>
      <w:proofErr w:type="gramEnd"/>
      <w:r w:rsidRPr="245AE7BB">
        <w:rPr>
          <w:rFonts w:cstheme="minorBidi"/>
        </w:rPr>
        <w:t xml:space="preserve"> offer councils a deposit taking service to assist with their cash management activities. The deposit facilities are simple to administer and structured to meet the needs of councils offering choices of investment term, interest rate setting mechanism and repayment schedule. Below is a list of TCV’s deposit facilities:</w:t>
      </w:r>
    </w:p>
    <w:tbl>
      <w:tblPr>
        <w:tblStyle w:val="TableGrid"/>
        <w:tblW w:w="0" w:type="auto"/>
        <w:tblLook w:val="04A0" w:firstRow="1" w:lastRow="0" w:firstColumn="1" w:lastColumn="0" w:noHBand="0" w:noVBand="1"/>
      </w:tblPr>
      <w:tblGrid>
        <w:gridCol w:w="2830"/>
        <w:gridCol w:w="6186"/>
      </w:tblGrid>
      <w:tr w:rsidR="00EC3A39" w:rsidRPr="005B02FF" w14:paraId="34427112" w14:textId="77777777">
        <w:tc>
          <w:tcPr>
            <w:tcW w:w="2830" w:type="dxa"/>
            <w:tcBorders>
              <w:top w:val="single" w:sz="4" w:space="0" w:color="auto"/>
              <w:left w:val="single" w:sz="4" w:space="0" w:color="auto"/>
              <w:bottom w:val="single" w:sz="4" w:space="0" w:color="auto"/>
              <w:right w:val="single" w:sz="4" w:space="0" w:color="auto"/>
            </w:tcBorders>
            <w:shd w:val="clear" w:color="auto" w:fill="DFE1DF" w:themeFill="background2"/>
            <w:hideMark/>
          </w:tcPr>
          <w:p w14:paraId="2BFF73DC" w14:textId="77777777" w:rsidR="00EC3A39" w:rsidRPr="005B02FF" w:rsidRDefault="00EC3A39">
            <w:pPr>
              <w:rPr>
                <w:rFonts w:cstheme="minorHAnsi"/>
                <w:b/>
                <w:bCs/>
                <w:szCs w:val="18"/>
              </w:rPr>
            </w:pPr>
            <w:r w:rsidRPr="005B02FF">
              <w:rPr>
                <w:rFonts w:cstheme="minorHAnsi"/>
                <w:b/>
                <w:bCs/>
                <w:szCs w:val="18"/>
              </w:rPr>
              <w:t>TCV deposit facility</w:t>
            </w:r>
          </w:p>
        </w:tc>
        <w:tc>
          <w:tcPr>
            <w:tcW w:w="6186" w:type="dxa"/>
            <w:tcBorders>
              <w:top w:val="single" w:sz="4" w:space="0" w:color="auto"/>
              <w:left w:val="single" w:sz="4" w:space="0" w:color="auto"/>
              <w:bottom w:val="single" w:sz="4" w:space="0" w:color="auto"/>
              <w:right w:val="single" w:sz="4" w:space="0" w:color="auto"/>
            </w:tcBorders>
            <w:shd w:val="clear" w:color="auto" w:fill="DFE1DF" w:themeFill="background2"/>
            <w:hideMark/>
          </w:tcPr>
          <w:p w14:paraId="020C7DCA" w14:textId="77777777" w:rsidR="00EC3A39" w:rsidRPr="005B02FF" w:rsidRDefault="00EC3A39">
            <w:pPr>
              <w:rPr>
                <w:rFonts w:cstheme="minorHAnsi"/>
                <w:b/>
                <w:bCs/>
                <w:szCs w:val="18"/>
              </w:rPr>
            </w:pPr>
            <w:r w:rsidRPr="005B02FF">
              <w:rPr>
                <w:rFonts w:cstheme="minorHAnsi"/>
                <w:b/>
                <w:bCs/>
                <w:szCs w:val="18"/>
              </w:rPr>
              <w:t>Description</w:t>
            </w:r>
          </w:p>
        </w:tc>
      </w:tr>
      <w:tr w:rsidR="00EC3A39" w:rsidRPr="005B02FF" w14:paraId="5137166E" w14:textId="77777777">
        <w:tc>
          <w:tcPr>
            <w:tcW w:w="2830" w:type="dxa"/>
            <w:tcBorders>
              <w:top w:val="single" w:sz="4" w:space="0" w:color="auto"/>
              <w:left w:val="single" w:sz="4" w:space="0" w:color="auto"/>
              <w:bottom w:val="single" w:sz="4" w:space="0" w:color="auto"/>
              <w:right w:val="single" w:sz="4" w:space="0" w:color="auto"/>
            </w:tcBorders>
            <w:hideMark/>
          </w:tcPr>
          <w:p w14:paraId="73F88C57" w14:textId="77777777" w:rsidR="00EC3A39" w:rsidRPr="005B02FF" w:rsidRDefault="00EC3A39">
            <w:pPr>
              <w:rPr>
                <w:rFonts w:cstheme="minorHAnsi"/>
                <w:szCs w:val="18"/>
              </w:rPr>
            </w:pPr>
            <w:r w:rsidRPr="005B02FF">
              <w:rPr>
                <w:rFonts w:cstheme="minorHAnsi"/>
                <w:szCs w:val="18"/>
              </w:rPr>
              <w:t>11am deposit</w:t>
            </w:r>
          </w:p>
        </w:tc>
        <w:tc>
          <w:tcPr>
            <w:tcW w:w="6186" w:type="dxa"/>
            <w:tcBorders>
              <w:top w:val="single" w:sz="4" w:space="0" w:color="auto"/>
              <w:left w:val="single" w:sz="4" w:space="0" w:color="auto"/>
              <w:bottom w:val="single" w:sz="4" w:space="0" w:color="auto"/>
              <w:right w:val="single" w:sz="4" w:space="0" w:color="auto"/>
            </w:tcBorders>
            <w:hideMark/>
          </w:tcPr>
          <w:p w14:paraId="212CDD6B" w14:textId="77777777" w:rsidR="00EC3A39" w:rsidRPr="005B02FF" w:rsidRDefault="00EC3A39">
            <w:pPr>
              <w:rPr>
                <w:rFonts w:cstheme="minorHAnsi"/>
                <w:szCs w:val="18"/>
              </w:rPr>
            </w:pPr>
            <w:r w:rsidRPr="005B02FF">
              <w:rPr>
                <w:rFonts w:cstheme="minorHAnsi"/>
                <w:szCs w:val="18"/>
              </w:rPr>
              <w:t>11am deposits provide a highly liquid short-term facility for investing daily surplus cash balances. The interest rate on the deposit is calculated by applying an execution fee to the prevailing market cash rate. The accrued interest on 11am deposits is paid on the first business day of the following month.</w:t>
            </w:r>
          </w:p>
        </w:tc>
      </w:tr>
      <w:tr w:rsidR="00EC3A39" w:rsidRPr="005B02FF" w14:paraId="6CC04C91" w14:textId="77777777">
        <w:tc>
          <w:tcPr>
            <w:tcW w:w="2830" w:type="dxa"/>
            <w:tcBorders>
              <w:top w:val="single" w:sz="4" w:space="0" w:color="auto"/>
              <w:left w:val="single" w:sz="4" w:space="0" w:color="auto"/>
              <w:bottom w:val="single" w:sz="4" w:space="0" w:color="auto"/>
              <w:right w:val="single" w:sz="4" w:space="0" w:color="auto"/>
            </w:tcBorders>
            <w:hideMark/>
          </w:tcPr>
          <w:p w14:paraId="49645B84" w14:textId="77777777" w:rsidR="00EC3A39" w:rsidRPr="005B02FF" w:rsidRDefault="00EC3A39">
            <w:pPr>
              <w:rPr>
                <w:rFonts w:cstheme="minorHAnsi"/>
                <w:szCs w:val="18"/>
              </w:rPr>
            </w:pPr>
            <w:r w:rsidRPr="005B02FF">
              <w:rPr>
                <w:rFonts w:cstheme="minorHAnsi"/>
                <w:szCs w:val="18"/>
              </w:rPr>
              <w:t>Term deposit</w:t>
            </w:r>
          </w:p>
        </w:tc>
        <w:tc>
          <w:tcPr>
            <w:tcW w:w="6186" w:type="dxa"/>
            <w:tcBorders>
              <w:top w:val="single" w:sz="4" w:space="0" w:color="auto"/>
              <w:left w:val="single" w:sz="4" w:space="0" w:color="auto"/>
              <w:bottom w:val="single" w:sz="4" w:space="0" w:color="auto"/>
              <w:right w:val="single" w:sz="4" w:space="0" w:color="auto"/>
            </w:tcBorders>
            <w:hideMark/>
          </w:tcPr>
          <w:p w14:paraId="2A17C3D3" w14:textId="77777777" w:rsidR="00EC3A39" w:rsidRPr="005B02FF" w:rsidRDefault="00EC3A39">
            <w:pPr>
              <w:rPr>
                <w:rFonts w:cstheme="minorHAnsi"/>
                <w:szCs w:val="18"/>
              </w:rPr>
            </w:pPr>
            <w:r w:rsidRPr="005B02FF">
              <w:rPr>
                <w:rFonts w:cstheme="minorHAnsi"/>
                <w:szCs w:val="18"/>
              </w:rPr>
              <w:t>Term deposits are for investment of short-term cash surpluses for periods up to 365 days. The interest rate paid is based on the agreed term to maturity and market interest rates at the time of the investment. Funds lodged as term deposits are available for repayment on the maturity date at which time the accrued interest is also paid.</w:t>
            </w:r>
          </w:p>
        </w:tc>
      </w:tr>
      <w:tr w:rsidR="00EC3A39" w:rsidRPr="005B02FF" w14:paraId="2045E107" w14:textId="77777777">
        <w:tc>
          <w:tcPr>
            <w:tcW w:w="2830" w:type="dxa"/>
            <w:tcBorders>
              <w:top w:val="single" w:sz="4" w:space="0" w:color="auto"/>
              <w:left w:val="single" w:sz="4" w:space="0" w:color="auto"/>
              <w:bottom w:val="single" w:sz="4" w:space="0" w:color="auto"/>
              <w:right w:val="single" w:sz="4" w:space="0" w:color="auto"/>
            </w:tcBorders>
            <w:hideMark/>
          </w:tcPr>
          <w:p w14:paraId="28464B7E" w14:textId="77777777" w:rsidR="00EC3A39" w:rsidRPr="005B02FF" w:rsidRDefault="00EC3A39">
            <w:pPr>
              <w:rPr>
                <w:rFonts w:cstheme="minorHAnsi"/>
                <w:szCs w:val="18"/>
              </w:rPr>
            </w:pPr>
            <w:r w:rsidRPr="005B02FF">
              <w:rPr>
                <w:rFonts w:cstheme="minorHAnsi"/>
                <w:szCs w:val="18"/>
              </w:rPr>
              <w:t>Term Floating Rate deposit</w:t>
            </w:r>
          </w:p>
        </w:tc>
        <w:tc>
          <w:tcPr>
            <w:tcW w:w="6186" w:type="dxa"/>
            <w:tcBorders>
              <w:top w:val="single" w:sz="4" w:space="0" w:color="auto"/>
              <w:left w:val="single" w:sz="4" w:space="0" w:color="auto"/>
              <w:bottom w:val="single" w:sz="4" w:space="0" w:color="auto"/>
              <w:right w:val="single" w:sz="4" w:space="0" w:color="auto"/>
            </w:tcBorders>
            <w:hideMark/>
          </w:tcPr>
          <w:p w14:paraId="2BCADB25" w14:textId="77777777" w:rsidR="00EC3A39" w:rsidRPr="005B02FF" w:rsidRDefault="00EC3A39">
            <w:pPr>
              <w:rPr>
                <w:rFonts w:cstheme="minorHAnsi"/>
                <w:szCs w:val="18"/>
              </w:rPr>
            </w:pPr>
            <w:r w:rsidRPr="005B02FF">
              <w:rPr>
                <w:rFonts w:cstheme="minorHAnsi"/>
                <w:szCs w:val="18"/>
              </w:rPr>
              <w:t xml:space="preserve">A term floating rate deposit is a short to medium term investment that pays a rate which is calculated by applying a fixed margin to either the 90 day or 180-day bank bill swap reference rate for the term of the investment. </w:t>
            </w:r>
          </w:p>
        </w:tc>
      </w:tr>
      <w:tr w:rsidR="00EC3A39" w:rsidRPr="00F55CB9" w14:paraId="061EBCE6" w14:textId="77777777">
        <w:tc>
          <w:tcPr>
            <w:tcW w:w="2830" w:type="dxa"/>
            <w:tcBorders>
              <w:top w:val="single" w:sz="4" w:space="0" w:color="auto"/>
              <w:left w:val="single" w:sz="4" w:space="0" w:color="auto"/>
              <w:bottom w:val="single" w:sz="4" w:space="0" w:color="auto"/>
              <w:right w:val="single" w:sz="4" w:space="0" w:color="auto"/>
            </w:tcBorders>
            <w:hideMark/>
          </w:tcPr>
          <w:p w14:paraId="33D68111" w14:textId="77777777" w:rsidR="00EC3A39" w:rsidRPr="005B02FF" w:rsidRDefault="00EC3A39">
            <w:pPr>
              <w:rPr>
                <w:rFonts w:cstheme="minorHAnsi"/>
                <w:color w:val="3391C5"/>
                <w:szCs w:val="18"/>
              </w:rPr>
            </w:pPr>
            <w:r w:rsidRPr="005B02FF">
              <w:rPr>
                <w:rFonts w:cstheme="minorHAnsi"/>
                <w:szCs w:val="18"/>
              </w:rPr>
              <w:t>Structured deposit</w:t>
            </w:r>
          </w:p>
        </w:tc>
        <w:tc>
          <w:tcPr>
            <w:tcW w:w="6186" w:type="dxa"/>
            <w:tcBorders>
              <w:top w:val="single" w:sz="4" w:space="0" w:color="auto"/>
              <w:left w:val="single" w:sz="4" w:space="0" w:color="auto"/>
              <w:bottom w:val="single" w:sz="4" w:space="0" w:color="auto"/>
              <w:right w:val="single" w:sz="4" w:space="0" w:color="auto"/>
            </w:tcBorders>
            <w:hideMark/>
          </w:tcPr>
          <w:p w14:paraId="47223381" w14:textId="77777777" w:rsidR="00EC3A39" w:rsidRPr="00F55CB9" w:rsidRDefault="00EC3A39">
            <w:pPr>
              <w:rPr>
                <w:rFonts w:eastAsiaTheme="minorHAnsi" w:cstheme="minorHAnsi"/>
                <w:szCs w:val="18"/>
              </w:rPr>
            </w:pPr>
            <w:r w:rsidRPr="005B02FF">
              <w:rPr>
                <w:rFonts w:cstheme="minorHAnsi"/>
                <w:szCs w:val="18"/>
              </w:rPr>
              <w:t>Deposits arranged according to a council’s specific cash management needs. Deposits can be structured to return principal and income flows in accordance with an agreed schedule that meets the council’s cash flow requirements.</w:t>
            </w:r>
            <w:r w:rsidRPr="00F55CB9">
              <w:rPr>
                <w:rFonts w:cstheme="minorHAnsi"/>
                <w:szCs w:val="18"/>
              </w:rPr>
              <w:t xml:space="preserve"> </w:t>
            </w:r>
          </w:p>
        </w:tc>
      </w:tr>
    </w:tbl>
    <w:p w14:paraId="509031EE" w14:textId="77777777" w:rsidR="00877288" w:rsidRDefault="00877288" w:rsidP="245AE7BB">
      <w:pPr>
        <w:pStyle w:val="Heading3"/>
      </w:pPr>
      <w:bookmarkStart w:id="112" w:name="_Toc79755078"/>
      <w:r>
        <w:br w:type="page"/>
      </w:r>
    </w:p>
    <w:p w14:paraId="64417FA5" w14:textId="6177EB71" w:rsidR="00EC3A39" w:rsidRPr="00DF33CA" w:rsidRDefault="00EC3A39" w:rsidP="245AE7BB">
      <w:pPr>
        <w:pStyle w:val="Heading3"/>
      </w:pPr>
      <w:r>
        <w:lastRenderedPageBreak/>
        <w:t>VFMC investments</w:t>
      </w:r>
      <w:bookmarkEnd w:id="112"/>
    </w:p>
    <w:p w14:paraId="3FCAD0B5" w14:textId="210C430B" w:rsidR="00EC3A39" w:rsidRDefault="00EC3A39" w:rsidP="245AE7BB">
      <w:pPr>
        <w:spacing w:after="0"/>
        <w:rPr>
          <w:rStyle w:val="Hyperlink"/>
          <w:rFonts w:cstheme="minorBidi"/>
          <w:color w:val="6888C9"/>
        </w:rPr>
      </w:pPr>
      <w:r w:rsidRPr="245AE7BB">
        <w:rPr>
          <w:rFonts w:cstheme="minorBidi"/>
        </w:rPr>
        <w:t>As part of this framework, the Victorian Funds Management Corporation (VFMC) is available to councils for the investment of funds. Councils can contact VFMC for long-term investment products</w:t>
      </w:r>
      <w:r w:rsidR="55E6A7C4" w:rsidRPr="245AE7BB">
        <w:rPr>
          <w:rFonts w:cstheme="minorBidi"/>
        </w:rPr>
        <w:t>. VFMC does not manage term deposits</w:t>
      </w:r>
      <w:r w:rsidR="00F265AE">
        <w:rPr>
          <w:rFonts w:cstheme="minorBidi"/>
        </w:rPr>
        <w:t>,</w:t>
      </w:r>
      <w:r w:rsidR="55E6A7C4" w:rsidRPr="245AE7BB">
        <w:rPr>
          <w:rFonts w:cstheme="minorBidi"/>
        </w:rPr>
        <w:t xml:space="preserve"> only medium to long-term funds. </w:t>
      </w:r>
      <w:r w:rsidR="6D66C071" w:rsidRPr="245AE7BB">
        <w:rPr>
          <w:rFonts w:cstheme="minorBidi"/>
        </w:rPr>
        <w:t xml:space="preserve">VFMC can be contacted </w:t>
      </w:r>
      <w:r w:rsidRPr="245AE7BB">
        <w:rPr>
          <w:rFonts w:cstheme="minorBidi"/>
        </w:rPr>
        <w:t xml:space="preserve">on the following email: </w:t>
      </w:r>
      <w:hyperlink r:id="rId13" w:history="1">
        <w:r w:rsidR="00F265AE" w:rsidRPr="00D653DB">
          <w:rPr>
            <w:rStyle w:val="Hyperlink"/>
            <w:rFonts w:cstheme="minorBidi"/>
          </w:rPr>
          <w:t>clientservices@vfmc.vic.gov.au</w:t>
        </w:r>
      </w:hyperlink>
      <w:r w:rsidRPr="245AE7BB">
        <w:rPr>
          <w:rStyle w:val="Hyperlink"/>
          <w:rFonts w:cstheme="minorBidi"/>
          <w:color w:val="6888C9"/>
        </w:rPr>
        <w:t>.</w:t>
      </w:r>
    </w:p>
    <w:p w14:paraId="2E3B604C" w14:textId="338EE05F" w:rsidR="1D3DCB74" w:rsidRDefault="1D3DCB74" w:rsidP="245AE7BB">
      <w:pPr>
        <w:spacing w:after="0"/>
        <w:rPr>
          <w:rStyle w:val="Hyperlink"/>
          <w:rFonts w:cstheme="minorBidi"/>
          <w:color w:val="6888C9"/>
        </w:rPr>
      </w:pPr>
    </w:p>
    <w:p w14:paraId="15084D88" w14:textId="5F87DC4A" w:rsidR="1D3DCB74" w:rsidRDefault="4E966E74" w:rsidP="245AE7BB">
      <w:pPr>
        <w:spacing w:after="0"/>
        <w:rPr>
          <w:rFonts w:cstheme="minorBidi"/>
        </w:rPr>
      </w:pPr>
      <w:r w:rsidRPr="245AE7BB">
        <w:rPr>
          <w:rFonts w:cstheme="minorBidi"/>
        </w:rPr>
        <w:t xml:space="preserve">VFMC offers pooled investment funds to eligible investors, including Victorian councils. This provides the benefits of scale and access to institutional investment management expertise that may not otherwise be available at a competitive cost. VFMC’s funds meet a range of medium to long term investment objectives. </w:t>
      </w:r>
    </w:p>
    <w:p w14:paraId="36D1CB0E" w14:textId="77777777" w:rsidR="000A64C8" w:rsidRPr="00DF33CA" w:rsidRDefault="000A64C8" w:rsidP="245AE7BB">
      <w:pPr>
        <w:spacing w:after="0"/>
        <w:rPr>
          <w:rFonts w:cstheme="minorBidi"/>
        </w:rPr>
      </w:pPr>
    </w:p>
    <w:p w14:paraId="50E7E524" w14:textId="338EE05F" w:rsidR="1D3DCB74" w:rsidRDefault="4E966E74" w:rsidP="135B4994">
      <w:pPr>
        <w:spacing w:after="0"/>
        <w:rPr>
          <w:rFonts w:ascii="Arial" w:eastAsia="Arial" w:hAnsi="Arial"/>
          <w:sz w:val="24"/>
          <w:szCs w:val="24"/>
        </w:rPr>
      </w:pPr>
      <w:r w:rsidRPr="245AE7BB">
        <w:rPr>
          <w:rFonts w:cstheme="minorBidi"/>
        </w:rPr>
        <w:t>Councils seeking to diversify their portfolio and enhance returns to meet their investment objectives may consider the option of investing with the VFMC.</w:t>
      </w:r>
    </w:p>
    <w:p w14:paraId="23C038E9" w14:textId="338EE05F" w:rsidR="1D3DCB74" w:rsidRDefault="1D3DCB74" w:rsidP="135B4994">
      <w:pPr>
        <w:spacing w:after="0"/>
        <w:rPr>
          <w:rStyle w:val="Hyperlink"/>
          <w:rFonts w:cstheme="minorBidi"/>
          <w:color w:val="6888C9"/>
          <w:highlight w:val="yellow"/>
        </w:rPr>
      </w:pPr>
    </w:p>
    <w:bookmarkEnd w:id="56"/>
    <w:p w14:paraId="62B57B94" w14:textId="77777777" w:rsidR="00EC3A39" w:rsidRPr="00E06FC1" w:rsidRDefault="00EC3A39" w:rsidP="00EC3A39"/>
    <w:sectPr w:rsidR="00EC3A39" w:rsidRPr="00E06FC1" w:rsidSect="004200F4">
      <w:headerReference w:type="default" r:id="rId14"/>
      <w:footerReference w:type="even" r:id="rId15"/>
      <w:footerReference w:type="default" r:id="rId16"/>
      <w:headerReference w:type="first" r:id="rId17"/>
      <w:footerReference w:type="first" r:id="rId18"/>
      <w:type w:val="continuous"/>
      <w:pgSz w:w="11900" w:h="16840" w:code="8"/>
      <w:pgMar w:top="1247" w:right="1701" w:bottom="851" w:left="1134" w:header="567" w:footer="680"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0C3853" w14:textId="77777777" w:rsidR="00063DC9" w:rsidRDefault="00063DC9" w:rsidP="002F6A6E">
      <w:r>
        <w:separator/>
      </w:r>
    </w:p>
    <w:p w14:paraId="2FD9AAFC" w14:textId="77777777" w:rsidR="00063DC9" w:rsidRDefault="00063DC9"/>
    <w:p w14:paraId="4C814F6D" w14:textId="77777777" w:rsidR="00063DC9" w:rsidRDefault="00063DC9"/>
  </w:endnote>
  <w:endnote w:type="continuationSeparator" w:id="0">
    <w:p w14:paraId="441B6DE5" w14:textId="77777777" w:rsidR="00063DC9" w:rsidRDefault="00063DC9" w:rsidP="002F6A6E">
      <w:r>
        <w:continuationSeparator/>
      </w:r>
    </w:p>
    <w:p w14:paraId="6B53B558" w14:textId="77777777" w:rsidR="00063DC9" w:rsidRDefault="00063DC9"/>
    <w:p w14:paraId="0560D1EE" w14:textId="77777777" w:rsidR="00063DC9" w:rsidRDefault="00063DC9"/>
  </w:endnote>
  <w:endnote w:type="continuationNotice" w:id="1">
    <w:p w14:paraId="4C26A7C1" w14:textId="77777777" w:rsidR="00063DC9" w:rsidRDefault="00063DC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ple SD Gothic NeoI Regular">
    <w:altName w:val="Cambria"/>
    <w:panose1 w:val="00000000000000000000"/>
    <w:charset w:val="00"/>
    <w:family w:val="roman"/>
    <w:notTrueType/>
    <w:pitch w:val="default"/>
  </w:font>
  <w:font w:name="VIC">
    <w:altName w:val="Cambria"/>
    <w:panose1 w:val="000005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67D6A" w14:textId="7ECB9F4A" w:rsidR="008360FC" w:rsidRDefault="00320409" w:rsidP="002F6A6E">
    <w:r>
      <w:rPr>
        <w:noProof/>
      </w:rPr>
      <mc:AlternateContent>
        <mc:Choice Requires="wps">
          <w:drawing>
            <wp:anchor distT="0" distB="0" distL="0" distR="0" simplePos="0" relativeHeight="251599872" behindDoc="0" locked="0" layoutInCell="1" allowOverlap="1" wp14:anchorId="64AAE207" wp14:editId="2867EF12">
              <wp:simplePos x="635" y="635"/>
              <wp:positionH relativeFrom="page">
                <wp:align>left</wp:align>
              </wp:positionH>
              <wp:positionV relativeFrom="page">
                <wp:align>bottom</wp:align>
              </wp:positionV>
              <wp:extent cx="443865" cy="443865"/>
              <wp:effectExtent l="0" t="0" r="2540" b="0"/>
              <wp:wrapNone/>
              <wp:docPr id="6" name="Text Box 6">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90BE6D" w14:textId="5BE64D6A" w:rsidR="00320409" w:rsidRPr="00320409" w:rsidRDefault="00320409" w:rsidP="002F6A6E">
                          <w:pPr>
                            <w:rPr>
                              <w:noProof/>
                            </w:rPr>
                          </w:pPr>
                          <w:r w:rsidRPr="00320409">
                            <w:rPr>
                              <w:noProof/>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4AAE207" id="_x0000_t202" coordsize="21600,21600" o:spt="202" path="m,l,21600r21600,l21600,xe">
              <v:stroke joinstyle="miter"/>
              <v:path gradientshapeok="t" o:connecttype="rect"/>
            </v:shapetype>
            <v:shape id="Text Box 6" o:spid="_x0000_s1026" type="#_x0000_t202" alt="&quot;&quot;" style="position:absolute;margin-left:0;margin-top:0;width:34.95pt;height:34.95pt;z-index:25159987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5090BE6D" w14:textId="5BE64D6A" w:rsidR="00320409" w:rsidRPr="00320409" w:rsidRDefault="00320409" w:rsidP="002F6A6E">
                    <w:pPr>
                      <w:rPr>
                        <w:noProof/>
                      </w:rPr>
                    </w:pPr>
                    <w:r w:rsidRPr="00320409">
                      <w:rPr>
                        <w:noProof/>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1D926" w14:textId="2A1854E6" w:rsidR="008360FC" w:rsidRPr="00157BA8" w:rsidRDefault="00260CC0" w:rsidP="000F18C6">
    <w:pPr>
      <w:pStyle w:val="Heading9"/>
      <w:ind w:right="1127"/>
    </w:pPr>
    <w:r>
      <w:rPr>
        <w:noProof/>
      </w:rPr>
      <mc:AlternateContent>
        <mc:Choice Requires="wps">
          <w:drawing>
            <wp:anchor distT="0" distB="0" distL="114300" distR="114300" simplePos="0" relativeHeight="251624448" behindDoc="0" locked="0" layoutInCell="0" allowOverlap="1" wp14:anchorId="124DCD6C" wp14:editId="364B4FCB">
              <wp:simplePos x="0" y="0"/>
              <wp:positionH relativeFrom="page">
                <wp:posOffset>0</wp:posOffset>
              </wp:positionH>
              <wp:positionV relativeFrom="page">
                <wp:posOffset>10250170</wp:posOffset>
              </wp:positionV>
              <wp:extent cx="7556500" cy="252095"/>
              <wp:effectExtent l="0" t="0" r="0" b="14605"/>
              <wp:wrapNone/>
              <wp:docPr id="1"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68A93E" w14:textId="0B5735F9" w:rsidR="00260CC0" w:rsidRPr="00260CC0" w:rsidRDefault="00260CC0" w:rsidP="00260CC0">
                          <w:pPr>
                            <w:spacing w:after="0"/>
                            <w:jc w:val="center"/>
                            <w:rPr>
                              <w:rFonts w:ascii="Arial" w:hAnsi="Arial"/>
                              <w:color w:val="000000"/>
                              <w:sz w:val="24"/>
                            </w:rPr>
                          </w:pPr>
                          <w:r w:rsidRPr="00260CC0">
                            <w:rPr>
                              <w:rFonts w:ascii="Arial" w:hAnsi="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24DCD6C" id="_x0000_t202" coordsize="21600,21600" o:spt="202" path="m,l,21600r21600,l21600,xe">
              <v:stroke joinstyle="miter"/>
              <v:path gradientshapeok="t" o:connecttype="rect"/>
            </v:shapetype>
            <v:shape id="Text Box 1" o:spid="_x0000_s1027" type="#_x0000_t202" alt="&quot;&quot;" style="position:absolute;margin-left:0;margin-top:807.1pt;width:595pt;height:19.85pt;z-index:2516244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" o:allowincell="f" filled="f" stroked="f" strokeweight=".5pt">
              <v:textbox inset=",0,,0">
                <w:txbxContent>
                  <w:p w14:paraId="6C68A93E" w14:textId="0B5735F9" w:rsidR="00260CC0" w:rsidRPr="00260CC0" w:rsidRDefault="00260CC0" w:rsidP="00260CC0">
                    <w:pPr>
                      <w:spacing w:after="0"/>
                      <w:jc w:val="center"/>
                      <w:rPr>
                        <w:rFonts w:ascii="Arial" w:hAnsi="Arial"/>
                        <w:color w:val="000000"/>
                        <w:sz w:val="24"/>
                      </w:rPr>
                    </w:pPr>
                    <w:r w:rsidRPr="00260CC0">
                      <w:rPr>
                        <w:rFonts w:ascii="Arial" w:hAnsi="Arial"/>
                        <w:color w:val="000000"/>
                        <w:sz w:val="24"/>
                      </w:rPr>
                      <w:t>OFFICIAL</w:t>
                    </w:r>
                  </w:p>
                </w:txbxContent>
              </v:textbox>
              <w10:wrap anchorx="page" anchory="page"/>
            </v:shape>
          </w:pict>
        </mc:Fallback>
      </mc:AlternateContent>
    </w:r>
    <w:r w:rsidR="001603D1">
      <w:rPr>
        <w:noProof/>
      </w:rPr>
      <w:drawing>
        <wp:anchor distT="0" distB="0" distL="114300" distR="114300" simplePos="0" relativeHeight="251608064" behindDoc="1" locked="0" layoutInCell="1" allowOverlap="1" wp14:anchorId="7C2BE8A3" wp14:editId="6183F8C9">
          <wp:simplePos x="0" y="0"/>
          <wp:positionH relativeFrom="page">
            <wp:posOffset>0</wp:posOffset>
          </wp:positionH>
          <wp:positionV relativeFrom="paragraph">
            <wp:posOffset>-9179</wp:posOffset>
          </wp:positionV>
          <wp:extent cx="7560000" cy="889411"/>
          <wp:effectExtent l="0" t="0" r="0" b="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r w:rsidR="00193CA3" w:rsidRPr="00157BA8">
      <w:fldChar w:fldCharType="begin"/>
    </w:r>
    <w:r w:rsidR="00193CA3" w:rsidRPr="00157BA8">
      <w:instrText xml:space="preserve"> PAGE   \* MERGEFORMAT </w:instrText>
    </w:r>
    <w:r w:rsidR="00193CA3" w:rsidRPr="00157BA8">
      <w:fldChar w:fldCharType="separate"/>
    </w:r>
    <w:r w:rsidR="00193CA3" w:rsidRPr="00157BA8">
      <w:t>3</w:t>
    </w:r>
    <w:r w:rsidR="00193CA3" w:rsidRPr="00157BA8">
      <w:fldChar w:fldCharType="end"/>
    </w:r>
    <w:bookmarkStart w:id="113" w:name="aliashNonProtectiveMarking2FooterPrimary"/>
    <w:r w:rsidR="004A439A" w:rsidRPr="00157BA8">
      <w:t xml:space="preserve">  </w:t>
    </w:r>
    <w:r w:rsidR="002F6A6E">
      <w:fldChar w:fldCharType="begin"/>
    </w:r>
    <w:r w:rsidR="002F6A6E">
      <w:instrText xml:space="preserve"> TITLE  \* MERGEFORMAT </w:instrText>
    </w:r>
    <w:r w:rsidR="00644313">
      <w:fldChar w:fldCharType="separate"/>
    </w:r>
    <w:r w:rsidR="00644313">
      <w:t xml:space="preserve">Treasury Corporation of Victoria loans to Victorian </w:t>
    </w:r>
    <w:proofErr w:type="spellStart"/>
    <w:r w:rsidR="00644313">
      <w:t>Councils</w:t>
    </w:r>
    <w:r w:rsidR="002F6A6E">
      <w:fldChar w:fldCharType="end"/>
    </w:r>
    <w:bookmarkEnd w:id="113"/>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A4405" w14:textId="7F17FF37" w:rsidR="00B809B3" w:rsidRDefault="00260CC0">
    <w:pPr>
      <w:pStyle w:val="Footer"/>
    </w:pPr>
    <w:r>
      <w:rPr>
        <w:noProof/>
      </w:rPr>
      <mc:AlternateContent>
        <mc:Choice Requires="wps">
          <w:drawing>
            <wp:anchor distT="0" distB="0" distL="114300" distR="114300" simplePos="0" relativeHeight="251632640" behindDoc="0" locked="0" layoutInCell="0" allowOverlap="1" wp14:anchorId="67CA3118" wp14:editId="431BB652">
              <wp:simplePos x="0" y="0"/>
              <wp:positionH relativeFrom="page">
                <wp:posOffset>0</wp:posOffset>
              </wp:positionH>
              <wp:positionV relativeFrom="page">
                <wp:posOffset>10250170</wp:posOffset>
              </wp:positionV>
              <wp:extent cx="7556500" cy="252095"/>
              <wp:effectExtent l="0" t="0" r="0" b="14605"/>
              <wp:wrapNone/>
              <wp:docPr id="2"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24EB37" w14:textId="769D3AA0" w:rsidR="00260CC0" w:rsidRPr="00260CC0" w:rsidRDefault="00260CC0" w:rsidP="00260CC0">
                          <w:pPr>
                            <w:spacing w:after="0"/>
                            <w:jc w:val="center"/>
                            <w:rPr>
                              <w:rFonts w:ascii="Arial" w:hAnsi="Arial"/>
                              <w:color w:val="000000"/>
                              <w:sz w:val="24"/>
                            </w:rPr>
                          </w:pPr>
                          <w:r w:rsidRPr="00260CC0">
                            <w:rPr>
                              <w:rFonts w:ascii="Arial" w:hAnsi="Arial"/>
                              <w:color w:val="000000"/>
                              <w:sz w:val="24"/>
                            </w:rPr>
                            <w:t>OFF</w:t>
                          </w:r>
                          <w:r w:rsidR="008D7AD9">
                            <w:rPr>
                              <w:rFonts w:ascii="Arial" w:hAnsi="Arial"/>
                              <w:color w:val="000000"/>
                              <w:sz w:val="24"/>
                            </w:rPr>
                            <w:t>I</w:t>
                          </w:r>
                          <w:r w:rsidR="00F1647D">
                            <w:rPr>
                              <w:rFonts w:ascii="Arial" w:hAnsi="Arial"/>
                              <w:color w:val="000000"/>
                              <w:sz w:val="24"/>
                            </w:rPr>
                            <w:t>C</w:t>
                          </w:r>
                          <w:r w:rsidRPr="00260CC0">
                            <w:rPr>
                              <w:rFonts w:ascii="Arial" w:hAnsi="Arial"/>
                              <w:color w:val="000000"/>
                              <w:sz w:val="24"/>
                            </w:rPr>
                            <w:t>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7CA3118" id="_x0000_t202" coordsize="21600,21600" o:spt="202" path="m,l,21600r21600,l21600,xe">
              <v:stroke joinstyle="miter"/>
              <v:path gradientshapeok="t" o:connecttype="rect"/>
            </v:shapetype>
            <v:shape id="Text Box 2" o:spid="_x0000_s1029" type="#_x0000_t202" alt="&quot;&quot;" style="position:absolute;margin-left:0;margin-top:807.1pt;width:595pt;height:19.85pt;z-index:2516326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Foa7YkYAgAAKwQAAA4AAAAAAAAAAAAAAAAALgIAAGRycy9lMm9Eb2MueG1sUEsBAi0AFAAG&#10;AAgAAAAhAANzAJbeAAAACwEAAA8AAAAAAAAAAAAAAAAAcgQAAGRycy9kb3ducmV2LnhtbFBLBQYA&#10;AAAABAAEAPMAAAB9BQAAAAA=&#10;" o:allowincell="f" filled="f" stroked="f" strokeweight=".5pt">
              <v:textbox inset=",0,,0">
                <w:txbxContent>
                  <w:p w14:paraId="6024EB37" w14:textId="769D3AA0" w:rsidR="00260CC0" w:rsidRPr="00260CC0" w:rsidRDefault="00260CC0" w:rsidP="00260CC0">
                    <w:pPr>
                      <w:spacing w:after="0"/>
                      <w:jc w:val="center"/>
                      <w:rPr>
                        <w:rFonts w:ascii="Arial" w:hAnsi="Arial"/>
                        <w:color w:val="000000"/>
                        <w:sz w:val="24"/>
                      </w:rPr>
                    </w:pPr>
                    <w:r w:rsidRPr="00260CC0">
                      <w:rPr>
                        <w:rFonts w:ascii="Arial" w:hAnsi="Arial"/>
                        <w:color w:val="000000"/>
                        <w:sz w:val="24"/>
                      </w:rPr>
                      <w:t>OFF</w:t>
                    </w:r>
                    <w:r w:rsidR="008D7AD9">
                      <w:rPr>
                        <w:rFonts w:ascii="Arial" w:hAnsi="Arial"/>
                        <w:color w:val="000000"/>
                        <w:sz w:val="24"/>
                      </w:rPr>
                      <w:t>I</w:t>
                    </w:r>
                    <w:r w:rsidR="00F1647D">
                      <w:rPr>
                        <w:rFonts w:ascii="Arial" w:hAnsi="Arial"/>
                        <w:color w:val="000000"/>
                        <w:sz w:val="24"/>
                      </w:rPr>
                      <w:t>C</w:t>
                    </w:r>
                    <w:r w:rsidRPr="00260CC0">
                      <w:rPr>
                        <w:rFonts w:ascii="Arial" w:hAnsi="Arial"/>
                        <w:color w:val="000000"/>
                        <w:sz w:val="24"/>
                      </w:rPr>
                      <w:t>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8C7F2A" w14:textId="77777777" w:rsidR="00063DC9" w:rsidRDefault="00063DC9" w:rsidP="002F6A6E">
      <w:r>
        <w:separator/>
      </w:r>
    </w:p>
    <w:p w14:paraId="32F7222F" w14:textId="77777777" w:rsidR="00063DC9" w:rsidRDefault="00063DC9"/>
    <w:p w14:paraId="4DE73A31" w14:textId="77777777" w:rsidR="00063DC9" w:rsidRDefault="00063DC9"/>
  </w:footnote>
  <w:footnote w:type="continuationSeparator" w:id="0">
    <w:p w14:paraId="1919A57E" w14:textId="77777777" w:rsidR="00063DC9" w:rsidRDefault="00063DC9" w:rsidP="002F6A6E">
      <w:r>
        <w:continuationSeparator/>
      </w:r>
    </w:p>
    <w:p w14:paraId="07EE8966" w14:textId="77777777" w:rsidR="00063DC9" w:rsidRDefault="00063DC9"/>
    <w:p w14:paraId="6519D17D" w14:textId="77777777" w:rsidR="00063DC9" w:rsidRDefault="00063DC9"/>
  </w:footnote>
  <w:footnote w:type="continuationNotice" w:id="1">
    <w:p w14:paraId="07FD035F" w14:textId="77777777" w:rsidR="00063DC9" w:rsidRDefault="00063DC9">
      <w:pPr>
        <w:spacing w:after="0" w:line="240" w:lineRule="auto"/>
      </w:pPr>
    </w:p>
  </w:footnote>
  <w:footnote w:id="2">
    <w:p w14:paraId="7144184B" w14:textId="151A3DFD" w:rsidR="00C6252D" w:rsidRDefault="00C6252D">
      <w:pPr>
        <w:pStyle w:val="FootnoteText"/>
      </w:pPr>
      <w:r>
        <w:rPr>
          <w:rStyle w:val="FootnoteReference"/>
        </w:rPr>
        <w:footnoteRef/>
      </w:r>
      <w:r>
        <w:t xml:space="preserve"> </w:t>
      </w:r>
      <w:r w:rsidR="00DB2180">
        <w:t>Results of 2021-22 Audits: Local Government, VAGO, February 2023</w:t>
      </w:r>
    </w:p>
  </w:footnote>
  <w:footnote w:id="3">
    <w:p w14:paraId="56A56AA8" w14:textId="6B837FEC" w:rsidR="002E387C" w:rsidRDefault="002E387C">
      <w:pPr>
        <w:pStyle w:val="FootnoteText"/>
      </w:pPr>
      <w:r>
        <w:rPr>
          <w:rStyle w:val="FootnoteReference"/>
        </w:rPr>
        <w:footnoteRef/>
      </w:r>
      <w:r>
        <w:t xml:space="preserve"> Section 94(1)</w:t>
      </w:r>
      <w:r w:rsidR="009C4A7D">
        <w:t xml:space="preserve"> </w:t>
      </w:r>
      <w:r w:rsidR="009C4A7D" w:rsidRPr="00DF33CA">
        <w:rPr>
          <w:i/>
          <w:iCs/>
        </w:rPr>
        <w:t>Local Government Act 2020</w:t>
      </w:r>
    </w:p>
  </w:footnote>
  <w:footnote w:id="4">
    <w:p w14:paraId="0761F6C1" w14:textId="551E4706" w:rsidR="000231BE" w:rsidRDefault="000231BE">
      <w:pPr>
        <w:pStyle w:val="FootnoteText"/>
      </w:pPr>
      <w:r>
        <w:rPr>
          <w:rStyle w:val="FootnoteReference"/>
        </w:rPr>
        <w:footnoteRef/>
      </w:r>
      <w:r>
        <w:t xml:space="preserve"> Regulation 8(1)(a) Local Government (Planning and Reporting) Regulations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27ABC" w14:textId="0B40C3E8" w:rsidR="008360FC" w:rsidRDefault="005B5273" w:rsidP="002F6A6E">
    <w:r w:rsidRPr="00490CCD">
      <w:rPr>
        <w:noProof/>
        <w:color w:val="FFFFFF" w:themeColor="background1"/>
        <w:sz w:val="18"/>
        <w:szCs w:val="18"/>
      </w:rPr>
      <w:drawing>
        <wp:anchor distT="0" distB="0" distL="114300" distR="114300" simplePos="0" relativeHeight="251616256" behindDoc="1" locked="0" layoutInCell="1" allowOverlap="1" wp14:anchorId="24D7F0ED" wp14:editId="1A22140D">
          <wp:simplePos x="0" y="0"/>
          <wp:positionH relativeFrom="page">
            <wp:posOffset>1270</wp:posOffset>
          </wp:positionH>
          <wp:positionV relativeFrom="page">
            <wp:posOffset>0</wp:posOffset>
          </wp:positionV>
          <wp:extent cx="7570371" cy="360000"/>
          <wp:effectExtent l="0" t="0" r="0"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54544" b="20407"/>
                  <a:stretch/>
                </pic:blipFill>
                <pic:spPr bwMode="auto">
                  <a:xfrm>
                    <a:off x="0" y="0"/>
                    <a:ext cx="7570371" cy="3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791A0" w14:textId="546D4AD2" w:rsidR="008142D6" w:rsidRDefault="00260CC0">
    <w:r>
      <w:rPr>
        <w:noProof/>
      </w:rPr>
      <mc:AlternateContent>
        <mc:Choice Requires="wps">
          <w:drawing>
            <wp:anchor distT="0" distB="0" distL="114300" distR="114300" simplePos="0" relativeHeight="251649024" behindDoc="0" locked="0" layoutInCell="0" allowOverlap="1" wp14:anchorId="1651C3BF" wp14:editId="0240F8D0">
              <wp:simplePos x="0" y="0"/>
              <wp:positionH relativeFrom="page">
                <wp:posOffset>0</wp:posOffset>
              </wp:positionH>
              <wp:positionV relativeFrom="page">
                <wp:posOffset>190500</wp:posOffset>
              </wp:positionV>
              <wp:extent cx="7556500" cy="252095"/>
              <wp:effectExtent l="0" t="0" r="0" b="14605"/>
              <wp:wrapNone/>
              <wp:docPr id="4"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A7A5D8" w14:textId="3C67D683" w:rsidR="00260CC0" w:rsidRPr="00260CC0" w:rsidRDefault="00260CC0" w:rsidP="00260CC0">
                          <w:pPr>
                            <w:spacing w:after="0"/>
                            <w:jc w:val="center"/>
                            <w:rPr>
                              <w:rFonts w:ascii="Arial" w:hAnsi="Arial"/>
                              <w:color w:val="000000"/>
                              <w:sz w:val="24"/>
                            </w:rPr>
                          </w:pPr>
                          <w:r w:rsidRPr="00260CC0">
                            <w:rPr>
                              <w:rFonts w:ascii="Arial" w:hAnsi="Arial"/>
                              <w:color w:val="000000"/>
                              <w:sz w:val="24"/>
                            </w:rPr>
                            <w:t>OFF</w:t>
                          </w:r>
                          <w:r w:rsidR="008D7AD9">
                            <w:rPr>
                              <w:rFonts w:ascii="Arial" w:hAnsi="Arial"/>
                              <w:color w:val="000000"/>
                              <w:sz w:val="24"/>
                            </w:rPr>
                            <w:t>I</w:t>
                          </w:r>
                          <w:r w:rsidRPr="00260CC0">
                            <w:rPr>
                              <w:rFonts w:ascii="Arial" w:hAnsi="Arial"/>
                              <w:color w:val="000000"/>
                              <w:sz w:val="24"/>
                            </w:rPr>
                            <w:t>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651C3BF" id="_x0000_t202" coordsize="21600,21600" o:spt="202" path="m,l,21600r21600,l21600,xe">
              <v:stroke joinstyle="miter"/>
              <v:path gradientshapeok="t" o:connecttype="rect"/>
            </v:shapetype>
            <v:shape id="Text Box 4" o:spid="_x0000_s1028" type="#_x0000_t202" alt="&quot;&quot;" style="position:absolute;margin-left:0;margin-top:15pt;width:595pt;height:19.85pt;z-index:2516490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" o:allowincell="f" filled="f" stroked="f" strokeweight=".5pt">
              <v:textbox inset=",0,,0">
                <w:txbxContent>
                  <w:p w14:paraId="7FA7A5D8" w14:textId="3C67D683" w:rsidR="00260CC0" w:rsidRPr="00260CC0" w:rsidRDefault="00260CC0" w:rsidP="00260CC0">
                    <w:pPr>
                      <w:spacing w:after="0"/>
                      <w:jc w:val="center"/>
                      <w:rPr>
                        <w:rFonts w:ascii="Arial" w:hAnsi="Arial"/>
                        <w:color w:val="000000"/>
                        <w:sz w:val="24"/>
                      </w:rPr>
                    </w:pPr>
                    <w:r w:rsidRPr="00260CC0">
                      <w:rPr>
                        <w:rFonts w:ascii="Arial" w:hAnsi="Arial"/>
                        <w:color w:val="000000"/>
                        <w:sz w:val="24"/>
                      </w:rPr>
                      <w:t>OFF</w:t>
                    </w:r>
                    <w:r w:rsidR="008D7AD9">
                      <w:rPr>
                        <w:rFonts w:ascii="Arial" w:hAnsi="Arial"/>
                        <w:color w:val="000000"/>
                        <w:sz w:val="24"/>
                      </w:rPr>
                      <w:t>I</w:t>
                    </w:r>
                    <w:r w:rsidRPr="00260CC0">
                      <w:rPr>
                        <w:rFonts w:ascii="Arial" w:hAnsi="Arial"/>
                        <w:color w:val="000000"/>
                        <w:sz w:val="24"/>
                      </w:rPr>
                      <w:t>CIAL</w:t>
                    </w:r>
                  </w:p>
                </w:txbxContent>
              </v:textbox>
              <w10:wrap anchorx="page" anchory="page"/>
            </v:shape>
          </w:pict>
        </mc:Fallback>
      </mc:AlternateContent>
    </w:r>
    <w:r w:rsidR="008142D6" w:rsidRPr="001C74DF">
      <w:rPr>
        <w:noProof/>
      </w:rPr>
      <w:drawing>
        <wp:anchor distT="0" distB="0" distL="114300" distR="114300" simplePos="0" relativeHeight="251689984" behindDoc="1" locked="0" layoutInCell="1" allowOverlap="1" wp14:anchorId="34D2040A" wp14:editId="119603C7">
          <wp:simplePos x="0" y="0"/>
          <wp:positionH relativeFrom="page">
            <wp:posOffset>3175</wp:posOffset>
          </wp:positionH>
          <wp:positionV relativeFrom="page">
            <wp:posOffset>5080</wp:posOffset>
          </wp:positionV>
          <wp:extent cx="7560000" cy="10684800"/>
          <wp:effectExtent l="0" t="0" r="0"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du="http://schemas.microsoft.com/office/word/2023/wordml/word16du"/>
                    </a:ext>
                  </a:extLst>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RmgKZl0ISEoohg" int2:id="158Jddg8">
      <int2:state int2:value="Rejected" int2:type="AugLoop_Text_Critique"/>
    </int2:textHash>
    <int2:textHash int2:hashCode="m/C6mGJeQTWOW1" int2:id="2rwBK1QJ">
      <int2:state int2:value="Rejected" int2:type="AugLoop_Text_Critique"/>
    </int2:textHash>
    <int2:textHash int2:hashCode="O9DZrXTAwnXeFN" int2:id="cqEovhhR">
      <int2:state int2:value="Rejected" int2:type="AugLoop_Text_Critique"/>
    </int2:textHash>
    <int2:textHash int2:hashCode="5XDRCdvPuC+WfK" int2:id="s7y0Q4kS">
      <int2:state int2:value="Rejected" int2:type="AugLoop_Text_Critique"/>
    </int2:textHash>
    <int2:bookmark int2:bookmarkName="_Int_T8IvuMNs" int2:invalidationBookmarkName="" int2:hashCode="4/tjmAoXFVQV56" int2:id="1QNRAuvy">
      <int2:state int2:value="Rejected" int2:type="AugLoop_Text_Critique"/>
    </int2:bookmark>
    <int2:bookmark int2:bookmarkName="_Int_PyvBvpjk" int2:invalidationBookmarkName="" int2:hashCode="XEbAsqc9Rn7weH" int2:id="8yO5Hn4u">
      <int2:state int2:value="Rejected" int2:type="AugLoop_Text_Critique"/>
    </int2:bookmark>
    <int2:bookmark int2:bookmarkName="_Int_o5qUUe9n" int2:invalidationBookmarkName="" int2:hashCode="0jVy890aqkBnW+" int2:id="D0x4i9dd">
      <int2:state int2:value="Rejected" int2:type="AugLoop_Text_Critique"/>
    </int2:bookmark>
    <int2:bookmark int2:bookmarkName="_Int_unJAabHZ" int2:invalidationBookmarkName="" int2:hashCode="0h4HzmuWn9Euup" int2:id="GC9OAQFu">
      <int2:state int2:value="Rejected" int2:type="AugLoop_Text_Critique"/>
    </int2:bookmark>
    <int2:bookmark int2:bookmarkName="_Int_MNdD1KA3" int2:invalidationBookmarkName="" int2:hashCode="3KKjJeR/dxf+gy" int2:id="L93ff2Jz">
      <int2:state int2:value="Rejected" int2:type="AugLoop_Text_Critique"/>
    </int2:bookmark>
    <int2:bookmark int2:bookmarkName="_Int_r79sdhv0" int2:invalidationBookmarkName="" int2:hashCode="YD+82+V1vFecXo" int2:id="Rc8Xur5W">
      <int2:state int2:value="Rejected" int2:type="AugLoop_Text_Critique"/>
    </int2:bookmark>
    <int2:bookmark int2:bookmarkName="_Int_7WikhiMv" int2:invalidationBookmarkName="" int2:hashCode="XEbAsqc9Rn7weH" int2:id="RxSUjnQC">
      <int2:state int2:value="Rejected" int2:type="AugLoop_Text_Critique"/>
    </int2:bookmark>
    <int2:bookmark int2:bookmarkName="_Int_KRqfEhOB" int2:invalidationBookmarkName="" int2:hashCode="uDUblBH4OdGqL2" int2:id="WedAS5db">
      <int2:state int2:value="Rejected" int2:type="AugLoop_Text_Critique"/>
    </int2:bookmark>
    <int2:bookmark int2:bookmarkName="_Int_OvMiJpaf" int2:invalidationBookmarkName="" int2:hashCode="uDUblBH4OdGqL2" int2:id="Wmtl5980">
      <int2:state int2:value="Rejected" int2:type="AugLoop_Text_Critique"/>
    </int2:bookmark>
    <int2:bookmark int2:bookmarkName="_Int_AkDXB6y7" int2:invalidationBookmarkName="" int2:hashCode="S8jt52tL4933+b" int2:id="Z6JeyqH1">
      <int2:state int2:value="Rejected" int2:type="AugLoop_Text_Critique"/>
    </int2:bookmark>
    <int2:bookmark int2:bookmarkName="_Int_LO4ZTIVk" int2:invalidationBookmarkName="" int2:hashCode="G3BPsVE/TMVfRv" int2:id="aruDG6Av">
      <int2:state int2:value="Rejected" int2:type="AugLoop_Text_Critique"/>
    </int2:bookmark>
    <int2:bookmark int2:bookmarkName="_Int_cYUurVjD" int2:invalidationBookmarkName="" int2:hashCode="3KKjJeR/dxf+gy" int2:id="mtxlSoQL">
      <int2:state int2:value="Rejected" int2:type="AugLoop_Text_Critique"/>
    </int2:bookmark>
    <int2:bookmark int2:bookmarkName="_Int_a8WWNTId" int2:invalidationBookmarkName="" int2:hashCode="0lXQ0GySJQ8tJA" int2:id="nbeshpXv">
      <int2:state int2:value="Rejected" int2:type="AugLoop_Text_Critique"/>
    </int2:bookmark>
    <int2:bookmark int2:bookmarkName="_Int_gYlS1XjR" int2:invalidationBookmarkName="" int2:hashCode="XEbAsqc9Rn7weH" int2:id="oUGldzjk">
      <int2:state int2:value="Rejected" int2:type="AugLoop_Text_Critique"/>
    </int2:bookmark>
    <int2:bookmark int2:bookmarkName="_Int_QEDTwnMP" int2:invalidationBookmarkName="" int2:hashCode="3KKjJeR/dxf+gy" int2:id="pcXjlo54">
      <int2:state int2:value="Rejected" int2:type="AugLoop_Text_Critique"/>
    </int2:bookmark>
    <int2:bookmark int2:bookmarkName="_Int_tC1UxNEG" int2:invalidationBookmarkName="" int2:hashCode="uDUblBH4OdGqL2" int2:id="uyOvr01d">
      <int2:state int2:value="Rejected" int2:type="AugLoop_Text_Critique"/>
    </int2:bookmark>
    <int2:bookmark int2:bookmarkName="_Int_pLi1kKCr" int2:invalidationBookmarkName="" int2:hashCode="4/tjmAoXFVQV56" int2:id="xQpUCaUa">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0BA00B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F9042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952DB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8244DB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2881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CA2494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CC077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E0E86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99A67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104CA3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BA2877"/>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4EB6383"/>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9CE57B2"/>
    <w:multiLevelType w:val="hybridMultilevel"/>
    <w:tmpl w:val="2CECD570"/>
    <w:lvl w:ilvl="0" w:tplc="C3DA15DC">
      <w:start w:val="1"/>
      <w:numFmt w:val="bullet"/>
      <w:pStyle w:val="List"/>
      <w:lvlText w:val=""/>
      <w:lvlJc w:val="left"/>
      <w:pPr>
        <w:ind w:left="284" w:hanging="284"/>
      </w:pPr>
      <w:rPr>
        <w:rFonts w:ascii="Wingdings" w:hAnsi="Wingdings" w:cs="Wingdings" w:hint="default"/>
        <w:b w:val="0"/>
        <w:i w:val="0"/>
        <w:color w:val="0075BD" w:themeColor="accent2"/>
        <w:w w:val="100"/>
        <w:sz w:val="18"/>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1ABD6E1F"/>
    <w:multiLevelType w:val="hybridMultilevel"/>
    <w:tmpl w:val="C1FA0C3E"/>
    <w:lvl w:ilvl="0" w:tplc="16866290">
      <w:start w:val="1"/>
      <w:numFmt w:val="bullet"/>
      <w:lvlText w:val="g"/>
      <w:lvlJc w:val="left"/>
      <w:pPr>
        <w:ind w:left="284" w:hanging="284"/>
      </w:pPr>
      <w:rPr>
        <w:rFonts w:ascii="Wingdings 3" w:hAnsi="Wingdings 3" w:hint="default"/>
        <w:b w:val="0"/>
        <w:i w:val="0"/>
        <w:color w:val="A4AAA4" w:themeColor="background2" w:themeShade="BF"/>
        <w:w w:val="100"/>
        <w:sz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22357BF"/>
    <w:multiLevelType w:val="multilevel"/>
    <w:tmpl w:val="44A61BFE"/>
    <w:lvl w:ilvl="0">
      <w:start w:val="1"/>
      <w:numFmt w:val="bullet"/>
      <w:pStyle w:val="Bullet"/>
      <w:lvlText w:val=""/>
      <w:lvlJc w:val="left"/>
      <w:pPr>
        <w:tabs>
          <w:tab w:val="num" w:pos="360"/>
        </w:tabs>
        <w:ind w:left="360" w:hanging="360"/>
      </w:pPr>
      <w:rPr>
        <w:rFonts w:ascii="Symbol" w:hAnsi="Symbol" w:cs="Times New Roman" w:hint="default"/>
        <w:color w:val="auto"/>
      </w:rPr>
    </w:lvl>
    <w:lvl w:ilvl="1">
      <w:start w:val="1"/>
      <w:numFmt w:val="bullet"/>
      <w:pStyle w:val="BulletLevel2"/>
      <w:lvlText w:val="-"/>
      <w:lvlJc w:val="left"/>
      <w:pPr>
        <w:tabs>
          <w:tab w:val="num" w:pos="720"/>
        </w:tabs>
        <w:ind w:left="720" w:hanging="360"/>
      </w:pPr>
      <w:rPr>
        <w:rFonts w:ascii="Times New Roman" w:hAnsi="Times New Roman" w:cs="Times New Roman" w:hint="default"/>
      </w:rPr>
    </w:lvl>
    <w:lvl w:ilvl="2">
      <w:start w:val="1"/>
      <w:numFmt w:val="bullet"/>
      <w:pStyle w:val="BulletLevel3"/>
      <w:lvlText w:val=""/>
      <w:lvlJc w:val="left"/>
      <w:pPr>
        <w:tabs>
          <w:tab w:val="num" w:pos="1074"/>
        </w:tabs>
        <w:ind w:left="1055" w:hanging="341"/>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 w15:restartNumberingAfterBreak="0">
    <w:nsid w:val="240B717D"/>
    <w:multiLevelType w:val="hybridMultilevel"/>
    <w:tmpl w:val="E214C746"/>
    <w:lvl w:ilvl="0" w:tplc="08090005">
      <w:start w:val="1"/>
      <w:numFmt w:val="bullet"/>
      <w:lvlText w:val=""/>
      <w:lvlJc w:val="left"/>
      <w:pPr>
        <w:ind w:left="360" w:hanging="360"/>
      </w:pPr>
      <w:rPr>
        <w:rFonts w:ascii="Wingdings" w:hAnsi="Wingdings" w:cs="Wingdings" w:hint="default"/>
        <w:b w:val="0"/>
        <w:i w:val="0"/>
        <w:color w:val="A4AAA4" w:themeColor="background2" w:themeShade="BF"/>
        <w:w w:val="100"/>
        <w:sz w:val="18"/>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264D03F7"/>
    <w:multiLevelType w:val="multilevel"/>
    <w:tmpl w:val="70E20C1E"/>
    <w:lvl w:ilvl="0">
      <w:numFmt w:val="bullet"/>
      <w:lvlText w:val="4"/>
      <w:lvlJc w:val="left"/>
      <w:pPr>
        <w:ind w:left="340" w:hanging="340"/>
      </w:pPr>
      <w:rPr>
        <w:rFonts w:ascii="Wingdings 3" w:hAnsi="Wingdings 3" w:cs="Arial" w:hint="default"/>
        <w:color w:val="A4AAA4" w:themeColor="background2"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87E27B3"/>
    <w:multiLevelType w:val="multilevel"/>
    <w:tmpl w:val="D840B916"/>
    <w:styleLink w:val="CurrentList3"/>
    <w:lvl w:ilvl="0">
      <w:start w:val="1"/>
      <w:numFmt w:val="bullet"/>
      <w:lvlText w:val="g"/>
      <w:lvlJc w:val="left"/>
      <w:pPr>
        <w:ind w:left="360" w:hanging="360"/>
      </w:pPr>
      <w:rPr>
        <w:rFonts w:ascii="Wingdings 3" w:hAnsi="Wingdings 3" w:hint="default"/>
        <w:b w:val="0"/>
        <w:i w:val="0"/>
        <w:color w:val="B9BBBD" w:themeColor="text2"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39A959F9"/>
    <w:multiLevelType w:val="multilevel"/>
    <w:tmpl w:val="5D1C909C"/>
    <w:lvl w:ilvl="0">
      <w:start w:val="1"/>
      <w:numFmt w:val="bullet"/>
      <w:lvlText w:val=""/>
      <w:lvlJc w:val="left"/>
      <w:pPr>
        <w:ind w:left="360" w:hanging="360"/>
      </w:pPr>
      <w:rPr>
        <w:rFonts w:ascii="Symbol" w:hAnsi="Symbol" w:hint="default"/>
        <w:b w:val="0"/>
        <w:i w:val="0"/>
        <w:color w:val="C8CBC8" w:themeColor="background2" w:themeShade="E6"/>
        <w:w w:val="15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3BD35E41"/>
    <w:multiLevelType w:val="hybridMultilevel"/>
    <w:tmpl w:val="3E5E1D6E"/>
    <w:lvl w:ilvl="0" w:tplc="A210C0CA">
      <w:start w:val="1"/>
      <w:numFmt w:val="bullet"/>
      <w:pStyle w:val="List2"/>
      <w:lvlText w:val=""/>
      <w:lvlJc w:val="left"/>
      <w:pPr>
        <w:ind w:left="852" w:hanging="284"/>
      </w:pPr>
      <w:rPr>
        <w:rFonts w:ascii="Wingdings" w:hAnsi="Wingdings" w:cs="Wingdings" w:hint="default"/>
        <w:b w:val="0"/>
        <w:i w:val="0"/>
        <w:color w:val="969A9C" w:themeColor="text2" w:themeTint="99"/>
        <w:w w:val="100"/>
        <w:sz w:val="18"/>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0" w15:restartNumberingAfterBreak="0">
    <w:nsid w:val="446D3A6A"/>
    <w:multiLevelType w:val="multilevel"/>
    <w:tmpl w:val="4F002AC6"/>
    <w:lvl w:ilvl="0">
      <w:start w:val="1"/>
      <w:numFmt w:val="bullet"/>
      <w:pStyle w:val="Bullet1"/>
      <w:lvlText w:val=""/>
      <w:lvlJc w:val="left"/>
      <w:pPr>
        <w:tabs>
          <w:tab w:val="num" w:pos="360"/>
        </w:tabs>
        <w:ind w:left="360" w:hanging="360"/>
      </w:pPr>
      <w:rPr>
        <w:rFonts w:ascii="Symbol" w:hAnsi="Symbol" w:hint="default"/>
        <w:b w:val="0"/>
        <w:i w:val="0"/>
        <w:vanish w:val="0"/>
        <w:color w:val="auto"/>
        <w:sz w:val="22"/>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2"/>
      </w:rPr>
    </w:lvl>
    <w:lvl w:ilvl="2">
      <w:start w:val="1"/>
      <w:numFmt w:val="bullet"/>
      <w:pStyle w:val="Bulletinden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21" w15:restartNumberingAfterBreak="0">
    <w:nsid w:val="52BA5F7B"/>
    <w:multiLevelType w:val="hybridMultilevel"/>
    <w:tmpl w:val="48FC74B2"/>
    <w:lvl w:ilvl="0" w:tplc="6AD25712">
      <w:start w:val="1"/>
      <w:numFmt w:val="bullet"/>
      <w:lvlText w:val="g"/>
      <w:lvlJc w:val="left"/>
      <w:pPr>
        <w:ind w:left="284" w:hanging="284"/>
      </w:pPr>
      <w:rPr>
        <w:rFonts w:ascii="Wingdings 3" w:hAnsi="Wingdings 3" w:hint="default"/>
        <w:b w:val="0"/>
        <w:i w:val="0"/>
        <w:color w:val="B9BBBD" w:themeColor="text2" w:themeTint="66"/>
        <w:w w:val="100"/>
        <w:sz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667783B"/>
    <w:multiLevelType w:val="hybridMultilevel"/>
    <w:tmpl w:val="A546FA96"/>
    <w:lvl w:ilvl="0" w:tplc="17A8DE70">
      <w:start w:val="1"/>
      <w:numFmt w:val="bullet"/>
      <w:lvlText w:val="⇢"/>
      <w:lvlJc w:val="left"/>
      <w:pPr>
        <w:tabs>
          <w:tab w:val="num" w:pos="720"/>
        </w:tabs>
        <w:ind w:left="720" w:hanging="360"/>
      </w:pPr>
      <w:rPr>
        <w:rFonts w:ascii=".Apple SD Gothic NeoI Regular" w:hAnsi=".Apple SD Gothic NeoI Regular" w:hint="default"/>
      </w:rPr>
    </w:lvl>
    <w:lvl w:ilvl="1" w:tplc="197AB990">
      <w:start w:val="1"/>
      <w:numFmt w:val="bullet"/>
      <w:lvlText w:val="⇢"/>
      <w:lvlJc w:val="left"/>
      <w:pPr>
        <w:tabs>
          <w:tab w:val="num" w:pos="1440"/>
        </w:tabs>
        <w:ind w:left="1440" w:hanging="360"/>
      </w:pPr>
      <w:rPr>
        <w:rFonts w:ascii=".Apple SD Gothic NeoI Regular" w:hAnsi=".Apple SD Gothic NeoI Regular" w:hint="default"/>
      </w:rPr>
    </w:lvl>
    <w:lvl w:ilvl="2" w:tplc="6BEA684E" w:tentative="1">
      <w:start w:val="1"/>
      <w:numFmt w:val="bullet"/>
      <w:lvlText w:val="⇢"/>
      <w:lvlJc w:val="left"/>
      <w:pPr>
        <w:tabs>
          <w:tab w:val="num" w:pos="2160"/>
        </w:tabs>
        <w:ind w:left="2160" w:hanging="360"/>
      </w:pPr>
      <w:rPr>
        <w:rFonts w:ascii=".Apple SD Gothic NeoI Regular" w:hAnsi=".Apple SD Gothic NeoI Regular" w:hint="default"/>
      </w:rPr>
    </w:lvl>
    <w:lvl w:ilvl="3" w:tplc="04CE8DAA" w:tentative="1">
      <w:start w:val="1"/>
      <w:numFmt w:val="bullet"/>
      <w:lvlText w:val="⇢"/>
      <w:lvlJc w:val="left"/>
      <w:pPr>
        <w:tabs>
          <w:tab w:val="num" w:pos="2880"/>
        </w:tabs>
        <w:ind w:left="2880" w:hanging="360"/>
      </w:pPr>
      <w:rPr>
        <w:rFonts w:ascii=".Apple SD Gothic NeoI Regular" w:hAnsi=".Apple SD Gothic NeoI Regular" w:hint="default"/>
      </w:rPr>
    </w:lvl>
    <w:lvl w:ilvl="4" w:tplc="35D247F2" w:tentative="1">
      <w:start w:val="1"/>
      <w:numFmt w:val="bullet"/>
      <w:lvlText w:val="⇢"/>
      <w:lvlJc w:val="left"/>
      <w:pPr>
        <w:tabs>
          <w:tab w:val="num" w:pos="3600"/>
        </w:tabs>
        <w:ind w:left="3600" w:hanging="360"/>
      </w:pPr>
      <w:rPr>
        <w:rFonts w:ascii=".Apple SD Gothic NeoI Regular" w:hAnsi=".Apple SD Gothic NeoI Regular" w:hint="default"/>
      </w:rPr>
    </w:lvl>
    <w:lvl w:ilvl="5" w:tplc="960027E0" w:tentative="1">
      <w:start w:val="1"/>
      <w:numFmt w:val="bullet"/>
      <w:lvlText w:val="⇢"/>
      <w:lvlJc w:val="left"/>
      <w:pPr>
        <w:tabs>
          <w:tab w:val="num" w:pos="4320"/>
        </w:tabs>
        <w:ind w:left="4320" w:hanging="360"/>
      </w:pPr>
      <w:rPr>
        <w:rFonts w:ascii=".Apple SD Gothic NeoI Regular" w:hAnsi=".Apple SD Gothic NeoI Regular" w:hint="default"/>
      </w:rPr>
    </w:lvl>
    <w:lvl w:ilvl="6" w:tplc="0CA42F3E" w:tentative="1">
      <w:start w:val="1"/>
      <w:numFmt w:val="bullet"/>
      <w:lvlText w:val="⇢"/>
      <w:lvlJc w:val="left"/>
      <w:pPr>
        <w:tabs>
          <w:tab w:val="num" w:pos="5040"/>
        </w:tabs>
        <w:ind w:left="5040" w:hanging="360"/>
      </w:pPr>
      <w:rPr>
        <w:rFonts w:ascii=".Apple SD Gothic NeoI Regular" w:hAnsi=".Apple SD Gothic NeoI Regular" w:hint="default"/>
      </w:rPr>
    </w:lvl>
    <w:lvl w:ilvl="7" w:tplc="D02EF816" w:tentative="1">
      <w:start w:val="1"/>
      <w:numFmt w:val="bullet"/>
      <w:lvlText w:val="⇢"/>
      <w:lvlJc w:val="left"/>
      <w:pPr>
        <w:tabs>
          <w:tab w:val="num" w:pos="5760"/>
        </w:tabs>
        <w:ind w:left="5760" w:hanging="360"/>
      </w:pPr>
      <w:rPr>
        <w:rFonts w:ascii=".Apple SD Gothic NeoI Regular" w:hAnsi=".Apple SD Gothic NeoI Regular" w:hint="default"/>
      </w:rPr>
    </w:lvl>
    <w:lvl w:ilvl="8" w:tplc="F4FAE0A8" w:tentative="1">
      <w:start w:val="1"/>
      <w:numFmt w:val="bullet"/>
      <w:lvlText w:val="⇢"/>
      <w:lvlJc w:val="left"/>
      <w:pPr>
        <w:tabs>
          <w:tab w:val="num" w:pos="6480"/>
        </w:tabs>
        <w:ind w:left="6480" w:hanging="360"/>
      </w:pPr>
      <w:rPr>
        <w:rFonts w:ascii=".Apple SD Gothic NeoI Regular" w:hAnsi=".Apple SD Gothic NeoI Regular" w:hint="default"/>
      </w:rPr>
    </w:lvl>
  </w:abstractNum>
  <w:abstractNum w:abstractNumId="23" w15:restartNumberingAfterBreak="0">
    <w:nsid w:val="58811726"/>
    <w:multiLevelType w:val="hybridMultilevel"/>
    <w:tmpl w:val="7708F02C"/>
    <w:lvl w:ilvl="0" w:tplc="FFFFFFFF">
      <w:start w:val="1"/>
      <w:numFmt w:val="lowerRoman"/>
      <w:lvlText w:val="(%1)"/>
      <w:lvlJc w:val="right"/>
      <w:pPr>
        <w:ind w:left="-76" w:hanging="360"/>
      </w:pPr>
      <w:rPr>
        <w:rFonts w:ascii="Arial" w:eastAsia="Times New Roman" w:hAnsi="Arial" w:cs="Arial"/>
      </w:rPr>
    </w:lvl>
    <w:lvl w:ilvl="1" w:tplc="FFFFFFFF" w:tentative="1">
      <w:start w:val="1"/>
      <w:numFmt w:val="lowerLetter"/>
      <w:lvlText w:val="%2."/>
      <w:lvlJc w:val="left"/>
      <w:pPr>
        <w:ind w:left="644" w:hanging="360"/>
      </w:pPr>
    </w:lvl>
    <w:lvl w:ilvl="2" w:tplc="FFFFFFFF" w:tentative="1">
      <w:start w:val="1"/>
      <w:numFmt w:val="lowerRoman"/>
      <w:lvlText w:val="%3."/>
      <w:lvlJc w:val="right"/>
      <w:pPr>
        <w:ind w:left="1364" w:hanging="180"/>
      </w:pPr>
    </w:lvl>
    <w:lvl w:ilvl="3" w:tplc="FFFFFFFF" w:tentative="1">
      <w:start w:val="1"/>
      <w:numFmt w:val="decimal"/>
      <w:lvlText w:val="%4."/>
      <w:lvlJc w:val="left"/>
      <w:pPr>
        <w:ind w:left="2084" w:hanging="360"/>
      </w:pPr>
    </w:lvl>
    <w:lvl w:ilvl="4" w:tplc="FFFFFFFF" w:tentative="1">
      <w:start w:val="1"/>
      <w:numFmt w:val="lowerLetter"/>
      <w:lvlText w:val="%5."/>
      <w:lvlJc w:val="left"/>
      <w:pPr>
        <w:ind w:left="2804" w:hanging="360"/>
      </w:pPr>
    </w:lvl>
    <w:lvl w:ilvl="5" w:tplc="FFFFFFFF" w:tentative="1">
      <w:start w:val="1"/>
      <w:numFmt w:val="lowerRoman"/>
      <w:lvlText w:val="%6."/>
      <w:lvlJc w:val="right"/>
      <w:pPr>
        <w:ind w:left="3524" w:hanging="180"/>
      </w:pPr>
    </w:lvl>
    <w:lvl w:ilvl="6" w:tplc="FFFFFFFF" w:tentative="1">
      <w:start w:val="1"/>
      <w:numFmt w:val="decimal"/>
      <w:lvlText w:val="%7."/>
      <w:lvlJc w:val="left"/>
      <w:pPr>
        <w:ind w:left="4244" w:hanging="360"/>
      </w:pPr>
    </w:lvl>
    <w:lvl w:ilvl="7" w:tplc="FFFFFFFF" w:tentative="1">
      <w:start w:val="1"/>
      <w:numFmt w:val="lowerLetter"/>
      <w:lvlText w:val="%8."/>
      <w:lvlJc w:val="left"/>
      <w:pPr>
        <w:ind w:left="4964" w:hanging="360"/>
      </w:pPr>
    </w:lvl>
    <w:lvl w:ilvl="8" w:tplc="FFFFFFFF" w:tentative="1">
      <w:start w:val="1"/>
      <w:numFmt w:val="lowerRoman"/>
      <w:lvlText w:val="%9."/>
      <w:lvlJc w:val="right"/>
      <w:pPr>
        <w:ind w:left="5684" w:hanging="180"/>
      </w:pPr>
    </w:lvl>
  </w:abstractNum>
  <w:abstractNum w:abstractNumId="24" w15:restartNumberingAfterBreak="0">
    <w:nsid w:val="592067BC"/>
    <w:multiLevelType w:val="hybridMultilevel"/>
    <w:tmpl w:val="0F301822"/>
    <w:lvl w:ilvl="0" w:tplc="DFB6E80E">
      <w:start w:val="1"/>
      <w:numFmt w:val="bullet"/>
      <w:lvlText w:val=""/>
      <w:lvlJc w:val="left"/>
      <w:pPr>
        <w:ind w:left="454" w:hanging="454"/>
      </w:pPr>
      <w:rPr>
        <w:rFonts w:ascii="Symbol" w:hAnsi="Symbol" w:hint="default"/>
        <w:b w:val="0"/>
        <w:i w:val="0"/>
        <w:color w:val="C8CBC8" w:themeColor="background2" w:themeShade="E6"/>
        <w:w w:val="150"/>
        <w:sz w:val="18"/>
      </w:rPr>
    </w:lvl>
    <w:lvl w:ilvl="1" w:tplc="FFFFFFFF" w:tentative="1">
      <w:start w:val="1"/>
      <w:numFmt w:val="bullet"/>
      <w:lvlText w:val="o"/>
      <w:lvlJc w:val="left"/>
      <w:pPr>
        <w:ind w:left="1582" w:hanging="360"/>
      </w:pPr>
      <w:rPr>
        <w:rFonts w:ascii="Courier New" w:hAnsi="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25" w15:restartNumberingAfterBreak="0">
    <w:nsid w:val="678D4E10"/>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6C43070F"/>
    <w:multiLevelType w:val="hybridMultilevel"/>
    <w:tmpl w:val="6A12A7C4"/>
    <w:lvl w:ilvl="0" w:tplc="A5FEB47C">
      <w:start w:val="1"/>
      <w:numFmt w:val="bullet"/>
      <w:lvlText w:val="g"/>
      <w:lvlJc w:val="left"/>
      <w:pPr>
        <w:ind w:left="284" w:hanging="284"/>
      </w:pPr>
      <w:rPr>
        <w:rFonts w:ascii="Wingdings 3" w:hAnsi="Wingdings 3" w:hint="default"/>
        <w:b w:val="0"/>
        <w:i w:val="0"/>
        <w:color w:val="A4AAA4" w:themeColor="background2" w:themeShade="BF"/>
        <w:w w:val="100"/>
        <w:sz w:val="18"/>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CD165C4"/>
    <w:multiLevelType w:val="multilevel"/>
    <w:tmpl w:val="2CECD570"/>
    <w:styleLink w:val="CurrentList6"/>
    <w:lvl w:ilvl="0">
      <w:start w:val="1"/>
      <w:numFmt w:val="bullet"/>
      <w:lvlText w:val=""/>
      <w:lvlJc w:val="left"/>
      <w:pPr>
        <w:ind w:left="284" w:hanging="284"/>
      </w:pPr>
      <w:rPr>
        <w:rFonts w:ascii="Wingdings" w:hAnsi="Wingdings" w:cs="Wingdings" w:hint="default"/>
        <w:b w:val="0"/>
        <w:i w:val="0"/>
        <w:color w:val="0075BD" w:themeColor="accent2"/>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741D4E0C"/>
    <w:multiLevelType w:val="hybridMultilevel"/>
    <w:tmpl w:val="E85E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5563E9F"/>
    <w:multiLevelType w:val="hybridMultilevel"/>
    <w:tmpl w:val="280001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9E77350"/>
    <w:multiLevelType w:val="multilevel"/>
    <w:tmpl w:val="F3C448D4"/>
    <w:styleLink w:val="CurrentList5"/>
    <w:lvl w:ilvl="0">
      <w:start w:val="1"/>
      <w:numFmt w:val="bullet"/>
      <w:lvlText w:val=""/>
      <w:lvlJc w:val="left"/>
      <w:pPr>
        <w:ind w:left="284" w:hanging="284"/>
      </w:pPr>
      <w:rPr>
        <w:rFonts w:ascii="Wingdings" w:hAnsi="Wingdings" w:cs="Wingdings" w:hint="default"/>
        <w:b w:val="0"/>
        <w:i w:val="0"/>
        <w:color w:val="D09BE1" w:themeColor="accent6"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1" w15:restartNumberingAfterBreak="0">
    <w:nsid w:val="7C342490"/>
    <w:multiLevelType w:val="hybridMultilevel"/>
    <w:tmpl w:val="BAE6BD88"/>
    <w:lvl w:ilvl="0" w:tplc="099AC378">
      <w:numFmt w:val="bullet"/>
      <w:lvlText w:val="•"/>
      <w:lvlJc w:val="left"/>
      <w:pPr>
        <w:ind w:left="720" w:hanging="720"/>
      </w:pPr>
      <w:rPr>
        <w:rFonts w:ascii="VIC" w:eastAsia="Times" w:hAnsi="VIC"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E694CE9"/>
    <w:multiLevelType w:val="hybridMultilevel"/>
    <w:tmpl w:val="B1908A34"/>
    <w:lvl w:ilvl="0" w:tplc="E3AAB124">
      <w:start w:val="1"/>
      <w:numFmt w:val="bullet"/>
      <w:lvlText w:val="g"/>
      <w:lvlJc w:val="left"/>
      <w:pPr>
        <w:ind w:left="360" w:hanging="360"/>
      </w:pPr>
      <w:rPr>
        <w:rFonts w:ascii="Wingdings 3" w:hAnsi="Wingdings 3" w:hint="default"/>
        <w:b w:val="0"/>
        <w:i w:val="0"/>
        <w:color w:val="B9BBBD" w:themeColor="text2" w:themeTint="66"/>
        <w:w w:val="100"/>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FC8010E"/>
    <w:multiLevelType w:val="hybridMultilevel"/>
    <w:tmpl w:val="47CCF43A"/>
    <w:lvl w:ilvl="0" w:tplc="099AC378">
      <w:numFmt w:val="bullet"/>
      <w:lvlText w:val="•"/>
      <w:lvlJc w:val="left"/>
      <w:pPr>
        <w:ind w:left="1080" w:hanging="720"/>
      </w:pPr>
      <w:rPr>
        <w:rFonts w:ascii="VIC" w:eastAsia="Times" w:hAnsi="VIC"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FD44514"/>
    <w:multiLevelType w:val="multilevel"/>
    <w:tmpl w:val="D3A4EDA4"/>
    <w:lvl w:ilvl="0">
      <w:start w:val="1"/>
      <w:numFmt w:val="lowerLetter"/>
      <w:pStyle w:val="Listnum"/>
      <w:lvlText w:val="(%1)"/>
      <w:lvlJc w:val="left"/>
      <w:pPr>
        <w:tabs>
          <w:tab w:val="num" w:pos="360"/>
        </w:tabs>
        <w:ind w:left="360" w:hanging="360"/>
      </w:pPr>
    </w:lvl>
    <w:lvl w:ilvl="1">
      <w:start w:val="1"/>
      <w:numFmt w:val="lowerRoman"/>
      <w:pStyle w:val="Listnum2"/>
      <w:lvlText w:val="(%2)"/>
      <w:lvlJc w:val="left"/>
      <w:pPr>
        <w:tabs>
          <w:tab w:val="num" w:pos="864"/>
        </w:tabs>
        <w:ind w:left="720" w:hanging="360"/>
      </w:pPr>
    </w:lvl>
    <w:lvl w:ilvl="2">
      <w:start w:val="1"/>
      <w:numFmt w:val="decimal"/>
      <w:pStyle w:val="Heading1numbered"/>
      <w:lvlText w:val="%3."/>
      <w:lvlJc w:val="left"/>
      <w:pPr>
        <w:tabs>
          <w:tab w:val="num" w:pos="792"/>
        </w:tabs>
        <w:ind w:left="792" w:hanging="792"/>
      </w:pPr>
    </w:lvl>
    <w:lvl w:ilvl="3">
      <w:start w:val="1"/>
      <w:numFmt w:val="decimal"/>
      <w:pStyle w:val="Heading2numbered"/>
      <w:lvlText w:val="%3.%4"/>
      <w:lvlJc w:val="left"/>
      <w:pPr>
        <w:tabs>
          <w:tab w:val="num" w:pos="792"/>
        </w:tabs>
        <w:ind w:left="792" w:hanging="792"/>
      </w:pPr>
    </w:lvl>
    <w:lvl w:ilvl="4">
      <w:start w:val="1"/>
      <w:numFmt w:val="decimal"/>
      <w:pStyle w:val="Heading3numbered"/>
      <w:lvlText w:val="%3.%4.%5"/>
      <w:lvlJc w:val="left"/>
      <w:pPr>
        <w:tabs>
          <w:tab w:val="num" w:pos="792"/>
        </w:tabs>
        <w:ind w:left="792" w:hanging="792"/>
      </w:pPr>
    </w:lvl>
    <w:lvl w:ilvl="5">
      <w:start w:val="1"/>
      <w:numFmt w:val="decimal"/>
      <w:pStyle w:val="Heading4numbered"/>
      <w:lvlText w:val="%3.%4.%5.%6"/>
      <w:lvlJc w:val="left"/>
      <w:pPr>
        <w:tabs>
          <w:tab w:val="num" w:pos="792"/>
        </w:tabs>
        <w:ind w:left="792" w:hanging="792"/>
      </w:pPr>
    </w:lvl>
    <w:lvl w:ilvl="6">
      <w:start w:val="1"/>
      <w:numFmt w:val="lowerLetter"/>
      <w:pStyle w:val="Listnumindent"/>
      <w:lvlText w:val="(%7)"/>
      <w:lvlJc w:val="left"/>
      <w:pPr>
        <w:tabs>
          <w:tab w:val="num" w:pos="1296"/>
        </w:tabs>
        <w:ind w:left="1296" w:hanging="504"/>
      </w:pPr>
    </w:lvl>
    <w:lvl w:ilvl="7">
      <w:start w:val="1"/>
      <w:numFmt w:val="lowerRoman"/>
      <w:pStyle w:val="Listnumindent2"/>
      <w:lvlText w:val="(%8)"/>
      <w:lvlJc w:val="left"/>
      <w:pPr>
        <w:tabs>
          <w:tab w:val="num" w:pos="1800"/>
        </w:tabs>
        <w:ind w:left="1800" w:hanging="504"/>
      </w:pPr>
    </w:lvl>
    <w:lvl w:ilvl="8">
      <w:start w:val="1"/>
      <w:numFmt w:val="decimal"/>
      <w:pStyle w:val="Numparaindent"/>
      <w:lvlText w:val="%9."/>
      <w:lvlJc w:val="left"/>
      <w:pPr>
        <w:tabs>
          <w:tab w:val="num" w:pos="1296"/>
        </w:tabs>
        <w:ind w:left="1296" w:hanging="504"/>
      </w:pPr>
    </w:lvl>
  </w:abstractNum>
  <w:num w:numId="1" w16cid:durableId="415976376">
    <w:abstractNumId w:val="9"/>
  </w:num>
  <w:num w:numId="2" w16cid:durableId="1292513920">
    <w:abstractNumId w:val="9"/>
  </w:num>
  <w:num w:numId="3" w16cid:durableId="287972780">
    <w:abstractNumId w:val="24"/>
  </w:num>
  <w:num w:numId="4" w16cid:durableId="141120569">
    <w:abstractNumId w:val="26"/>
  </w:num>
  <w:num w:numId="5" w16cid:durableId="1285582448">
    <w:abstractNumId w:val="28"/>
  </w:num>
  <w:num w:numId="6" w16cid:durableId="1024213096">
    <w:abstractNumId w:val="33"/>
  </w:num>
  <w:num w:numId="7" w16cid:durableId="1893536509">
    <w:abstractNumId w:val="31"/>
  </w:num>
  <w:num w:numId="8" w16cid:durableId="601424820">
    <w:abstractNumId w:val="32"/>
  </w:num>
  <w:num w:numId="9" w16cid:durableId="400832069">
    <w:abstractNumId w:val="32"/>
  </w:num>
  <w:num w:numId="10" w16cid:durableId="1031226187">
    <w:abstractNumId w:val="32"/>
  </w:num>
  <w:num w:numId="11" w16cid:durableId="1072123770">
    <w:abstractNumId w:val="18"/>
  </w:num>
  <w:num w:numId="12" w16cid:durableId="690034019">
    <w:abstractNumId w:val="16"/>
  </w:num>
  <w:num w:numId="13" w16cid:durableId="192614989">
    <w:abstractNumId w:val="21"/>
  </w:num>
  <w:num w:numId="14" w16cid:durableId="902788138">
    <w:abstractNumId w:val="13"/>
  </w:num>
  <w:num w:numId="15" w16cid:durableId="208882508">
    <w:abstractNumId w:val="17"/>
  </w:num>
  <w:num w:numId="16" w16cid:durableId="59251329">
    <w:abstractNumId w:val="22"/>
  </w:num>
  <w:num w:numId="17" w16cid:durableId="607542882">
    <w:abstractNumId w:val="25"/>
  </w:num>
  <w:num w:numId="18" w16cid:durableId="2081169439">
    <w:abstractNumId w:val="0"/>
  </w:num>
  <w:num w:numId="19" w16cid:durableId="1326083781">
    <w:abstractNumId w:val="1"/>
  </w:num>
  <w:num w:numId="20" w16cid:durableId="1976913154">
    <w:abstractNumId w:val="2"/>
  </w:num>
  <w:num w:numId="21" w16cid:durableId="488133777">
    <w:abstractNumId w:val="3"/>
  </w:num>
  <w:num w:numId="22" w16cid:durableId="1779636963">
    <w:abstractNumId w:val="8"/>
  </w:num>
  <w:num w:numId="23" w16cid:durableId="1428845423">
    <w:abstractNumId w:val="4"/>
  </w:num>
  <w:num w:numId="24" w16cid:durableId="1422409833">
    <w:abstractNumId w:val="5"/>
  </w:num>
  <w:num w:numId="25" w16cid:durableId="1636523616">
    <w:abstractNumId w:val="6"/>
  </w:num>
  <w:num w:numId="26" w16cid:durableId="1290669609">
    <w:abstractNumId w:val="7"/>
  </w:num>
  <w:num w:numId="27" w16cid:durableId="482163217">
    <w:abstractNumId w:val="10"/>
  </w:num>
  <w:num w:numId="28" w16cid:durableId="1696729809">
    <w:abstractNumId w:val="11"/>
  </w:num>
  <w:num w:numId="29" w16cid:durableId="1388529574">
    <w:abstractNumId w:val="15"/>
  </w:num>
  <w:num w:numId="30" w16cid:durableId="1068259921">
    <w:abstractNumId w:val="12"/>
  </w:num>
  <w:num w:numId="31" w16cid:durableId="220600531">
    <w:abstractNumId w:val="30"/>
  </w:num>
  <w:num w:numId="32" w16cid:durableId="2039886904">
    <w:abstractNumId w:val="27"/>
  </w:num>
  <w:num w:numId="33" w16cid:durableId="647393358">
    <w:abstractNumId w:val="19"/>
  </w:num>
  <w:num w:numId="34" w16cid:durableId="741022784">
    <w:abstractNumId w:val="20"/>
  </w:num>
  <w:num w:numId="35" w16cid:durableId="2042585563">
    <w:abstractNumId w:val="14"/>
  </w:num>
  <w:num w:numId="36" w16cid:durableId="21254160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029602001">
    <w:abstractNumId w:val="29"/>
  </w:num>
  <w:num w:numId="38" w16cid:durableId="2102019561">
    <w:abstractNumId w:val="23"/>
  </w:num>
  <w:num w:numId="39" w16cid:durableId="1028801746">
    <w:abstractNumId w:val="20"/>
  </w:num>
  <w:num w:numId="40" w16cid:durableId="16760014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efaultTableStyle w:val="DGS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9B3"/>
    <w:rsid w:val="000028FC"/>
    <w:rsid w:val="00005571"/>
    <w:rsid w:val="00005D70"/>
    <w:rsid w:val="00007063"/>
    <w:rsid w:val="00010DF3"/>
    <w:rsid w:val="0001232A"/>
    <w:rsid w:val="00014E80"/>
    <w:rsid w:val="0001667E"/>
    <w:rsid w:val="000171B3"/>
    <w:rsid w:val="000218D1"/>
    <w:rsid w:val="000231BE"/>
    <w:rsid w:val="000260BB"/>
    <w:rsid w:val="00030C85"/>
    <w:rsid w:val="000312ED"/>
    <w:rsid w:val="00031960"/>
    <w:rsid w:val="00033B07"/>
    <w:rsid w:val="00034816"/>
    <w:rsid w:val="0003755B"/>
    <w:rsid w:val="00040144"/>
    <w:rsid w:val="00040CC2"/>
    <w:rsid w:val="0004298C"/>
    <w:rsid w:val="000439B3"/>
    <w:rsid w:val="000451D8"/>
    <w:rsid w:val="00045959"/>
    <w:rsid w:val="000526CC"/>
    <w:rsid w:val="00052B61"/>
    <w:rsid w:val="000532DE"/>
    <w:rsid w:val="00054BE7"/>
    <w:rsid w:val="00056539"/>
    <w:rsid w:val="00061FDA"/>
    <w:rsid w:val="00063DC9"/>
    <w:rsid w:val="00063DD8"/>
    <w:rsid w:val="00064CC7"/>
    <w:rsid w:val="000668DD"/>
    <w:rsid w:val="000707F8"/>
    <w:rsid w:val="00070D8E"/>
    <w:rsid w:val="0007601F"/>
    <w:rsid w:val="00085267"/>
    <w:rsid w:val="0008680A"/>
    <w:rsid w:val="00087A14"/>
    <w:rsid w:val="00091B41"/>
    <w:rsid w:val="000929D7"/>
    <w:rsid w:val="000948B0"/>
    <w:rsid w:val="000A2365"/>
    <w:rsid w:val="000A27A9"/>
    <w:rsid w:val="000A64C8"/>
    <w:rsid w:val="000A79C4"/>
    <w:rsid w:val="000B050A"/>
    <w:rsid w:val="000B4734"/>
    <w:rsid w:val="000B64AF"/>
    <w:rsid w:val="000B7999"/>
    <w:rsid w:val="000C07A8"/>
    <w:rsid w:val="000C2D9B"/>
    <w:rsid w:val="000C4311"/>
    <w:rsid w:val="000C4714"/>
    <w:rsid w:val="000C6C11"/>
    <w:rsid w:val="000CCDD9"/>
    <w:rsid w:val="000D301B"/>
    <w:rsid w:val="000F18C6"/>
    <w:rsid w:val="0010018F"/>
    <w:rsid w:val="001035C4"/>
    <w:rsid w:val="00103AE2"/>
    <w:rsid w:val="00104F5F"/>
    <w:rsid w:val="00113A42"/>
    <w:rsid w:val="001228DF"/>
    <w:rsid w:val="001254DA"/>
    <w:rsid w:val="00125509"/>
    <w:rsid w:val="00127A15"/>
    <w:rsid w:val="001336A2"/>
    <w:rsid w:val="001336DF"/>
    <w:rsid w:val="00135CFE"/>
    <w:rsid w:val="0013668D"/>
    <w:rsid w:val="00140602"/>
    <w:rsid w:val="001412FC"/>
    <w:rsid w:val="00143083"/>
    <w:rsid w:val="0014592C"/>
    <w:rsid w:val="00146206"/>
    <w:rsid w:val="00147672"/>
    <w:rsid w:val="001529F2"/>
    <w:rsid w:val="00157BA8"/>
    <w:rsid w:val="00157E42"/>
    <w:rsid w:val="001603D1"/>
    <w:rsid w:val="001624DD"/>
    <w:rsid w:val="001628E2"/>
    <w:rsid w:val="00163AD5"/>
    <w:rsid w:val="001651E5"/>
    <w:rsid w:val="00165BDB"/>
    <w:rsid w:val="001662A7"/>
    <w:rsid w:val="00167B10"/>
    <w:rsid w:val="00174097"/>
    <w:rsid w:val="00174479"/>
    <w:rsid w:val="001762DC"/>
    <w:rsid w:val="0017713D"/>
    <w:rsid w:val="00180E20"/>
    <w:rsid w:val="00184008"/>
    <w:rsid w:val="00184E0A"/>
    <w:rsid w:val="00190CD8"/>
    <w:rsid w:val="00193CA3"/>
    <w:rsid w:val="00193D1A"/>
    <w:rsid w:val="00194257"/>
    <w:rsid w:val="00194EEF"/>
    <w:rsid w:val="0019773C"/>
    <w:rsid w:val="001A00AE"/>
    <w:rsid w:val="001A3745"/>
    <w:rsid w:val="001A3EB0"/>
    <w:rsid w:val="001A4FD6"/>
    <w:rsid w:val="001A5410"/>
    <w:rsid w:val="001A76F3"/>
    <w:rsid w:val="001B2234"/>
    <w:rsid w:val="001B2388"/>
    <w:rsid w:val="001B3AC8"/>
    <w:rsid w:val="001B54F1"/>
    <w:rsid w:val="001B608B"/>
    <w:rsid w:val="001C1795"/>
    <w:rsid w:val="001C2027"/>
    <w:rsid w:val="001C67EF"/>
    <w:rsid w:val="001C74DF"/>
    <w:rsid w:val="001C7B61"/>
    <w:rsid w:val="001E0E74"/>
    <w:rsid w:val="001E2545"/>
    <w:rsid w:val="001E4418"/>
    <w:rsid w:val="001E4B39"/>
    <w:rsid w:val="001E4FC2"/>
    <w:rsid w:val="001E6117"/>
    <w:rsid w:val="001E7717"/>
    <w:rsid w:val="001F51CF"/>
    <w:rsid w:val="001F780E"/>
    <w:rsid w:val="001F7A0A"/>
    <w:rsid w:val="00201657"/>
    <w:rsid w:val="00201AE6"/>
    <w:rsid w:val="00202F6C"/>
    <w:rsid w:val="00205D3A"/>
    <w:rsid w:val="00205EA7"/>
    <w:rsid w:val="002070B9"/>
    <w:rsid w:val="00211501"/>
    <w:rsid w:val="002205EA"/>
    <w:rsid w:val="0022087E"/>
    <w:rsid w:val="00220E1D"/>
    <w:rsid w:val="0023071E"/>
    <w:rsid w:val="002316B5"/>
    <w:rsid w:val="00232AA7"/>
    <w:rsid w:val="00235DB0"/>
    <w:rsid w:val="00240327"/>
    <w:rsid w:val="0024131D"/>
    <w:rsid w:val="00242E60"/>
    <w:rsid w:val="00244064"/>
    <w:rsid w:val="00246118"/>
    <w:rsid w:val="0024671A"/>
    <w:rsid w:val="00247FC1"/>
    <w:rsid w:val="002501C6"/>
    <w:rsid w:val="00250E1D"/>
    <w:rsid w:val="00253EEA"/>
    <w:rsid w:val="00254387"/>
    <w:rsid w:val="00260CC0"/>
    <w:rsid w:val="00260FEB"/>
    <w:rsid w:val="00262E24"/>
    <w:rsid w:val="00265931"/>
    <w:rsid w:val="002659F9"/>
    <w:rsid w:val="00265ACC"/>
    <w:rsid w:val="00272D72"/>
    <w:rsid w:val="00272E7C"/>
    <w:rsid w:val="0027662A"/>
    <w:rsid w:val="00282373"/>
    <w:rsid w:val="00283B30"/>
    <w:rsid w:val="00286576"/>
    <w:rsid w:val="00286EBC"/>
    <w:rsid w:val="00290076"/>
    <w:rsid w:val="00291428"/>
    <w:rsid w:val="002A190B"/>
    <w:rsid w:val="002A3657"/>
    <w:rsid w:val="002A52E6"/>
    <w:rsid w:val="002A5E38"/>
    <w:rsid w:val="002A6DE5"/>
    <w:rsid w:val="002B18F2"/>
    <w:rsid w:val="002B3498"/>
    <w:rsid w:val="002B61C0"/>
    <w:rsid w:val="002B6634"/>
    <w:rsid w:val="002B7B0C"/>
    <w:rsid w:val="002C03C6"/>
    <w:rsid w:val="002C111A"/>
    <w:rsid w:val="002C2B77"/>
    <w:rsid w:val="002C78FF"/>
    <w:rsid w:val="002D0AEB"/>
    <w:rsid w:val="002D1340"/>
    <w:rsid w:val="002D2DA0"/>
    <w:rsid w:val="002D3FB3"/>
    <w:rsid w:val="002D5E37"/>
    <w:rsid w:val="002D6A3C"/>
    <w:rsid w:val="002D762B"/>
    <w:rsid w:val="002E00C3"/>
    <w:rsid w:val="002E1205"/>
    <w:rsid w:val="002E25FF"/>
    <w:rsid w:val="002E2737"/>
    <w:rsid w:val="002E387C"/>
    <w:rsid w:val="002E4487"/>
    <w:rsid w:val="002E6130"/>
    <w:rsid w:val="002F195F"/>
    <w:rsid w:val="002F3CB9"/>
    <w:rsid w:val="002F6A6E"/>
    <w:rsid w:val="002F7453"/>
    <w:rsid w:val="00303DC8"/>
    <w:rsid w:val="00310637"/>
    <w:rsid w:val="00310808"/>
    <w:rsid w:val="00311922"/>
    <w:rsid w:val="00313947"/>
    <w:rsid w:val="00314C1B"/>
    <w:rsid w:val="00315E66"/>
    <w:rsid w:val="00320409"/>
    <w:rsid w:val="003211D1"/>
    <w:rsid w:val="00321262"/>
    <w:rsid w:val="00321423"/>
    <w:rsid w:val="0032168D"/>
    <w:rsid w:val="00325BDB"/>
    <w:rsid w:val="003306B0"/>
    <w:rsid w:val="00330B2B"/>
    <w:rsid w:val="00331F48"/>
    <w:rsid w:val="003320DA"/>
    <w:rsid w:val="00336F92"/>
    <w:rsid w:val="00344D1D"/>
    <w:rsid w:val="00351251"/>
    <w:rsid w:val="003515A3"/>
    <w:rsid w:val="00354953"/>
    <w:rsid w:val="00357C09"/>
    <w:rsid w:val="003620F3"/>
    <w:rsid w:val="0036462E"/>
    <w:rsid w:val="003647A3"/>
    <w:rsid w:val="00365B07"/>
    <w:rsid w:val="00365FC8"/>
    <w:rsid w:val="003667AD"/>
    <w:rsid w:val="00367D75"/>
    <w:rsid w:val="0037050C"/>
    <w:rsid w:val="00381F9C"/>
    <w:rsid w:val="0038244E"/>
    <w:rsid w:val="0038467F"/>
    <w:rsid w:val="003860EB"/>
    <w:rsid w:val="003902AE"/>
    <w:rsid w:val="0039213C"/>
    <w:rsid w:val="00392B33"/>
    <w:rsid w:val="0039411B"/>
    <w:rsid w:val="003A00F8"/>
    <w:rsid w:val="003A3071"/>
    <w:rsid w:val="003A4018"/>
    <w:rsid w:val="003A7181"/>
    <w:rsid w:val="003B0822"/>
    <w:rsid w:val="003B3EA5"/>
    <w:rsid w:val="003B4F28"/>
    <w:rsid w:val="003B51A4"/>
    <w:rsid w:val="003B6B2B"/>
    <w:rsid w:val="003B7258"/>
    <w:rsid w:val="003C1802"/>
    <w:rsid w:val="003C1F57"/>
    <w:rsid w:val="003C1F84"/>
    <w:rsid w:val="003C54D7"/>
    <w:rsid w:val="003C6F82"/>
    <w:rsid w:val="003D13B9"/>
    <w:rsid w:val="003D2919"/>
    <w:rsid w:val="003D2AA7"/>
    <w:rsid w:val="003D3E7C"/>
    <w:rsid w:val="003D4B54"/>
    <w:rsid w:val="003D5688"/>
    <w:rsid w:val="003D6138"/>
    <w:rsid w:val="003E1018"/>
    <w:rsid w:val="003E4189"/>
    <w:rsid w:val="003E6983"/>
    <w:rsid w:val="003E6F20"/>
    <w:rsid w:val="003F0AF3"/>
    <w:rsid w:val="003F0D49"/>
    <w:rsid w:val="003F0E79"/>
    <w:rsid w:val="003F1BA1"/>
    <w:rsid w:val="003F2281"/>
    <w:rsid w:val="003F41D4"/>
    <w:rsid w:val="003F43B0"/>
    <w:rsid w:val="003F71BE"/>
    <w:rsid w:val="003F783D"/>
    <w:rsid w:val="00400921"/>
    <w:rsid w:val="004023F3"/>
    <w:rsid w:val="00402926"/>
    <w:rsid w:val="0040593C"/>
    <w:rsid w:val="00407304"/>
    <w:rsid w:val="00412673"/>
    <w:rsid w:val="00412BDB"/>
    <w:rsid w:val="00412CB6"/>
    <w:rsid w:val="00412CFF"/>
    <w:rsid w:val="004137EB"/>
    <w:rsid w:val="004157F4"/>
    <w:rsid w:val="0042001E"/>
    <w:rsid w:val="004200F4"/>
    <w:rsid w:val="00425D59"/>
    <w:rsid w:val="00430798"/>
    <w:rsid w:val="0043146D"/>
    <w:rsid w:val="00431C60"/>
    <w:rsid w:val="00431F60"/>
    <w:rsid w:val="00432E77"/>
    <w:rsid w:val="00433CC7"/>
    <w:rsid w:val="00435E05"/>
    <w:rsid w:val="00437490"/>
    <w:rsid w:val="00441291"/>
    <w:rsid w:val="0044295D"/>
    <w:rsid w:val="00444A4B"/>
    <w:rsid w:val="00447681"/>
    <w:rsid w:val="00451C7A"/>
    <w:rsid w:val="004543F2"/>
    <w:rsid w:val="004554C8"/>
    <w:rsid w:val="00455869"/>
    <w:rsid w:val="004571BA"/>
    <w:rsid w:val="004574E6"/>
    <w:rsid w:val="00460D1A"/>
    <w:rsid w:val="004620E5"/>
    <w:rsid w:val="00462B11"/>
    <w:rsid w:val="0046633D"/>
    <w:rsid w:val="00466E49"/>
    <w:rsid w:val="00471A19"/>
    <w:rsid w:val="00474562"/>
    <w:rsid w:val="004766BD"/>
    <w:rsid w:val="004805CA"/>
    <w:rsid w:val="004868AC"/>
    <w:rsid w:val="004903E0"/>
    <w:rsid w:val="00492B14"/>
    <w:rsid w:val="00493651"/>
    <w:rsid w:val="00494BB4"/>
    <w:rsid w:val="004956D9"/>
    <w:rsid w:val="004A0C18"/>
    <w:rsid w:val="004A233A"/>
    <w:rsid w:val="004A3B4B"/>
    <w:rsid w:val="004A439A"/>
    <w:rsid w:val="004A525C"/>
    <w:rsid w:val="004A7979"/>
    <w:rsid w:val="004B16CA"/>
    <w:rsid w:val="004B1C05"/>
    <w:rsid w:val="004B2E4F"/>
    <w:rsid w:val="004B3096"/>
    <w:rsid w:val="004B3DC7"/>
    <w:rsid w:val="004B6279"/>
    <w:rsid w:val="004B64B4"/>
    <w:rsid w:val="004B678F"/>
    <w:rsid w:val="004C1120"/>
    <w:rsid w:val="004C12F6"/>
    <w:rsid w:val="004C1328"/>
    <w:rsid w:val="004C2BA9"/>
    <w:rsid w:val="004C620A"/>
    <w:rsid w:val="004C6840"/>
    <w:rsid w:val="004C7648"/>
    <w:rsid w:val="004D0665"/>
    <w:rsid w:val="004D08C9"/>
    <w:rsid w:val="004D2534"/>
    <w:rsid w:val="004D552A"/>
    <w:rsid w:val="004D6EF2"/>
    <w:rsid w:val="004E03C9"/>
    <w:rsid w:val="004E238D"/>
    <w:rsid w:val="004E4679"/>
    <w:rsid w:val="004F0943"/>
    <w:rsid w:val="004F6AB0"/>
    <w:rsid w:val="005002B0"/>
    <w:rsid w:val="00502308"/>
    <w:rsid w:val="00502F9E"/>
    <w:rsid w:val="00503457"/>
    <w:rsid w:val="00503BBB"/>
    <w:rsid w:val="00503D1D"/>
    <w:rsid w:val="00506FF2"/>
    <w:rsid w:val="005105A2"/>
    <w:rsid w:val="00517D8F"/>
    <w:rsid w:val="0052002C"/>
    <w:rsid w:val="0052289A"/>
    <w:rsid w:val="00530B02"/>
    <w:rsid w:val="00531F04"/>
    <w:rsid w:val="005321F3"/>
    <w:rsid w:val="005335AD"/>
    <w:rsid w:val="005355F1"/>
    <w:rsid w:val="0053637F"/>
    <w:rsid w:val="0053704D"/>
    <w:rsid w:val="00537609"/>
    <w:rsid w:val="005376C9"/>
    <w:rsid w:val="00540D0C"/>
    <w:rsid w:val="00543706"/>
    <w:rsid w:val="00544974"/>
    <w:rsid w:val="00547943"/>
    <w:rsid w:val="00550683"/>
    <w:rsid w:val="00551025"/>
    <w:rsid w:val="00551347"/>
    <w:rsid w:val="00551E6D"/>
    <w:rsid w:val="00553272"/>
    <w:rsid w:val="005552F0"/>
    <w:rsid w:val="0055628B"/>
    <w:rsid w:val="005578FB"/>
    <w:rsid w:val="005601CF"/>
    <w:rsid w:val="00562AA1"/>
    <w:rsid w:val="00565236"/>
    <w:rsid w:val="005652C2"/>
    <w:rsid w:val="00566E72"/>
    <w:rsid w:val="005706D1"/>
    <w:rsid w:val="0057453D"/>
    <w:rsid w:val="00574ABF"/>
    <w:rsid w:val="005774BB"/>
    <w:rsid w:val="0058279A"/>
    <w:rsid w:val="00584C12"/>
    <w:rsid w:val="00585E18"/>
    <w:rsid w:val="00595A29"/>
    <w:rsid w:val="005970C7"/>
    <w:rsid w:val="00597F31"/>
    <w:rsid w:val="005A0749"/>
    <w:rsid w:val="005A0913"/>
    <w:rsid w:val="005A11C5"/>
    <w:rsid w:val="005A31BB"/>
    <w:rsid w:val="005A433B"/>
    <w:rsid w:val="005A5617"/>
    <w:rsid w:val="005A5E18"/>
    <w:rsid w:val="005A7958"/>
    <w:rsid w:val="005B02FF"/>
    <w:rsid w:val="005B28E3"/>
    <w:rsid w:val="005B5273"/>
    <w:rsid w:val="005B6D0B"/>
    <w:rsid w:val="005B7AA4"/>
    <w:rsid w:val="005C058F"/>
    <w:rsid w:val="005C0D47"/>
    <w:rsid w:val="005C5A81"/>
    <w:rsid w:val="005C7E4F"/>
    <w:rsid w:val="005D0041"/>
    <w:rsid w:val="005D0CC3"/>
    <w:rsid w:val="005D3081"/>
    <w:rsid w:val="005D4F46"/>
    <w:rsid w:val="005E0CFC"/>
    <w:rsid w:val="005E5FA9"/>
    <w:rsid w:val="005F2A8E"/>
    <w:rsid w:val="005F5285"/>
    <w:rsid w:val="005F772C"/>
    <w:rsid w:val="005F7FB9"/>
    <w:rsid w:val="0060376A"/>
    <w:rsid w:val="006053AC"/>
    <w:rsid w:val="006053B0"/>
    <w:rsid w:val="00605DAA"/>
    <w:rsid w:val="006060F9"/>
    <w:rsid w:val="006074B1"/>
    <w:rsid w:val="006126CE"/>
    <w:rsid w:val="00614034"/>
    <w:rsid w:val="006275B0"/>
    <w:rsid w:val="00634417"/>
    <w:rsid w:val="00640E50"/>
    <w:rsid w:val="00642766"/>
    <w:rsid w:val="00644313"/>
    <w:rsid w:val="006508EF"/>
    <w:rsid w:val="0065233C"/>
    <w:rsid w:val="006530B4"/>
    <w:rsid w:val="00653130"/>
    <w:rsid w:val="00656D3E"/>
    <w:rsid w:val="006576A8"/>
    <w:rsid w:val="00663866"/>
    <w:rsid w:val="00665065"/>
    <w:rsid w:val="00666F8C"/>
    <w:rsid w:val="0067327D"/>
    <w:rsid w:val="006739A4"/>
    <w:rsid w:val="0067464E"/>
    <w:rsid w:val="00680344"/>
    <w:rsid w:val="00681CA1"/>
    <w:rsid w:val="00683A06"/>
    <w:rsid w:val="00687BA9"/>
    <w:rsid w:val="006A1596"/>
    <w:rsid w:val="006A3F2B"/>
    <w:rsid w:val="006A3F6C"/>
    <w:rsid w:val="006A44CD"/>
    <w:rsid w:val="006A4D41"/>
    <w:rsid w:val="006A5054"/>
    <w:rsid w:val="006B46E7"/>
    <w:rsid w:val="006B7DF6"/>
    <w:rsid w:val="006C3981"/>
    <w:rsid w:val="006C5E18"/>
    <w:rsid w:val="006D02FB"/>
    <w:rsid w:val="006D116C"/>
    <w:rsid w:val="006D18CC"/>
    <w:rsid w:val="006D3BE5"/>
    <w:rsid w:val="006D5ECD"/>
    <w:rsid w:val="006E2DD9"/>
    <w:rsid w:val="006E4259"/>
    <w:rsid w:val="006E444B"/>
    <w:rsid w:val="006F0CA9"/>
    <w:rsid w:val="006F14B6"/>
    <w:rsid w:val="006F1EA1"/>
    <w:rsid w:val="006F1F4C"/>
    <w:rsid w:val="006F5DC5"/>
    <w:rsid w:val="00702861"/>
    <w:rsid w:val="007036D2"/>
    <w:rsid w:val="00706762"/>
    <w:rsid w:val="007106AF"/>
    <w:rsid w:val="00710AF6"/>
    <w:rsid w:val="00711B20"/>
    <w:rsid w:val="00711D7C"/>
    <w:rsid w:val="00712A17"/>
    <w:rsid w:val="0071695C"/>
    <w:rsid w:val="00717824"/>
    <w:rsid w:val="00720752"/>
    <w:rsid w:val="00720905"/>
    <w:rsid w:val="00722748"/>
    <w:rsid w:val="007237FE"/>
    <w:rsid w:val="00723AFC"/>
    <w:rsid w:val="007264EE"/>
    <w:rsid w:val="00730778"/>
    <w:rsid w:val="00731AD1"/>
    <w:rsid w:val="00735B50"/>
    <w:rsid w:val="00737925"/>
    <w:rsid w:val="00737C33"/>
    <w:rsid w:val="0074055D"/>
    <w:rsid w:val="0074107F"/>
    <w:rsid w:val="0074545A"/>
    <w:rsid w:val="00746A99"/>
    <w:rsid w:val="0075179B"/>
    <w:rsid w:val="00753087"/>
    <w:rsid w:val="007537C2"/>
    <w:rsid w:val="00755EC9"/>
    <w:rsid w:val="00760DF5"/>
    <w:rsid w:val="00763B58"/>
    <w:rsid w:val="00767B5E"/>
    <w:rsid w:val="0077368D"/>
    <w:rsid w:val="007739B2"/>
    <w:rsid w:val="00773DD6"/>
    <w:rsid w:val="00773E10"/>
    <w:rsid w:val="00782081"/>
    <w:rsid w:val="00786BDD"/>
    <w:rsid w:val="007915CF"/>
    <w:rsid w:val="00791D47"/>
    <w:rsid w:val="007960C1"/>
    <w:rsid w:val="007A36AC"/>
    <w:rsid w:val="007A5F1B"/>
    <w:rsid w:val="007A5FF8"/>
    <w:rsid w:val="007A6683"/>
    <w:rsid w:val="007A7692"/>
    <w:rsid w:val="007B253A"/>
    <w:rsid w:val="007B32A4"/>
    <w:rsid w:val="007B34B5"/>
    <w:rsid w:val="007B52A9"/>
    <w:rsid w:val="007B62BB"/>
    <w:rsid w:val="007B6BC6"/>
    <w:rsid w:val="007C0B3C"/>
    <w:rsid w:val="007C1D71"/>
    <w:rsid w:val="007D22CB"/>
    <w:rsid w:val="007D5A8B"/>
    <w:rsid w:val="007D73A5"/>
    <w:rsid w:val="007E187B"/>
    <w:rsid w:val="007E3DCF"/>
    <w:rsid w:val="007E467B"/>
    <w:rsid w:val="007E5931"/>
    <w:rsid w:val="007E5D69"/>
    <w:rsid w:val="007E7F59"/>
    <w:rsid w:val="007F17C3"/>
    <w:rsid w:val="007F18C3"/>
    <w:rsid w:val="007F1C93"/>
    <w:rsid w:val="007F56AF"/>
    <w:rsid w:val="007F5842"/>
    <w:rsid w:val="007F6F27"/>
    <w:rsid w:val="00800365"/>
    <w:rsid w:val="00801B34"/>
    <w:rsid w:val="0080542C"/>
    <w:rsid w:val="00805E98"/>
    <w:rsid w:val="0081070F"/>
    <w:rsid w:val="00810B25"/>
    <w:rsid w:val="00813ADB"/>
    <w:rsid w:val="008142D6"/>
    <w:rsid w:val="00817499"/>
    <w:rsid w:val="008216E4"/>
    <w:rsid w:val="00822D10"/>
    <w:rsid w:val="00823615"/>
    <w:rsid w:val="008337B1"/>
    <w:rsid w:val="00834306"/>
    <w:rsid w:val="00835F02"/>
    <w:rsid w:val="008360FC"/>
    <w:rsid w:val="00840507"/>
    <w:rsid w:val="0084269A"/>
    <w:rsid w:val="00842E70"/>
    <w:rsid w:val="00846156"/>
    <w:rsid w:val="00846BFC"/>
    <w:rsid w:val="00853A1D"/>
    <w:rsid w:val="00862CF1"/>
    <w:rsid w:val="00872D4E"/>
    <w:rsid w:val="00872E3D"/>
    <w:rsid w:val="00876055"/>
    <w:rsid w:val="00877288"/>
    <w:rsid w:val="008810D2"/>
    <w:rsid w:val="008846FA"/>
    <w:rsid w:val="008849AA"/>
    <w:rsid w:val="00890B13"/>
    <w:rsid w:val="0089262A"/>
    <w:rsid w:val="0089608E"/>
    <w:rsid w:val="008A0D3F"/>
    <w:rsid w:val="008A25A6"/>
    <w:rsid w:val="008A41BE"/>
    <w:rsid w:val="008B0010"/>
    <w:rsid w:val="008B0B79"/>
    <w:rsid w:val="008B14BB"/>
    <w:rsid w:val="008B47D5"/>
    <w:rsid w:val="008B4860"/>
    <w:rsid w:val="008B4A7B"/>
    <w:rsid w:val="008B7423"/>
    <w:rsid w:val="008C1A12"/>
    <w:rsid w:val="008C3619"/>
    <w:rsid w:val="008C5B27"/>
    <w:rsid w:val="008C7F98"/>
    <w:rsid w:val="008D18F6"/>
    <w:rsid w:val="008D6F2E"/>
    <w:rsid w:val="008D7AD9"/>
    <w:rsid w:val="008E2CF7"/>
    <w:rsid w:val="008E4625"/>
    <w:rsid w:val="008E6DEF"/>
    <w:rsid w:val="008F0D2E"/>
    <w:rsid w:val="008F16A0"/>
    <w:rsid w:val="008F2613"/>
    <w:rsid w:val="008F5105"/>
    <w:rsid w:val="00901C1C"/>
    <w:rsid w:val="00902143"/>
    <w:rsid w:val="009026BE"/>
    <w:rsid w:val="009033D0"/>
    <w:rsid w:val="00904B05"/>
    <w:rsid w:val="009055AE"/>
    <w:rsid w:val="00910693"/>
    <w:rsid w:val="009117F1"/>
    <w:rsid w:val="0091280A"/>
    <w:rsid w:val="00915060"/>
    <w:rsid w:val="00915D32"/>
    <w:rsid w:val="00917AD0"/>
    <w:rsid w:val="00920C46"/>
    <w:rsid w:val="0092708C"/>
    <w:rsid w:val="00933430"/>
    <w:rsid w:val="00934D86"/>
    <w:rsid w:val="00935DA8"/>
    <w:rsid w:val="00935E56"/>
    <w:rsid w:val="0093628B"/>
    <w:rsid w:val="009369F9"/>
    <w:rsid w:val="00942B5B"/>
    <w:rsid w:val="00943880"/>
    <w:rsid w:val="00944C17"/>
    <w:rsid w:val="0094725B"/>
    <w:rsid w:val="00950613"/>
    <w:rsid w:val="00951281"/>
    <w:rsid w:val="009514B5"/>
    <w:rsid w:val="009555FF"/>
    <w:rsid w:val="00955DE3"/>
    <w:rsid w:val="00961F1C"/>
    <w:rsid w:val="00962E39"/>
    <w:rsid w:val="00963ED6"/>
    <w:rsid w:val="009746D3"/>
    <w:rsid w:val="0097548F"/>
    <w:rsid w:val="0097651D"/>
    <w:rsid w:val="00976AFB"/>
    <w:rsid w:val="00976E3C"/>
    <w:rsid w:val="00980891"/>
    <w:rsid w:val="009809FD"/>
    <w:rsid w:val="00987503"/>
    <w:rsid w:val="00987E35"/>
    <w:rsid w:val="009946AE"/>
    <w:rsid w:val="00996E8B"/>
    <w:rsid w:val="009A2B95"/>
    <w:rsid w:val="009A433C"/>
    <w:rsid w:val="009A4CEE"/>
    <w:rsid w:val="009A4D99"/>
    <w:rsid w:val="009A5121"/>
    <w:rsid w:val="009A746A"/>
    <w:rsid w:val="009A756D"/>
    <w:rsid w:val="009B0FF0"/>
    <w:rsid w:val="009B1C2E"/>
    <w:rsid w:val="009B28D4"/>
    <w:rsid w:val="009B2BA4"/>
    <w:rsid w:val="009B5F90"/>
    <w:rsid w:val="009B74E6"/>
    <w:rsid w:val="009C0198"/>
    <w:rsid w:val="009C201E"/>
    <w:rsid w:val="009C4A7D"/>
    <w:rsid w:val="009C53F7"/>
    <w:rsid w:val="009C763E"/>
    <w:rsid w:val="009D566B"/>
    <w:rsid w:val="009D6B08"/>
    <w:rsid w:val="009D7292"/>
    <w:rsid w:val="009D7F71"/>
    <w:rsid w:val="009E2017"/>
    <w:rsid w:val="009E2CF1"/>
    <w:rsid w:val="009E4B03"/>
    <w:rsid w:val="009E6227"/>
    <w:rsid w:val="009F40D0"/>
    <w:rsid w:val="009F4D2D"/>
    <w:rsid w:val="00A0012B"/>
    <w:rsid w:val="00A0020D"/>
    <w:rsid w:val="00A00536"/>
    <w:rsid w:val="00A01814"/>
    <w:rsid w:val="00A02A22"/>
    <w:rsid w:val="00A03488"/>
    <w:rsid w:val="00A0368E"/>
    <w:rsid w:val="00A03730"/>
    <w:rsid w:val="00A054E4"/>
    <w:rsid w:val="00A05883"/>
    <w:rsid w:val="00A05AC3"/>
    <w:rsid w:val="00A05E35"/>
    <w:rsid w:val="00A11849"/>
    <w:rsid w:val="00A1293A"/>
    <w:rsid w:val="00A12B96"/>
    <w:rsid w:val="00A13A4C"/>
    <w:rsid w:val="00A16675"/>
    <w:rsid w:val="00A166C1"/>
    <w:rsid w:val="00A16FD1"/>
    <w:rsid w:val="00A2488C"/>
    <w:rsid w:val="00A25B80"/>
    <w:rsid w:val="00A30209"/>
    <w:rsid w:val="00A30466"/>
    <w:rsid w:val="00A36012"/>
    <w:rsid w:val="00A425D0"/>
    <w:rsid w:val="00A47A30"/>
    <w:rsid w:val="00A51A91"/>
    <w:rsid w:val="00A531B7"/>
    <w:rsid w:val="00A55A65"/>
    <w:rsid w:val="00A5615A"/>
    <w:rsid w:val="00A57226"/>
    <w:rsid w:val="00A638E3"/>
    <w:rsid w:val="00A645A0"/>
    <w:rsid w:val="00A66E6B"/>
    <w:rsid w:val="00A74883"/>
    <w:rsid w:val="00A75E6B"/>
    <w:rsid w:val="00A8093B"/>
    <w:rsid w:val="00A83C9D"/>
    <w:rsid w:val="00A84823"/>
    <w:rsid w:val="00A85A9B"/>
    <w:rsid w:val="00A85E55"/>
    <w:rsid w:val="00A916EA"/>
    <w:rsid w:val="00A92F35"/>
    <w:rsid w:val="00A931C6"/>
    <w:rsid w:val="00A932BF"/>
    <w:rsid w:val="00A93C65"/>
    <w:rsid w:val="00A955D6"/>
    <w:rsid w:val="00A97C50"/>
    <w:rsid w:val="00AA12CB"/>
    <w:rsid w:val="00AA15E7"/>
    <w:rsid w:val="00AA16B4"/>
    <w:rsid w:val="00AA6217"/>
    <w:rsid w:val="00AA7398"/>
    <w:rsid w:val="00AA74C7"/>
    <w:rsid w:val="00AB0037"/>
    <w:rsid w:val="00AB156D"/>
    <w:rsid w:val="00AB2226"/>
    <w:rsid w:val="00AB4CFB"/>
    <w:rsid w:val="00AB659C"/>
    <w:rsid w:val="00AB7E68"/>
    <w:rsid w:val="00AC2DCA"/>
    <w:rsid w:val="00AC3CA3"/>
    <w:rsid w:val="00AC6A1B"/>
    <w:rsid w:val="00AC7D12"/>
    <w:rsid w:val="00AD23D5"/>
    <w:rsid w:val="00AD4EDE"/>
    <w:rsid w:val="00AD7AF6"/>
    <w:rsid w:val="00AE1F08"/>
    <w:rsid w:val="00AE324E"/>
    <w:rsid w:val="00AE5026"/>
    <w:rsid w:val="00AE5037"/>
    <w:rsid w:val="00AE7394"/>
    <w:rsid w:val="00AF3037"/>
    <w:rsid w:val="00AF3CCD"/>
    <w:rsid w:val="00AF5E3D"/>
    <w:rsid w:val="00AF7182"/>
    <w:rsid w:val="00AF7BC5"/>
    <w:rsid w:val="00B046F7"/>
    <w:rsid w:val="00B14712"/>
    <w:rsid w:val="00B22F0F"/>
    <w:rsid w:val="00B24AA7"/>
    <w:rsid w:val="00B24B15"/>
    <w:rsid w:val="00B24EA6"/>
    <w:rsid w:val="00B24FFD"/>
    <w:rsid w:val="00B2522C"/>
    <w:rsid w:val="00B27E3B"/>
    <w:rsid w:val="00B30094"/>
    <w:rsid w:val="00B3040B"/>
    <w:rsid w:val="00B33B3E"/>
    <w:rsid w:val="00B33D41"/>
    <w:rsid w:val="00B50203"/>
    <w:rsid w:val="00B51ADB"/>
    <w:rsid w:val="00B51AEC"/>
    <w:rsid w:val="00B563CB"/>
    <w:rsid w:val="00B6017D"/>
    <w:rsid w:val="00B64ACF"/>
    <w:rsid w:val="00B64E4B"/>
    <w:rsid w:val="00B67FC2"/>
    <w:rsid w:val="00B73FE2"/>
    <w:rsid w:val="00B808C0"/>
    <w:rsid w:val="00B809B3"/>
    <w:rsid w:val="00B81173"/>
    <w:rsid w:val="00B81BD5"/>
    <w:rsid w:val="00B82E86"/>
    <w:rsid w:val="00B82EF2"/>
    <w:rsid w:val="00B85103"/>
    <w:rsid w:val="00B8586D"/>
    <w:rsid w:val="00B85D4B"/>
    <w:rsid w:val="00B94E58"/>
    <w:rsid w:val="00B94FFD"/>
    <w:rsid w:val="00B9627C"/>
    <w:rsid w:val="00B96906"/>
    <w:rsid w:val="00B96A79"/>
    <w:rsid w:val="00B96C1B"/>
    <w:rsid w:val="00B975F4"/>
    <w:rsid w:val="00B97A11"/>
    <w:rsid w:val="00BA722A"/>
    <w:rsid w:val="00BB1A8C"/>
    <w:rsid w:val="00BB4DB2"/>
    <w:rsid w:val="00BB779B"/>
    <w:rsid w:val="00BB7C69"/>
    <w:rsid w:val="00BC0C9E"/>
    <w:rsid w:val="00BC282A"/>
    <w:rsid w:val="00BC3BBA"/>
    <w:rsid w:val="00BC543D"/>
    <w:rsid w:val="00BC5DD3"/>
    <w:rsid w:val="00BC77F7"/>
    <w:rsid w:val="00BD07B4"/>
    <w:rsid w:val="00BD343C"/>
    <w:rsid w:val="00BD59BF"/>
    <w:rsid w:val="00BD72F9"/>
    <w:rsid w:val="00BD7DE1"/>
    <w:rsid w:val="00BE16CF"/>
    <w:rsid w:val="00BE4F77"/>
    <w:rsid w:val="00BE73B7"/>
    <w:rsid w:val="00BE7978"/>
    <w:rsid w:val="00BF1C11"/>
    <w:rsid w:val="00BF52E1"/>
    <w:rsid w:val="00C00D48"/>
    <w:rsid w:val="00C02017"/>
    <w:rsid w:val="00C037E2"/>
    <w:rsid w:val="00C11BA5"/>
    <w:rsid w:val="00C20B9A"/>
    <w:rsid w:val="00C21E9F"/>
    <w:rsid w:val="00C22202"/>
    <w:rsid w:val="00C2419A"/>
    <w:rsid w:val="00C255C7"/>
    <w:rsid w:val="00C26538"/>
    <w:rsid w:val="00C34FB0"/>
    <w:rsid w:val="00C35EB6"/>
    <w:rsid w:val="00C377A6"/>
    <w:rsid w:val="00C44935"/>
    <w:rsid w:val="00C46187"/>
    <w:rsid w:val="00C46EA7"/>
    <w:rsid w:val="00C47029"/>
    <w:rsid w:val="00C47A8F"/>
    <w:rsid w:val="00C509DB"/>
    <w:rsid w:val="00C53457"/>
    <w:rsid w:val="00C554CB"/>
    <w:rsid w:val="00C60AA7"/>
    <w:rsid w:val="00C6252D"/>
    <w:rsid w:val="00C65936"/>
    <w:rsid w:val="00C67104"/>
    <w:rsid w:val="00C72B21"/>
    <w:rsid w:val="00C72EB5"/>
    <w:rsid w:val="00C77E99"/>
    <w:rsid w:val="00C833D6"/>
    <w:rsid w:val="00C83B2D"/>
    <w:rsid w:val="00C85439"/>
    <w:rsid w:val="00C857B1"/>
    <w:rsid w:val="00C85A6C"/>
    <w:rsid w:val="00C9015D"/>
    <w:rsid w:val="00C918C3"/>
    <w:rsid w:val="00C931CE"/>
    <w:rsid w:val="00C931D1"/>
    <w:rsid w:val="00C963FB"/>
    <w:rsid w:val="00C96863"/>
    <w:rsid w:val="00C96D5A"/>
    <w:rsid w:val="00C96FC5"/>
    <w:rsid w:val="00CA0BD8"/>
    <w:rsid w:val="00CA16BC"/>
    <w:rsid w:val="00CA3CFB"/>
    <w:rsid w:val="00CA5D0A"/>
    <w:rsid w:val="00CB1679"/>
    <w:rsid w:val="00CB233F"/>
    <w:rsid w:val="00CB29BF"/>
    <w:rsid w:val="00CB2A04"/>
    <w:rsid w:val="00CB3943"/>
    <w:rsid w:val="00CB611A"/>
    <w:rsid w:val="00CC371E"/>
    <w:rsid w:val="00CC76F7"/>
    <w:rsid w:val="00CC7D9C"/>
    <w:rsid w:val="00CD1958"/>
    <w:rsid w:val="00CD1CB6"/>
    <w:rsid w:val="00CD6B4E"/>
    <w:rsid w:val="00CD76B4"/>
    <w:rsid w:val="00CD7AEE"/>
    <w:rsid w:val="00CE1D78"/>
    <w:rsid w:val="00CE3332"/>
    <w:rsid w:val="00CE7116"/>
    <w:rsid w:val="00CF38D2"/>
    <w:rsid w:val="00CF526A"/>
    <w:rsid w:val="00CF79C2"/>
    <w:rsid w:val="00D0515C"/>
    <w:rsid w:val="00D05E0B"/>
    <w:rsid w:val="00D06056"/>
    <w:rsid w:val="00D105DF"/>
    <w:rsid w:val="00D11002"/>
    <w:rsid w:val="00D11DC5"/>
    <w:rsid w:val="00D13E04"/>
    <w:rsid w:val="00D21E4A"/>
    <w:rsid w:val="00D271EB"/>
    <w:rsid w:val="00D276E4"/>
    <w:rsid w:val="00D332C2"/>
    <w:rsid w:val="00D335E8"/>
    <w:rsid w:val="00D34F2F"/>
    <w:rsid w:val="00D35655"/>
    <w:rsid w:val="00D457FA"/>
    <w:rsid w:val="00D459FA"/>
    <w:rsid w:val="00D45C84"/>
    <w:rsid w:val="00D47499"/>
    <w:rsid w:val="00D476E0"/>
    <w:rsid w:val="00D54402"/>
    <w:rsid w:val="00D55323"/>
    <w:rsid w:val="00D55DC0"/>
    <w:rsid w:val="00D55F10"/>
    <w:rsid w:val="00D5629C"/>
    <w:rsid w:val="00D61B94"/>
    <w:rsid w:val="00D63B07"/>
    <w:rsid w:val="00D63C13"/>
    <w:rsid w:val="00D66915"/>
    <w:rsid w:val="00D72569"/>
    <w:rsid w:val="00D73C7F"/>
    <w:rsid w:val="00D74DA2"/>
    <w:rsid w:val="00D76A9C"/>
    <w:rsid w:val="00D814ED"/>
    <w:rsid w:val="00D81745"/>
    <w:rsid w:val="00D873BE"/>
    <w:rsid w:val="00D916B7"/>
    <w:rsid w:val="00D91EB5"/>
    <w:rsid w:val="00D95600"/>
    <w:rsid w:val="00D978E3"/>
    <w:rsid w:val="00DA166B"/>
    <w:rsid w:val="00DA3149"/>
    <w:rsid w:val="00DA5BAA"/>
    <w:rsid w:val="00DB0033"/>
    <w:rsid w:val="00DB2180"/>
    <w:rsid w:val="00DB2506"/>
    <w:rsid w:val="00DB2D36"/>
    <w:rsid w:val="00DB3591"/>
    <w:rsid w:val="00DB6495"/>
    <w:rsid w:val="00DB6579"/>
    <w:rsid w:val="00DB7393"/>
    <w:rsid w:val="00DC3D43"/>
    <w:rsid w:val="00DC58AF"/>
    <w:rsid w:val="00DC8FDC"/>
    <w:rsid w:val="00DD743A"/>
    <w:rsid w:val="00DE46DA"/>
    <w:rsid w:val="00DE499C"/>
    <w:rsid w:val="00DE4B3D"/>
    <w:rsid w:val="00DF1025"/>
    <w:rsid w:val="00DF2936"/>
    <w:rsid w:val="00DF2FFA"/>
    <w:rsid w:val="00DF33CA"/>
    <w:rsid w:val="00DF461D"/>
    <w:rsid w:val="00DF6915"/>
    <w:rsid w:val="00E00118"/>
    <w:rsid w:val="00E07873"/>
    <w:rsid w:val="00E078EC"/>
    <w:rsid w:val="00E11178"/>
    <w:rsid w:val="00E12340"/>
    <w:rsid w:val="00E1260E"/>
    <w:rsid w:val="00E12C43"/>
    <w:rsid w:val="00E12E81"/>
    <w:rsid w:val="00E170A4"/>
    <w:rsid w:val="00E1754F"/>
    <w:rsid w:val="00E22995"/>
    <w:rsid w:val="00E3149D"/>
    <w:rsid w:val="00E31B57"/>
    <w:rsid w:val="00E31D23"/>
    <w:rsid w:val="00E32051"/>
    <w:rsid w:val="00E35713"/>
    <w:rsid w:val="00E4061F"/>
    <w:rsid w:val="00E40EEA"/>
    <w:rsid w:val="00E47668"/>
    <w:rsid w:val="00E50247"/>
    <w:rsid w:val="00E51B1B"/>
    <w:rsid w:val="00E63181"/>
    <w:rsid w:val="00E70787"/>
    <w:rsid w:val="00E7428D"/>
    <w:rsid w:val="00E74D04"/>
    <w:rsid w:val="00E80490"/>
    <w:rsid w:val="00E80E47"/>
    <w:rsid w:val="00E82DB0"/>
    <w:rsid w:val="00E84150"/>
    <w:rsid w:val="00E8631E"/>
    <w:rsid w:val="00E8643B"/>
    <w:rsid w:val="00E8789B"/>
    <w:rsid w:val="00E91D05"/>
    <w:rsid w:val="00E922B8"/>
    <w:rsid w:val="00E9463B"/>
    <w:rsid w:val="00EA2180"/>
    <w:rsid w:val="00EA4010"/>
    <w:rsid w:val="00EA43CD"/>
    <w:rsid w:val="00EB5000"/>
    <w:rsid w:val="00EB70AC"/>
    <w:rsid w:val="00EC0832"/>
    <w:rsid w:val="00EC2E51"/>
    <w:rsid w:val="00EC3A39"/>
    <w:rsid w:val="00EC432E"/>
    <w:rsid w:val="00EC4AF4"/>
    <w:rsid w:val="00EC6FD6"/>
    <w:rsid w:val="00ED0C3E"/>
    <w:rsid w:val="00ED5034"/>
    <w:rsid w:val="00EE0288"/>
    <w:rsid w:val="00EE3029"/>
    <w:rsid w:val="00EE4AD2"/>
    <w:rsid w:val="00EF00E3"/>
    <w:rsid w:val="00EF0EED"/>
    <w:rsid w:val="00EF25B0"/>
    <w:rsid w:val="00EF4D1E"/>
    <w:rsid w:val="00EF5EB7"/>
    <w:rsid w:val="00EF6100"/>
    <w:rsid w:val="00EF6970"/>
    <w:rsid w:val="00F021FA"/>
    <w:rsid w:val="00F06899"/>
    <w:rsid w:val="00F06B07"/>
    <w:rsid w:val="00F07155"/>
    <w:rsid w:val="00F07295"/>
    <w:rsid w:val="00F1095E"/>
    <w:rsid w:val="00F10D6C"/>
    <w:rsid w:val="00F15D5A"/>
    <w:rsid w:val="00F1647D"/>
    <w:rsid w:val="00F1760B"/>
    <w:rsid w:val="00F2163F"/>
    <w:rsid w:val="00F2405A"/>
    <w:rsid w:val="00F25A07"/>
    <w:rsid w:val="00F265AE"/>
    <w:rsid w:val="00F26AE9"/>
    <w:rsid w:val="00F31BD4"/>
    <w:rsid w:val="00F32660"/>
    <w:rsid w:val="00F32AAC"/>
    <w:rsid w:val="00F338AF"/>
    <w:rsid w:val="00F346F4"/>
    <w:rsid w:val="00F53C36"/>
    <w:rsid w:val="00F55B97"/>
    <w:rsid w:val="00F560D1"/>
    <w:rsid w:val="00F62224"/>
    <w:rsid w:val="00F62EEE"/>
    <w:rsid w:val="00F6540B"/>
    <w:rsid w:val="00F65752"/>
    <w:rsid w:val="00F65BB2"/>
    <w:rsid w:val="00F65CD4"/>
    <w:rsid w:val="00F67D36"/>
    <w:rsid w:val="00F7122F"/>
    <w:rsid w:val="00F74ACA"/>
    <w:rsid w:val="00F750CF"/>
    <w:rsid w:val="00F75E16"/>
    <w:rsid w:val="00F76707"/>
    <w:rsid w:val="00F7788C"/>
    <w:rsid w:val="00F81A61"/>
    <w:rsid w:val="00F860EA"/>
    <w:rsid w:val="00F905F0"/>
    <w:rsid w:val="00F949F8"/>
    <w:rsid w:val="00FA0C0A"/>
    <w:rsid w:val="00FA1907"/>
    <w:rsid w:val="00FA2495"/>
    <w:rsid w:val="00FA30A6"/>
    <w:rsid w:val="00FA7C9D"/>
    <w:rsid w:val="00FB3B39"/>
    <w:rsid w:val="00FB4711"/>
    <w:rsid w:val="00FB5BD6"/>
    <w:rsid w:val="00FB6244"/>
    <w:rsid w:val="00FB7631"/>
    <w:rsid w:val="00FC3BD1"/>
    <w:rsid w:val="00FD1510"/>
    <w:rsid w:val="00FD503E"/>
    <w:rsid w:val="00FD56F7"/>
    <w:rsid w:val="00FE2E94"/>
    <w:rsid w:val="00FE350E"/>
    <w:rsid w:val="00FE77D2"/>
    <w:rsid w:val="00FF1254"/>
    <w:rsid w:val="00FF2D41"/>
    <w:rsid w:val="00FF48FF"/>
    <w:rsid w:val="00FF7E55"/>
    <w:rsid w:val="014C625C"/>
    <w:rsid w:val="018CBDEA"/>
    <w:rsid w:val="01D25220"/>
    <w:rsid w:val="02BE464B"/>
    <w:rsid w:val="02D4172D"/>
    <w:rsid w:val="030B7156"/>
    <w:rsid w:val="0370533F"/>
    <w:rsid w:val="042DA91B"/>
    <w:rsid w:val="04445C61"/>
    <w:rsid w:val="0445D311"/>
    <w:rsid w:val="048A130C"/>
    <w:rsid w:val="05C341D1"/>
    <w:rsid w:val="05D44ABC"/>
    <w:rsid w:val="0613E126"/>
    <w:rsid w:val="065408F4"/>
    <w:rsid w:val="06C50741"/>
    <w:rsid w:val="06E54031"/>
    <w:rsid w:val="077CA347"/>
    <w:rsid w:val="094B81E8"/>
    <w:rsid w:val="0A079B67"/>
    <w:rsid w:val="0A3C2067"/>
    <w:rsid w:val="0AAC6975"/>
    <w:rsid w:val="0AF0E153"/>
    <w:rsid w:val="0AFA450E"/>
    <w:rsid w:val="0B6EF995"/>
    <w:rsid w:val="0BD7A22B"/>
    <w:rsid w:val="0C0844DB"/>
    <w:rsid w:val="0C192370"/>
    <w:rsid w:val="0C3B18E0"/>
    <w:rsid w:val="0C49B31B"/>
    <w:rsid w:val="0C79FFAE"/>
    <w:rsid w:val="0CFF3CBA"/>
    <w:rsid w:val="0DBF4F68"/>
    <w:rsid w:val="0DFBA598"/>
    <w:rsid w:val="0E1B69F4"/>
    <w:rsid w:val="0E2FFD45"/>
    <w:rsid w:val="0E797D83"/>
    <w:rsid w:val="0EF445D2"/>
    <w:rsid w:val="0F3AA79F"/>
    <w:rsid w:val="0F5BF268"/>
    <w:rsid w:val="0F72727E"/>
    <w:rsid w:val="0FBB7CEF"/>
    <w:rsid w:val="0FE1B8BB"/>
    <w:rsid w:val="0FEE52BF"/>
    <w:rsid w:val="0FFF5019"/>
    <w:rsid w:val="105CBCDD"/>
    <w:rsid w:val="11366D88"/>
    <w:rsid w:val="114F3740"/>
    <w:rsid w:val="1158797E"/>
    <w:rsid w:val="1196657A"/>
    <w:rsid w:val="11AA80A9"/>
    <w:rsid w:val="121E18CB"/>
    <w:rsid w:val="1288180C"/>
    <w:rsid w:val="12FC0EFB"/>
    <w:rsid w:val="135B4994"/>
    <w:rsid w:val="13D9B013"/>
    <w:rsid w:val="14BB1C5A"/>
    <w:rsid w:val="14F792D6"/>
    <w:rsid w:val="14FC5AC0"/>
    <w:rsid w:val="1507662B"/>
    <w:rsid w:val="15426118"/>
    <w:rsid w:val="1573AFE7"/>
    <w:rsid w:val="1575D715"/>
    <w:rsid w:val="165BCCCC"/>
    <w:rsid w:val="168F8754"/>
    <w:rsid w:val="16C5DAB2"/>
    <w:rsid w:val="174D954F"/>
    <w:rsid w:val="178AD189"/>
    <w:rsid w:val="17A38191"/>
    <w:rsid w:val="17D3B20C"/>
    <w:rsid w:val="17F5C175"/>
    <w:rsid w:val="18295926"/>
    <w:rsid w:val="193159DD"/>
    <w:rsid w:val="1945CA0E"/>
    <w:rsid w:val="1A31C6D2"/>
    <w:rsid w:val="1A3C4E51"/>
    <w:rsid w:val="1B192A92"/>
    <w:rsid w:val="1B1B6F9E"/>
    <w:rsid w:val="1C3BF6B3"/>
    <w:rsid w:val="1C7E9882"/>
    <w:rsid w:val="1C82FCDB"/>
    <w:rsid w:val="1D3DCB74"/>
    <w:rsid w:val="1D7E446B"/>
    <w:rsid w:val="1DBFC995"/>
    <w:rsid w:val="1E3E1E6A"/>
    <w:rsid w:val="1E52A799"/>
    <w:rsid w:val="1E5C5684"/>
    <w:rsid w:val="1E80B34B"/>
    <w:rsid w:val="1F0CBFD9"/>
    <w:rsid w:val="1F23F607"/>
    <w:rsid w:val="1F8ABD3A"/>
    <w:rsid w:val="1FEF6984"/>
    <w:rsid w:val="1FF431AE"/>
    <w:rsid w:val="200C3E8A"/>
    <w:rsid w:val="2057D3FF"/>
    <w:rsid w:val="20610969"/>
    <w:rsid w:val="207EEC82"/>
    <w:rsid w:val="20B6A0D9"/>
    <w:rsid w:val="22150539"/>
    <w:rsid w:val="2222E15A"/>
    <w:rsid w:val="22D383F7"/>
    <w:rsid w:val="2310AF08"/>
    <w:rsid w:val="232B68C8"/>
    <w:rsid w:val="232EE5CF"/>
    <w:rsid w:val="23A2B3DD"/>
    <w:rsid w:val="24183857"/>
    <w:rsid w:val="242ED52F"/>
    <w:rsid w:val="2441C9B8"/>
    <w:rsid w:val="245AE7BB"/>
    <w:rsid w:val="24C7E2F2"/>
    <w:rsid w:val="24F01AE8"/>
    <w:rsid w:val="250B8BD9"/>
    <w:rsid w:val="252DBC22"/>
    <w:rsid w:val="253F5C85"/>
    <w:rsid w:val="25745830"/>
    <w:rsid w:val="25AD0586"/>
    <w:rsid w:val="25E31F92"/>
    <w:rsid w:val="26D29753"/>
    <w:rsid w:val="26F92B43"/>
    <w:rsid w:val="270BCFF1"/>
    <w:rsid w:val="272C7CD3"/>
    <w:rsid w:val="27306DBD"/>
    <w:rsid w:val="27F71D0E"/>
    <w:rsid w:val="2827C1C4"/>
    <w:rsid w:val="285F03F0"/>
    <w:rsid w:val="289D6B54"/>
    <w:rsid w:val="28E7C2DE"/>
    <w:rsid w:val="2936BB4D"/>
    <w:rsid w:val="29C54CB8"/>
    <w:rsid w:val="29D6DCC1"/>
    <w:rsid w:val="2A9B38B2"/>
    <w:rsid w:val="2B158B35"/>
    <w:rsid w:val="2BA2742C"/>
    <w:rsid w:val="2CA90EEF"/>
    <w:rsid w:val="2CB9B991"/>
    <w:rsid w:val="2E05D0E6"/>
    <w:rsid w:val="2E5517B4"/>
    <w:rsid w:val="2EC2BAED"/>
    <w:rsid w:val="2F350035"/>
    <w:rsid w:val="30119A13"/>
    <w:rsid w:val="30A2FBC7"/>
    <w:rsid w:val="30A954F3"/>
    <w:rsid w:val="314CB5CA"/>
    <w:rsid w:val="315C7707"/>
    <w:rsid w:val="315D3D30"/>
    <w:rsid w:val="3175D21F"/>
    <w:rsid w:val="3193D07C"/>
    <w:rsid w:val="31A42ACE"/>
    <w:rsid w:val="325B7DB9"/>
    <w:rsid w:val="331A27A8"/>
    <w:rsid w:val="332669B9"/>
    <w:rsid w:val="34013F85"/>
    <w:rsid w:val="34BE35C7"/>
    <w:rsid w:val="34CBF72E"/>
    <w:rsid w:val="34D5825A"/>
    <w:rsid w:val="3514E89A"/>
    <w:rsid w:val="35604E14"/>
    <w:rsid w:val="357CFB20"/>
    <w:rsid w:val="35EB3494"/>
    <w:rsid w:val="35F9A7EF"/>
    <w:rsid w:val="36224DA7"/>
    <w:rsid w:val="36301AE5"/>
    <w:rsid w:val="3682EFF7"/>
    <w:rsid w:val="368EE95D"/>
    <w:rsid w:val="3706E988"/>
    <w:rsid w:val="37720CA5"/>
    <w:rsid w:val="37B9E406"/>
    <w:rsid w:val="380BB19D"/>
    <w:rsid w:val="384D870D"/>
    <w:rsid w:val="385BCBF5"/>
    <w:rsid w:val="38830892"/>
    <w:rsid w:val="38C9B30F"/>
    <w:rsid w:val="3A1FA082"/>
    <w:rsid w:val="3A3383DB"/>
    <w:rsid w:val="3A34B2E4"/>
    <w:rsid w:val="3A6ECB59"/>
    <w:rsid w:val="3A897116"/>
    <w:rsid w:val="3A89B7C1"/>
    <w:rsid w:val="3B39A438"/>
    <w:rsid w:val="3B66F1BB"/>
    <w:rsid w:val="3B69F9D1"/>
    <w:rsid w:val="3B7C70FB"/>
    <w:rsid w:val="3BBAE79F"/>
    <w:rsid w:val="3BBBC384"/>
    <w:rsid w:val="3C08EE8F"/>
    <w:rsid w:val="3CAFDE95"/>
    <w:rsid w:val="3CD97161"/>
    <w:rsid w:val="3CE5E881"/>
    <w:rsid w:val="3CEADE0E"/>
    <w:rsid w:val="3D48A729"/>
    <w:rsid w:val="3D75C930"/>
    <w:rsid w:val="3DD29CB7"/>
    <w:rsid w:val="3DED1C86"/>
    <w:rsid w:val="3E418D95"/>
    <w:rsid w:val="3ED7105B"/>
    <w:rsid w:val="3EE2B45E"/>
    <w:rsid w:val="3EF2F13A"/>
    <w:rsid w:val="3F1CFCCE"/>
    <w:rsid w:val="3FC0CA3C"/>
    <w:rsid w:val="401AD6C8"/>
    <w:rsid w:val="401DAF11"/>
    <w:rsid w:val="405DC7B7"/>
    <w:rsid w:val="409AE9A7"/>
    <w:rsid w:val="40D9CA53"/>
    <w:rsid w:val="416392DD"/>
    <w:rsid w:val="4180635C"/>
    <w:rsid w:val="41CD8C45"/>
    <w:rsid w:val="4208544C"/>
    <w:rsid w:val="42552E94"/>
    <w:rsid w:val="42654F12"/>
    <w:rsid w:val="426EEE69"/>
    <w:rsid w:val="427DFBFD"/>
    <w:rsid w:val="428D52E5"/>
    <w:rsid w:val="42F76EDF"/>
    <w:rsid w:val="4367BA06"/>
    <w:rsid w:val="43CDAA4C"/>
    <w:rsid w:val="43FE12E1"/>
    <w:rsid w:val="445E0BDE"/>
    <w:rsid w:val="44645374"/>
    <w:rsid w:val="44C0BA43"/>
    <w:rsid w:val="44C93A85"/>
    <w:rsid w:val="44C9DE73"/>
    <w:rsid w:val="44ECBC8B"/>
    <w:rsid w:val="4528AFB0"/>
    <w:rsid w:val="45C24006"/>
    <w:rsid w:val="45D974FA"/>
    <w:rsid w:val="45EDA8B6"/>
    <w:rsid w:val="46086B13"/>
    <w:rsid w:val="463A14D2"/>
    <w:rsid w:val="46AD5ACA"/>
    <w:rsid w:val="46EC2124"/>
    <w:rsid w:val="4706BBCF"/>
    <w:rsid w:val="47913AD4"/>
    <w:rsid w:val="47B5D543"/>
    <w:rsid w:val="4831FE37"/>
    <w:rsid w:val="48497049"/>
    <w:rsid w:val="4873363A"/>
    <w:rsid w:val="48C34E37"/>
    <w:rsid w:val="48DAE16E"/>
    <w:rsid w:val="490AA444"/>
    <w:rsid w:val="497D7AE0"/>
    <w:rsid w:val="49894887"/>
    <w:rsid w:val="49D4B447"/>
    <w:rsid w:val="4A925ADA"/>
    <w:rsid w:val="4B1C8849"/>
    <w:rsid w:val="4B29D9E0"/>
    <w:rsid w:val="4B46A7B8"/>
    <w:rsid w:val="4B4CD0C2"/>
    <w:rsid w:val="4B911FB3"/>
    <w:rsid w:val="4BB86FAC"/>
    <w:rsid w:val="4C3287D9"/>
    <w:rsid w:val="4C4DE17A"/>
    <w:rsid w:val="4C7A14F2"/>
    <w:rsid w:val="4C7D88CD"/>
    <w:rsid w:val="4C96FA19"/>
    <w:rsid w:val="4CBC9FC0"/>
    <w:rsid w:val="4CC5AA41"/>
    <w:rsid w:val="4CD93AF9"/>
    <w:rsid w:val="4CFA7AF5"/>
    <w:rsid w:val="4D075BF1"/>
    <w:rsid w:val="4D192854"/>
    <w:rsid w:val="4D19CD93"/>
    <w:rsid w:val="4DE2FDF7"/>
    <w:rsid w:val="4E43CA84"/>
    <w:rsid w:val="4E4B547A"/>
    <w:rsid w:val="4E6BC108"/>
    <w:rsid w:val="4E966E74"/>
    <w:rsid w:val="4EABEF0E"/>
    <w:rsid w:val="4ED8F230"/>
    <w:rsid w:val="50650A99"/>
    <w:rsid w:val="50A91394"/>
    <w:rsid w:val="50FB53F8"/>
    <w:rsid w:val="510F3C97"/>
    <w:rsid w:val="517A7676"/>
    <w:rsid w:val="51D5E4DF"/>
    <w:rsid w:val="51FE2A63"/>
    <w:rsid w:val="526E2DD1"/>
    <w:rsid w:val="52747E84"/>
    <w:rsid w:val="52A32256"/>
    <w:rsid w:val="52E3E120"/>
    <w:rsid w:val="52FE7045"/>
    <w:rsid w:val="5301CD5D"/>
    <w:rsid w:val="532206DF"/>
    <w:rsid w:val="53895B5D"/>
    <w:rsid w:val="53F6E8ED"/>
    <w:rsid w:val="5428FD1B"/>
    <w:rsid w:val="5445E865"/>
    <w:rsid w:val="5456957F"/>
    <w:rsid w:val="5470D0D9"/>
    <w:rsid w:val="5472B984"/>
    <w:rsid w:val="5495DDDD"/>
    <w:rsid w:val="549B3FDE"/>
    <w:rsid w:val="54C00C3E"/>
    <w:rsid w:val="54C87F9E"/>
    <w:rsid w:val="55ACA0B3"/>
    <w:rsid w:val="55DAC318"/>
    <w:rsid w:val="55E43834"/>
    <w:rsid w:val="55E6A7C4"/>
    <w:rsid w:val="56FC9D8E"/>
    <w:rsid w:val="576A3699"/>
    <w:rsid w:val="57864F73"/>
    <w:rsid w:val="57CC4CC7"/>
    <w:rsid w:val="57F52DF9"/>
    <w:rsid w:val="57F98EA6"/>
    <w:rsid w:val="581CA8A9"/>
    <w:rsid w:val="58507EE9"/>
    <w:rsid w:val="588EA0E0"/>
    <w:rsid w:val="58D2FDAB"/>
    <w:rsid w:val="5910D152"/>
    <w:rsid w:val="59A38EB4"/>
    <w:rsid w:val="5A190340"/>
    <w:rsid w:val="5A24C6E4"/>
    <w:rsid w:val="5A68F5FC"/>
    <w:rsid w:val="5AFB6DBD"/>
    <w:rsid w:val="5B7CAD8E"/>
    <w:rsid w:val="5BCE93B9"/>
    <w:rsid w:val="5CA651C3"/>
    <w:rsid w:val="5CD49420"/>
    <w:rsid w:val="5D3AE792"/>
    <w:rsid w:val="5D92156A"/>
    <w:rsid w:val="5DB33D13"/>
    <w:rsid w:val="5E107EC9"/>
    <w:rsid w:val="5E5EE0EE"/>
    <w:rsid w:val="5E6A9028"/>
    <w:rsid w:val="5EBEF64B"/>
    <w:rsid w:val="5EE34369"/>
    <w:rsid w:val="5F617F19"/>
    <w:rsid w:val="5F8068CD"/>
    <w:rsid w:val="5F937E57"/>
    <w:rsid w:val="5FFA2C99"/>
    <w:rsid w:val="60298EF8"/>
    <w:rsid w:val="6040B9C3"/>
    <w:rsid w:val="607F74CC"/>
    <w:rsid w:val="60C7CFB2"/>
    <w:rsid w:val="60D1B578"/>
    <w:rsid w:val="610E8161"/>
    <w:rsid w:val="6133DF5B"/>
    <w:rsid w:val="61AA31C2"/>
    <w:rsid w:val="61BA4069"/>
    <w:rsid w:val="62376DFD"/>
    <w:rsid w:val="623F8587"/>
    <w:rsid w:val="6270B5E1"/>
    <w:rsid w:val="62CF23C3"/>
    <w:rsid w:val="63668DCD"/>
    <w:rsid w:val="642C4F4A"/>
    <w:rsid w:val="645F3C79"/>
    <w:rsid w:val="6592E93D"/>
    <w:rsid w:val="65DA044E"/>
    <w:rsid w:val="66BD4869"/>
    <w:rsid w:val="66C797A8"/>
    <w:rsid w:val="66D36C1A"/>
    <w:rsid w:val="680828B4"/>
    <w:rsid w:val="680A65E5"/>
    <w:rsid w:val="681B6105"/>
    <w:rsid w:val="68426776"/>
    <w:rsid w:val="690EDD1D"/>
    <w:rsid w:val="696C1F2C"/>
    <w:rsid w:val="6972C35D"/>
    <w:rsid w:val="69CC26E0"/>
    <w:rsid w:val="6A186E6E"/>
    <w:rsid w:val="6A605D49"/>
    <w:rsid w:val="6B01897D"/>
    <w:rsid w:val="6B2892B2"/>
    <w:rsid w:val="6B610A98"/>
    <w:rsid w:val="6B65E6A9"/>
    <w:rsid w:val="6BF1988C"/>
    <w:rsid w:val="6C037AEA"/>
    <w:rsid w:val="6C30DF88"/>
    <w:rsid w:val="6C3901AE"/>
    <w:rsid w:val="6D66C071"/>
    <w:rsid w:val="6E24180C"/>
    <w:rsid w:val="6E3456C4"/>
    <w:rsid w:val="6E8E2660"/>
    <w:rsid w:val="6EAF7925"/>
    <w:rsid w:val="6EC99CF3"/>
    <w:rsid w:val="6F4D5FE2"/>
    <w:rsid w:val="6F7C693B"/>
    <w:rsid w:val="6F9DF40C"/>
    <w:rsid w:val="6FF1F455"/>
    <w:rsid w:val="703AECC6"/>
    <w:rsid w:val="7069CFCA"/>
    <w:rsid w:val="70EA1E13"/>
    <w:rsid w:val="712ED00F"/>
    <w:rsid w:val="7157DC1A"/>
    <w:rsid w:val="71627C5E"/>
    <w:rsid w:val="719D59AC"/>
    <w:rsid w:val="71BC8A32"/>
    <w:rsid w:val="7260ABA7"/>
    <w:rsid w:val="72E430C3"/>
    <w:rsid w:val="73696404"/>
    <w:rsid w:val="73724D77"/>
    <w:rsid w:val="73D9F208"/>
    <w:rsid w:val="73DF57F5"/>
    <w:rsid w:val="73FB3356"/>
    <w:rsid w:val="741A690A"/>
    <w:rsid w:val="7454192C"/>
    <w:rsid w:val="74B01E2D"/>
    <w:rsid w:val="74D530E9"/>
    <w:rsid w:val="751D3910"/>
    <w:rsid w:val="754A1814"/>
    <w:rsid w:val="75824B7D"/>
    <w:rsid w:val="75E08991"/>
    <w:rsid w:val="763453F5"/>
    <w:rsid w:val="765671A7"/>
    <w:rsid w:val="76FBCE61"/>
    <w:rsid w:val="777162D0"/>
    <w:rsid w:val="77D30E1B"/>
    <w:rsid w:val="77DC5DE3"/>
    <w:rsid w:val="77F66509"/>
    <w:rsid w:val="79A962A6"/>
    <w:rsid w:val="7A1055A0"/>
    <w:rsid w:val="7A291E2C"/>
    <w:rsid w:val="7A34B375"/>
    <w:rsid w:val="7B28051F"/>
    <w:rsid w:val="7B8FD0B4"/>
    <w:rsid w:val="7BB95998"/>
    <w:rsid w:val="7BD893C5"/>
    <w:rsid w:val="7C5280DF"/>
    <w:rsid w:val="7C6F1DA5"/>
    <w:rsid w:val="7CC737B9"/>
    <w:rsid w:val="7D1E206B"/>
    <w:rsid w:val="7D8CBC79"/>
    <w:rsid w:val="7E84672D"/>
    <w:rsid w:val="7EAB8776"/>
    <w:rsid w:val="7EB0DCAE"/>
    <w:rsid w:val="7EC1E6E8"/>
    <w:rsid w:val="7F75614C"/>
    <w:rsid w:val="7FD534D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6220FD"/>
  <w15:chartTrackingRefBased/>
  <w15:docId w15:val="{4BB8D492-91FC-4D77-86AB-0DF6401EC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6">
    <w:lsdException w:name="Normal" w:uiPriority="1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73" w:qFormat="1"/>
    <w:lsdException w:name="Intense Quote" w:uiPriority="6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qFormat/>
    <w:rsid w:val="00755EC9"/>
    <w:pPr>
      <w:snapToGrid w:val="0"/>
      <w:spacing w:after="160" w:line="280" w:lineRule="exact"/>
    </w:pPr>
    <w:rPr>
      <w:rFonts w:asciiTheme="minorHAnsi" w:eastAsia="Times" w:hAnsiTheme="minorHAnsi" w:cs="Arial"/>
      <w:color w:val="000000" w:themeColor="text1"/>
      <w:sz w:val="22"/>
      <w:szCs w:val="21"/>
    </w:rPr>
  </w:style>
  <w:style w:type="paragraph" w:styleId="Heading1">
    <w:name w:val="heading 1"/>
    <w:basedOn w:val="Normal"/>
    <w:next w:val="Normal"/>
    <w:link w:val="Heading1Char"/>
    <w:uiPriority w:val="1"/>
    <w:qFormat/>
    <w:rsid w:val="00F25A07"/>
    <w:pPr>
      <w:pageBreakBefore/>
      <w:spacing w:before="800" w:after="360" w:line="480" w:lineRule="exact"/>
      <w:ind w:right="1134"/>
      <w:outlineLvl w:val="0"/>
    </w:pPr>
    <w:rPr>
      <w:rFonts w:asciiTheme="majorHAnsi" w:hAnsiTheme="majorHAnsi"/>
      <w:b/>
      <w:bCs/>
      <w:color w:val="545759" w:themeColor="text2"/>
      <w:sz w:val="44"/>
      <w:szCs w:val="44"/>
    </w:rPr>
  </w:style>
  <w:style w:type="paragraph" w:styleId="Heading2">
    <w:name w:val="heading 2"/>
    <w:basedOn w:val="Normal"/>
    <w:next w:val="Normal"/>
    <w:link w:val="Heading2Char"/>
    <w:uiPriority w:val="1"/>
    <w:qFormat/>
    <w:rsid w:val="00801B34"/>
    <w:pPr>
      <w:spacing w:before="480" w:after="360" w:line="380" w:lineRule="exact"/>
      <w:ind w:right="1134"/>
      <w:outlineLvl w:val="1"/>
    </w:pPr>
    <w:rPr>
      <w:rFonts w:asciiTheme="majorHAnsi" w:hAnsiTheme="majorHAnsi"/>
      <w:color w:val="005F9E" w:themeColor="accent1"/>
      <w:spacing w:val="-1"/>
      <w:sz w:val="34"/>
      <w:szCs w:val="28"/>
    </w:rPr>
  </w:style>
  <w:style w:type="paragraph" w:styleId="Heading3">
    <w:name w:val="heading 3"/>
    <w:basedOn w:val="Normal"/>
    <w:next w:val="Normal"/>
    <w:link w:val="Heading3Char"/>
    <w:uiPriority w:val="1"/>
    <w:qFormat/>
    <w:rsid w:val="00801B34"/>
    <w:pPr>
      <w:spacing w:before="360" w:after="240" w:line="300" w:lineRule="exact"/>
      <w:ind w:right="1134"/>
      <w:outlineLvl w:val="2"/>
    </w:pPr>
    <w:rPr>
      <w:rFonts w:asciiTheme="majorHAnsi" w:hAnsiTheme="majorHAnsi"/>
      <w:b/>
      <w:color w:val="003A5E" w:themeColor="accent2" w:themeShade="80"/>
      <w:sz w:val="26"/>
      <w:szCs w:val="24"/>
    </w:rPr>
  </w:style>
  <w:style w:type="paragraph" w:styleId="Heading4">
    <w:name w:val="heading 4"/>
    <w:basedOn w:val="Normal"/>
    <w:next w:val="Normal"/>
    <w:link w:val="Heading4Char"/>
    <w:uiPriority w:val="1"/>
    <w:qFormat/>
    <w:rsid w:val="00801B34"/>
    <w:pPr>
      <w:spacing w:before="280" w:after="240" w:line="300" w:lineRule="exact"/>
      <w:outlineLvl w:val="3"/>
    </w:pPr>
    <w:rPr>
      <w:rFonts w:asciiTheme="majorHAnsi" w:hAnsiTheme="majorHAnsi"/>
      <w:color w:val="00578D" w:themeColor="accent2" w:themeShade="BF"/>
      <w:spacing w:val="-1"/>
      <w:sz w:val="26"/>
      <w:szCs w:val="24"/>
    </w:rPr>
  </w:style>
  <w:style w:type="paragraph" w:styleId="Heading5">
    <w:name w:val="heading 5"/>
    <w:basedOn w:val="Normal"/>
    <w:next w:val="Normal"/>
    <w:link w:val="Heading5Char"/>
    <w:uiPriority w:val="9"/>
    <w:qFormat/>
    <w:rsid w:val="00801B34"/>
    <w:pPr>
      <w:tabs>
        <w:tab w:val="center" w:pos="4464"/>
      </w:tabs>
      <w:spacing w:before="280" w:after="240" w:line="260" w:lineRule="exact"/>
      <w:outlineLvl w:val="4"/>
    </w:pPr>
    <w:rPr>
      <w:b/>
      <w:bCs/>
      <w:color w:val="7F7F7F" w:themeColor="text1" w:themeTint="80"/>
      <w:szCs w:val="22"/>
    </w:rPr>
  </w:style>
  <w:style w:type="paragraph" w:styleId="Heading6">
    <w:name w:val="heading 6"/>
    <w:basedOn w:val="Normal"/>
    <w:next w:val="Normal"/>
    <w:link w:val="Heading6Char"/>
    <w:uiPriority w:val="9"/>
    <w:unhideWhenUsed/>
    <w:qFormat/>
    <w:rsid w:val="007F5842"/>
    <w:pPr>
      <w:spacing w:before="280" w:after="120" w:line="260" w:lineRule="exact"/>
      <w:outlineLvl w:val="5"/>
    </w:pPr>
    <w:rPr>
      <w:rFonts w:asciiTheme="majorHAnsi" w:hAnsiTheme="majorHAnsi"/>
      <w:color w:val="00578D" w:themeColor="accent2" w:themeShade="BF"/>
      <w:szCs w:val="20"/>
    </w:rPr>
  </w:style>
  <w:style w:type="paragraph" w:styleId="Heading7">
    <w:name w:val="heading 7"/>
    <w:next w:val="Normal"/>
    <w:link w:val="Heading7Char"/>
    <w:uiPriority w:val="9"/>
    <w:unhideWhenUsed/>
    <w:rsid w:val="004200F4"/>
    <w:pPr>
      <w:spacing w:before="120" w:after="120" w:line="200" w:lineRule="exact"/>
      <w:outlineLvl w:val="6"/>
    </w:pPr>
    <w:rPr>
      <w:rFonts w:asciiTheme="majorHAnsi" w:eastAsia="Times" w:hAnsiTheme="majorHAnsi" w:cs="Arial"/>
      <w:color w:val="000000" w:themeColor="text1"/>
      <w:sz w:val="16"/>
      <w:szCs w:val="21"/>
    </w:rPr>
  </w:style>
  <w:style w:type="paragraph" w:styleId="Heading8">
    <w:name w:val="heading 8"/>
    <w:next w:val="Normal"/>
    <w:link w:val="Heading8Char"/>
    <w:uiPriority w:val="9"/>
    <w:unhideWhenUsed/>
    <w:rsid w:val="004200F4"/>
    <w:pPr>
      <w:spacing w:before="120" w:after="120" w:line="200" w:lineRule="exact"/>
      <w:outlineLvl w:val="7"/>
    </w:pPr>
    <w:rPr>
      <w:rFonts w:asciiTheme="majorHAnsi" w:eastAsia="Times" w:hAnsiTheme="majorHAnsi" w:cs="Arial"/>
      <w:color w:val="000000" w:themeColor="text1"/>
      <w:sz w:val="16"/>
      <w:szCs w:val="21"/>
    </w:rPr>
  </w:style>
  <w:style w:type="paragraph" w:styleId="Heading9">
    <w:name w:val="heading 9"/>
    <w:next w:val="Normal"/>
    <w:link w:val="Heading9Char"/>
    <w:uiPriority w:val="9"/>
    <w:unhideWhenUsed/>
    <w:rsid w:val="004200F4"/>
    <w:pPr>
      <w:spacing w:before="120" w:after="120" w:line="200" w:lineRule="exact"/>
      <w:outlineLvl w:val="8"/>
    </w:pPr>
    <w:rPr>
      <w:rFonts w:asciiTheme="majorHAnsi" w:eastAsia="Times" w:hAnsiTheme="majorHAnsi" w:cs="Arial"/>
      <w:color w:val="000000" w:themeColor="text1"/>
      <w:sz w:val="1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DGSTable">
    <w:name w:val="DGS Table"/>
    <w:basedOn w:val="TableNormal"/>
    <w:uiPriority w:val="99"/>
    <w:rsid w:val="00157BA8"/>
    <w:pPr>
      <w:spacing w:before="40" w:after="80"/>
      <w:ind w:left="113"/>
    </w:pPr>
    <w:rPr>
      <w:rFonts w:asciiTheme="minorHAnsi" w:hAnsiTheme="minorHAnsi"/>
      <w:color w:val="000000" w:themeColor="text1"/>
      <w:lang w:eastAsia="en-AU"/>
    </w:rPr>
    <w:tblPr>
      <w:tblBorders>
        <w:top w:val="single" w:sz="4" w:space="0" w:color="BCC0BC" w:themeColor="background2" w:themeShade="D9"/>
        <w:bottom w:val="single" w:sz="4" w:space="0" w:color="BCC0BC" w:themeColor="background2" w:themeShade="D9"/>
        <w:insideH w:val="single" w:sz="4" w:space="0" w:color="BCC0BC" w:themeColor="background2" w:themeShade="D9"/>
      </w:tblBorders>
      <w:tblCellMar>
        <w:top w:w="57" w:type="dxa"/>
        <w:left w:w="0" w:type="dxa"/>
        <w:bottom w:w="40" w:type="dxa"/>
        <w:right w:w="57" w:type="dxa"/>
      </w:tblCellMar>
    </w:tblPr>
    <w:tcPr>
      <w:shd w:val="clear" w:color="auto" w:fill="auto"/>
    </w:tcPr>
    <w:tblStylePr w:type="firstRow">
      <w:rPr>
        <w:rFonts w:asciiTheme="minorHAnsi" w:hAnsiTheme="minorHAnsi"/>
        <w:b/>
        <w:sz w:val="20"/>
      </w:rPr>
      <w:tblPr/>
      <w:tcPr>
        <w:tcBorders>
          <w:top w:val="nil"/>
          <w:left w:val="nil"/>
          <w:bottom w:val="nil"/>
          <w:right w:val="nil"/>
          <w:insideH w:val="nil"/>
          <w:insideV w:val="nil"/>
          <w:tl2br w:val="nil"/>
          <w:tr2bl w:val="nil"/>
        </w:tcBorders>
        <w:shd w:val="clear" w:color="auto" w:fill="F2F2F2" w:themeFill="background1" w:themeFillShade="F2"/>
      </w:tcPr>
    </w:tblStylePr>
  </w:style>
  <w:style w:type="character" w:customStyle="1" w:styleId="Heading1Char">
    <w:name w:val="Heading 1 Char"/>
    <w:link w:val="Heading1"/>
    <w:uiPriority w:val="1"/>
    <w:rsid w:val="00F25A07"/>
    <w:rPr>
      <w:rFonts w:asciiTheme="majorHAnsi" w:eastAsia="Times" w:hAnsiTheme="majorHAnsi" w:cs="Arial"/>
      <w:b/>
      <w:bCs/>
      <w:color w:val="545759" w:themeColor="text2"/>
      <w:sz w:val="44"/>
      <w:szCs w:val="44"/>
    </w:rPr>
  </w:style>
  <w:style w:type="character" w:customStyle="1" w:styleId="Heading2Char">
    <w:name w:val="Heading 2 Char"/>
    <w:link w:val="Heading2"/>
    <w:uiPriority w:val="1"/>
    <w:rsid w:val="00801B34"/>
    <w:rPr>
      <w:rFonts w:asciiTheme="majorHAnsi" w:eastAsia="Times" w:hAnsiTheme="majorHAnsi" w:cs="Arial"/>
      <w:color w:val="005F9E" w:themeColor="accent1"/>
      <w:spacing w:val="-1"/>
      <w:sz w:val="34"/>
      <w:szCs w:val="28"/>
    </w:rPr>
  </w:style>
  <w:style w:type="character" w:customStyle="1" w:styleId="Heading3Char">
    <w:name w:val="Heading 3 Char"/>
    <w:link w:val="Heading3"/>
    <w:uiPriority w:val="1"/>
    <w:rsid w:val="00801B34"/>
    <w:rPr>
      <w:rFonts w:asciiTheme="majorHAnsi" w:eastAsia="Times" w:hAnsiTheme="majorHAnsi" w:cs="Arial"/>
      <w:b/>
      <w:color w:val="003A5E" w:themeColor="accent2" w:themeShade="80"/>
      <w:sz w:val="26"/>
      <w:szCs w:val="24"/>
    </w:rPr>
  </w:style>
  <w:style w:type="character" w:customStyle="1" w:styleId="Heading4Char">
    <w:name w:val="Heading 4 Char"/>
    <w:link w:val="Heading4"/>
    <w:uiPriority w:val="1"/>
    <w:rsid w:val="00801B34"/>
    <w:rPr>
      <w:rFonts w:asciiTheme="majorHAnsi" w:eastAsia="Times" w:hAnsiTheme="majorHAnsi" w:cs="Arial"/>
      <w:color w:val="00578D" w:themeColor="accent2" w:themeShade="BF"/>
      <w:spacing w:val="-1"/>
      <w:sz w:val="26"/>
      <w:szCs w:val="24"/>
    </w:rPr>
  </w:style>
  <w:style w:type="character" w:customStyle="1" w:styleId="Heading5Char">
    <w:name w:val="Heading 5 Char"/>
    <w:link w:val="Heading5"/>
    <w:uiPriority w:val="9"/>
    <w:rsid w:val="00801B34"/>
    <w:rPr>
      <w:rFonts w:asciiTheme="minorHAnsi" w:eastAsia="Times" w:hAnsiTheme="minorHAnsi" w:cs="Arial"/>
      <w:b/>
      <w:bCs/>
      <w:color w:val="7F7F7F" w:themeColor="text1" w:themeTint="80"/>
      <w:sz w:val="22"/>
      <w:szCs w:val="22"/>
    </w:rPr>
  </w:style>
  <w:style w:type="character" w:customStyle="1" w:styleId="Heading6Char">
    <w:name w:val="Heading 6 Char"/>
    <w:basedOn w:val="DefaultParagraphFont"/>
    <w:link w:val="Heading6"/>
    <w:uiPriority w:val="9"/>
    <w:rsid w:val="007F5842"/>
    <w:rPr>
      <w:rFonts w:asciiTheme="majorHAnsi" w:eastAsia="Times" w:hAnsiTheme="majorHAnsi" w:cs="Arial"/>
      <w:color w:val="00578D" w:themeColor="accent2" w:themeShade="BF"/>
      <w:sz w:val="22"/>
    </w:rPr>
  </w:style>
  <w:style w:type="character" w:customStyle="1" w:styleId="Heading7Char">
    <w:name w:val="Heading 7 Char"/>
    <w:basedOn w:val="DefaultParagraphFont"/>
    <w:link w:val="Heading7"/>
    <w:uiPriority w:val="9"/>
    <w:rsid w:val="004200F4"/>
    <w:rPr>
      <w:rFonts w:asciiTheme="majorHAnsi" w:eastAsia="Times" w:hAnsiTheme="majorHAnsi" w:cs="Arial"/>
      <w:color w:val="000000" w:themeColor="text1"/>
      <w:sz w:val="16"/>
      <w:szCs w:val="21"/>
    </w:rPr>
  </w:style>
  <w:style w:type="character" w:customStyle="1" w:styleId="Heading8Char">
    <w:name w:val="Heading 8 Char"/>
    <w:basedOn w:val="DefaultParagraphFont"/>
    <w:link w:val="Heading8"/>
    <w:uiPriority w:val="9"/>
    <w:rsid w:val="004200F4"/>
    <w:rPr>
      <w:rFonts w:asciiTheme="majorHAnsi" w:eastAsia="Times" w:hAnsiTheme="majorHAnsi" w:cs="Arial"/>
      <w:color w:val="000000" w:themeColor="text1"/>
      <w:sz w:val="16"/>
      <w:szCs w:val="21"/>
    </w:rPr>
  </w:style>
  <w:style w:type="character" w:customStyle="1" w:styleId="Heading9Char">
    <w:name w:val="Heading 9 Char"/>
    <w:basedOn w:val="DefaultParagraphFont"/>
    <w:link w:val="Heading9"/>
    <w:uiPriority w:val="9"/>
    <w:rsid w:val="004200F4"/>
    <w:rPr>
      <w:rFonts w:asciiTheme="majorHAnsi" w:eastAsia="Times" w:hAnsiTheme="majorHAnsi" w:cs="Arial"/>
      <w:color w:val="000000" w:themeColor="text1"/>
      <w:sz w:val="16"/>
      <w:szCs w:val="21"/>
    </w:rPr>
  </w:style>
  <w:style w:type="paragraph" w:styleId="Title">
    <w:name w:val="Title"/>
    <w:basedOn w:val="Normal"/>
    <w:next w:val="Normal"/>
    <w:link w:val="TitleChar"/>
    <w:uiPriority w:val="10"/>
    <w:rsid w:val="00DC58AF"/>
    <w:pPr>
      <w:spacing w:before="4000" w:after="400" w:line="800" w:lineRule="exact"/>
      <w:ind w:right="567"/>
    </w:pPr>
    <w:rPr>
      <w:rFonts w:asciiTheme="majorHAnsi" w:eastAsiaTheme="minorEastAsia" w:hAnsiTheme="majorHAnsi" w:cstheme="minorBidi"/>
      <w:b/>
      <w:bCs/>
      <w:color w:val="FFFFFF" w:themeColor="background1"/>
      <w:kern w:val="2"/>
      <w:sz w:val="72"/>
      <w:szCs w:val="72"/>
      <w:lang w:eastAsia="ja-JP"/>
    </w:rPr>
  </w:style>
  <w:style w:type="character" w:customStyle="1" w:styleId="TitleChar">
    <w:name w:val="Title Char"/>
    <w:basedOn w:val="DefaultParagraphFont"/>
    <w:link w:val="Title"/>
    <w:uiPriority w:val="10"/>
    <w:rsid w:val="00DC58AF"/>
    <w:rPr>
      <w:rFonts w:asciiTheme="majorHAnsi" w:eastAsiaTheme="minorEastAsia" w:hAnsiTheme="majorHAnsi" w:cstheme="minorBidi"/>
      <w:b/>
      <w:bCs/>
      <w:color w:val="FFFFFF" w:themeColor="background1"/>
      <w:kern w:val="2"/>
      <w:sz w:val="72"/>
      <w:szCs w:val="72"/>
      <w:lang w:eastAsia="ja-JP"/>
    </w:rPr>
  </w:style>
  <w:style w:type="paragraph" w:styleId="FootnoteText">
    <w:name w:val="footnote text"/>
    <w:basedOn w:val="Normal"/>
    <w:link w:val="FootnoteTextChar"/>
    <w:uiPriority w:val="8"/>
    <w:semiHidden/>
    <w:unhideWhenUsed/>
    <w:rsid w:val="001603D1"/>
    <w:pPr>
      <w:spacing w:after="80" w:line="200" w:lineRule="exact"/>
    </w:pPr>
    <w:rPr>
      <w:sz w:val="15"/>
      <w:szCs w:val="20"/>
    </w:rPr>
  </w:style>
  <w:style w:type="paragraph" w:styleId="Quote">
    <w:name w:val="Quote"/>
    <w:basedOn w:val="Normal"/>
    <w:next w:val="Normal"/>
    <w:link w:val="QuoteChar"/>
    <w:autoRedefine/>
    <w:uiPriority w:val="73"/>
    <w:qFormat/>
    <w:rsid w:val="000F18C6"/>
    <w:pPr>
      <w:pBdr>
        <w:left w:val="single" w:sz="6" w:space="12" w:color="F99D2A" w:themeColor="accent3"/>
      </w:pBdr>
      <w:spacing w:before="280" w:after="180" w:line="360" w:lineRule="exact"/>
      <w:ind w:left="284" w:right="1134"/>
    </w:pPr>
    <w:rPr>
      <w:sz w:val="30"/>
      <w:szCs w:val="30"/>
    </w:rPr>
  </w:style>
  <w:style w:type="numbering" w:customStyle="1" w:styleId="CurrentList3">
    <w:name w:val="Current List3"/>
    <w:uiPriority w:val="99"/>
    <w:rsid w:val="00B50203"/>
    <w:pPr>
      <w:numPr>
        <w:numId w:val="15"/>
      </w:numPr>
    </w:pPr>
  </w:style>
  <w:style w:type="paragraph" w:styleId="EndnoteText">
    <w:name w:val="endnote text"/>
    <w:basedOn w:val="Normal"/>
    <w:link w:val="EndnoteTextChar"/>
    <w:uiPriority w:val="99"/>
    <w:semiHidden/>
    <w:unhideWhenUsed/>
    <w:rsid w:val="001C67EF"/>
    <w:pPr>
      <w:spacing w:after="0" w:line="240" w:lineRule="auto"/>
    </w:pPr>
    <w:rPr>
      <w:sz w:val="20"/>
      <w:szCs w:val="20"/>
    </w:rPr>
  </w:style>
  <w:style w:type="paragraph" w:styleId="Footer">
    <w:name w:val="footer"/>
    <w:basedOn w:val="Normal"/>
    <w:next w:val="Normal"/>
    <w:link w:val="FooterChar"/>
    <w:uiPriority w:val="99"/>
    <w:unhideWhenUsed/>
    <w:rsid w:val="00801B34"/>
    <w:pPr>
      <w:tabs>
        <w:tab w:val="center" w:pos="4513"/>
        <w:tab w:val="right" w:pos="9026"/>
      </w:tabs>
      <w:spacing w:after="120" w:line="170" w:lineRule="exact"/>
      <w:ind w:right="1701"/>
    </w:pPr>
    <w:rPr>
      <w:sz w:val="15"/>
    </w:rPr>
  </w:style>
  <w:style w:type="numbering" w:styleId="1ai">
    <w:name w:val="Outline List 1"/>
    <w:basedOn w:val="NoList"/>
    <w:uiPriority w:val="99"/>
    <w:semiHidden/>
    <w:unhideWhenUsed/>
    <w:rsid w:val="001C67EF"/>
    <w:pPr>
      <w:numPr>
        <w:numId w:val="27"/>
      </w:numPr>
    </w:pPr>
  </w:style>
  <w:style w:type="character" w:customStyle="1" w:styleId="QuoteChar">
    <w:name w:val="Quote Char"/>
    <w:basedOn w:val="DefaultParagraphFont"/>
    <w:link w:val="Quote"/>
    <w:uiPriority w:val="73"/>
    <w:rsid w:val="000F18C6"/>
    <w:rPr>
      <w:rFonts w:asciiTheme="minorHAnsi" w:eastAsia="Times" w:hAnsiTheme="minorHAnsi" w:cs="Arial"/>
      <w:color w:val="000000" w:themeColor="text1"/>
      <w:sz w:val="30"/>
      <w:szCs w:val="30"/>
    </w:rPr>
  </w:style>
  <w:style w:type="character" w:customStyle="1" w:styleId="FooterChar">
    <w:name w:val="Footer Char"/>
    <w:basedOn w:val="DefaultParagraphFont"/>
    <w:link w:val="Footer"/>
    <w:uiPriority w:val="99"/>
    <w:rsid w:val="00801B34"/>
    <w:rPr>
      <w:rFonts w:asciiTheme="minorHAnsi" w:eastAsia="Times" w:hAnsiTheme="minorHAnsi" w:cs="Arial"/>
      <w:color w:val="000000" w:themeColor="text1"/>
      <w:sz w:val="15"/>
      <w:szCs w:val="21"/>
    </w:rPr>
  </w:style>
  <w:style w:type="paragraph" w:styleId="TableofFigures">
    <w:name w:val="table of figures"/>
    <w:basedOn w:val="Normal"/>
    <w:next w:val="Normal"/>
    <w:uiPriority w:val="99"/>
    <w:unhideWhenUsed/>
    <w:qFormat/>
    <w:rsid w:val="00C11BA5"/>
    <w:pPr>
      <w:spacing w:before="40" w:after="80" w:line="240" w:lineRule="exact"/>
      <w:ind w:left="113"/>
    </w:pPr>
    <w:rPr>
      <w:sz w:val="20"/>
      <w:szCs w:val="20"/>
      <w:lang w:eastAsia="en-AU"/>
    </w:rPr>
  </w:style>
  <w:style w:type="table" w:styleId="TableGrid">
    <w:name w:val="Table Grid"/>
    <w:basedOn w:val="TableNormal"/>
    <w:rsid w:val="00043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F17C3"/>
    <w:rPr>
      <w:rFonts w:ascii="VIC" w:eastAsia="Times" w:hAnsi="VIC" w:cs="Arial"/>
      <w:color w:val="000000" w:themeColor="text1"/>
      <w:sz w:val="21"/>
      <w:szCs w:val="21"/>
    </w:rPr>
  </w:style>
  <w:style w:type="paragraph" w:styleId="TOCHeading">
    <w:name w:val="TOC Heading"/>
    <w:basedOn w:val="Heading1"/>
    <w:next w:val="Normal"/>
    <w:uiPriority w:val="39"/>
    <w:unhideWhenUsed/>
    <w:rsid w:val="001603D1"/>
    <w:pPr>
      <w:spacing w:after="560"/>
      <w:outlineLvl w:val="9"/>
    </w:pPr>
    <w:rPr>
      <w:sz w:val="40"/>
    </w:rPr>
  </w:style>
  <w:style w:type="paragraph" w:styleId="TOC2">
    <w:name w:val="toc 2"/>
    <w:basedOn w:val="Normal"/>
    <w:next w:val="Normal"/>
    <w:link w:val="TOC2Char"/>
    <w:autoRedefine/>
    <w:uiPriority w:val="39"/>
    <w:unhideWhenUsed/>
    <w:rsid w:val="004200F4"/>
    <w:pPr>
      <w:pBdr>
        <w:bottom w:val="single" w:sz="4" w:space="4" w:color="FFFFFF" w:themeColor="background1"/>
      </w:pBdr>
      <w:tabs>
        <w:tab w:val="right" w:pos="9065"/>
      </w:tabs>
      <w:spacing w:after="80" w:line="240" w:lineRule="exact"/>
      <w:ind w:right="567"/>
    </w:pPr>
    <w:rPr>
      <w:noProof/>
      <w:sz w:val="18"/>
      <w:szCs w:val="20"/>
    </w:rPr>
  </w:style>
  <w:style w:type="paragraph" w:styleId="TOC1">
    <w:name w:val="toc 1"/>
    <w:basedOn w:val="Normal"/>
    <w:next w:val="Normal"/>
    <w:autoRedefine/>
    <w:uiPriority w:val="39"/>
    <w:unhideWhenUsed/>
    <w:rsid w:val="007537C2"/>
    <w:pPr>
      <w:pBdr>
        <w:top w:val="single" w:sz="4" w:space="7" w:color="BCC0BC" w:themeColor="background2" w:themeShade="D9"/>
      </w:pBdr>
      <w:tabs>
        <w:tab w:val="right" w:pos="9072"/>
      </w:tabs>
      <w:spacing w:before="120" w:after="80"/>
    </w:pPr>
    <w:rPr>
      <w:rFonts w:asciiTheme="majorHAnsi" w:hAnsiTheme="majorHAnsi"/>
      <w:bCs/>
      <w:noProof/>
      <w:color w:val="0075BD" w:themeColor="accent2"/>
      <w:szCs w:val="20"/>
    </w:rPr>
  </w:style>
  <w:style w:type="character" w:styleId="Hyperlink">
    <w:name w:val="Hyperlink"/>
    <w:basedOn w:val="DefaultParagraphFont"/>
    <w:uiPriority w:val="99"/>
    <w:unhideWhenUsed/>
    <w:qFormat/>
    <w:rsid w:val="00B96906"/>
    <w:rPr>
      <w:rFonts w:asciiTheme="minorHAnsi" w:hAnsiTheme="minorHAnsi"/>
      <w:color w:val="000000" w:themeColor="text1"/>
      <w:u w:val="single"/>
    </w:rPr>
  </w:style>
  <w:style w:type="paragraph" w:styleId="BlockText">
    <w:name w:val="Block Text"/>
    <w:basedOn w:val="Normal"/>
    <w:uiPriority w:val="99"/>
    <w:unhideWhenUsed/>
    <w:qFormat/>
    <w:rsid w:val="000F18C6"/>
    <w:pPr>
      <w:pBdr>
        <w:left w:val="single" w:sz="6" w:space="12" w:color="F99D2A" w:themeColor="accent3"/>
      </w:pBdr>
      <w:spacing w:before="200" w:after="180"/>
      <w:ind w:left="284" w:right="1134"/>
    </w:pPr>
    <w:rPr>
      <w:sz w:val="24"/>
    </w:rPr>
  </w:style>
  <w:style w:type="numbering" w:customStyle="1" w:styleId="CurrentList4">
    <w:name w:val="Current List4"/>
    <w:uiPriority w:val="99"/>
    <w:rsid w:val="00C26538"/>
    <w:pPr>
      <w:numPr>
        <w:numId w:val="17"/>
      </w:numPr>
    </w:pPr>
  </w:style>
  <w:style w:type="character" w:styleId="FollowedHyperlink">
    <w:name w:val="FollowedHyperlink"/>
    <w:basedOn w:val="DefaultParagraphFont"/>
    <w:uiPriority w:val="99"/>
    <w:semiHidden/>
    <w:unhideWhenUsed/>
    <w:rsid w:val="00A36012"/>
    <w:rPr>
      <w:rFonts w:asciiTheme="minorHAnsi" w:hAnsiTheme="minorHAnsi"/>
      <w:color w:val="782B90" w:themeColor="followedHyperlink"/>
      <w:u w:val="single"/>
    </w:rPr>
  </w:style>
  <w:style w:type="paragraph" w:styleId="Subtitle">
    <w:name w:val="Subtitle"/>
    <w:basedOn w:val="Heading2"/>
    <w:next w:val="Normal"/>
    <w:link w:val="SubtitleChar"/>
    <w:uiPriority w:val="11"/>
    <w:rsid w:val="00DC58AF"/>
    <w:pPr>
      <w:spacing w:before="240" w:after="120" w:line="480" w:lineRule="exact"/>
      <w:ind w:right="2268"/>
      <w:outlineLvl w:val="9"/>
    </w:pPr>
    <w:rPr>
      <w:color w:val="FFFFFF" w:themeColor="background1"/>
      <w:sz w:val="40"/>
      <w:szCs w:val="40"/>
    </w:rPr>
  </w:style>
  <w:style w:type="character" w:customStyle="1" w:styleId="SubtitleChar">
    <w:name w:val="Subtitle Char"/>
    <w:basedOn w:val="DefaultParagraphFont"/>
    <w:link w:val="Subtitle"/>
    <w:uiPriority w:val="11"/>
    <w:rsid w:val="00DC58AF"/>
    <w:rPr>
      <w:rFonts w:asciiTheme="majorHAnsi" w:eastAsia="Times" w:hAnsiTheme="majorHAnsi" w:cs="Arial"/>
      <w:color w:val="FFFFFF" w:themeColor="background1"/>
      <w:spacing w:val="-1"/>
      <w:sz w:val="40"/>
      <w:szCs w:val="40"/>
    </w:rPr>
  </w:style>
  <w:style w:type="numbering" w:customStyle="1" w:styleId="CurrentList6">
    <w:name w:val="Current List6"/>
    <w:uiPriority w:val="99"/>
    <w:rsid w:val="002F6A6E"/>
    <w:pPr>
      <w:numPr>
        <w:numId w:val="32"/>
      </w:numPr>
    </w:pPr>
  </w:style>
  <w:style w:type="character" w:customStyle="1" w:styleId="FootnoteTextChar">
    <w:name w:val="Footnote Text Char"/>
    <w:basedOn w:val="DefaultParagraphFont"/>
    <w:link w:val="FootnoteText"/>
    <w:uiPriority w:val="8"/>
    <w:semiHidden/>
    <w:rsid w:val="001603D1"/>
    <w:rPr>
      <w:rFonts w:asciiTheme="minorHAnsi" w:eastAsia="Times" w:hAnsiTheme="minorHAnsi" w:cs="Arial"/>
      <w:color w:val="000000" w:themeColor="text1"/>
      <w:sz w:val="15"/>
    </w:rPr>
  </w:style>
  <w:style w:type="character" w:styleId="FootnoteReference">
    <w:name w:val="footnote reference"/>
    <w:basedOn w:val="DefaultParagraphFont"/>
    <w:uiPriority w:val="99"/>
    <w:unhideWhenUsed/>
    <w:rsid w:val="00C11BA5"/>
    <w:rPr>
      <w:rFonts w:asciiTheme="minorHAnsi" w:hAnsiTheme="minorHAnsi"/>
      <w:szCs w:val="20"/>
      <w:bdr w:val="none" w:sz="0" w:space="0" w:color="auto"/>
      <w:vertAlign w:val="superscript"/>
    </w:rPr>
  </w:style>
  <w:style w:type="numbering" w:styleId="111111">
    <w:name w:val="Outline List 2"/>
    <w:basedOn w:val="NoList"/>
    <w:uiPriority w:val="99"/>
    <w:semiHidden/>
    <w:unhideWhenUsed/>
    <w:rsid w:val="001C67EF"/>
    <w:pPr>
      <w:numPr>
        <w:numId w:val="28"/>
      </w:numPr>
    </w:pPr>
  </w:style>
  <w:style w:type="character" w:customStyle="1" w:styleId="EndnoteTextChar">
    <w:name w:val="Endnote Text Char"/>
    <w:basedOn w:val="DefaultParagraphFont"/>
    <w:link w:val="EndnoteText"/>
    <w:uiPriority w:val="99"/>
    <w:semiHidden/>
    <w:rsid w:val="001C67EF"/>
    <w:rPr>
      <w:rFonts w:asciiTheme="minorHAnsi" w:eastAsia="Times" w:hAnsiTheme="minorHAnsi" w:cs="Arial"/>
      <w:color w:val="000000" w:themeColor="text1"/>
    </w:rPr>
  </w:style>
  <w:style w:type="character" w:styleId="EndnoteReference">
    <w:name w:val="endnote reference"/>
    <w:basedOn w:val="DefaultParagraphFont"/>
    <w:uiPriority w:val="99"/>
    <w:semiHidden/>
    <w:unhideWhenUsed/>
    <w:rsid w:val="001C67EF"/>
    <w:rPr>
      <w:rFonts w:asciiTheme="minorHAnsi" w:hAnsiTheme="minorHAnsi"/>
      <w:vertAlign w:val="superscript"/>
    </w:rPr>
  </w:style>
  <w:style w:type="character" w:customStyle="1" w:styleId="TOC2Char">
    <w:name w:val="TOC 2 Char"/>
    <w:basedOn w:val="DefaultParagraphFont"/>
    <w:link w:val="TOC2"/>
    <w:uiPriority w:val="39"/>
    <w:rsid w:val="004200F4"/>
    <w:rPr>
      <w:rFonts w:asciiTheme="minorHAnsi" w:eastAsia="Times" w:hAnsiTheme="minorHAnsi" w:cs="Arial"/>
      <w:noProof/>
      <w:color w:val="000000" w:themeColor="text1"/>
      <w:sz w:val="18"/>
    </w:rPr>
  </w:style>
  <w:style w:type="numbering" w:customStyle="1" w:styleId="CurrentList5">
    <w:name w:val="Current List5"/>
    <w:uiPriority w:val="99"/>
    <w:rsid w:val="0057453D"/>
    <w:pPr>
      <w:numPr>
        <w:numId w:val="31"/>
      </w:numPr>
    </w:pPr>
  </w:style>
  <w:style w:type="paragraph" w:styleId="List">
    <w:name w:val="List"/>
    <w:basedOn w:val="Normal"/>
    <w:uiPriority w:val="99"/>
    <w:unhideWhenUsed/>
    <w:qFormat/>
    <w:rsid w:val="002F6A6E"/>
    <w:pPr>
      <w:numPr>
        <w:numId w:val="30"/>
      </w:numPr>
      <w:contextualSpacing/>
    </w:pPr>
    <w:rPr>
      <w:color w:val="auto"/>
    </w:rPr>
  </w:style>
  <w:style w:type="paragraph" w:styleId="List2">
    <w:name w:val="List 2"/>
    <w:basedOn w:val="Normal"/>
    <w:uiPriority w:val="99"/>
    <w:unhideWhenUsed/>
    <w:qFormat/>
    <w:rsid w:val="002F6A6E"/>
    <w:pPr>
      <w:numPr>
        <w:numId w:val="33"/>
      </w:numPr>
      <w:ind w:left="568"/>
      <w:contextualSpacing/>
    </w:pPr>
    <w:rPr>
      <w:color w:val="auto"/>
    </w:rPr>
  </w:style>
  <w:style w:type="paragraph" w:styleId="Date">
    <w:name w:val="Date"/>
    <w:basedOn w:val="Heading7"/>
    <w:next w:val="Normal"/>
    <w:link w:val="DateChar"/>
    <w:uiPriority w:val="99"/>
    <w:unhideWhenUsed/>
    <w:qFormat/>
    <w:rsid w:val="00D11DC5"/>
    <w:pPr>
      <w:spacing w:before="240" w:line="220" w:lineRule="exact"/>
      <w:ind w:right="4536"/>
    </w:pPr>
    <w:rPr>
      <w:rFonts w:asciiTheme="minorHAnsi" w:hAnsiTheme="minorHAnsi"/>
      <w:color w:val="FFFFFF" w:themeColor="background1"/>
      <w:sz w:val="18"/>
      <w:szCs w:val="18"/>
    </w:rPr>
  </w:style>
  <w:style w:type="character" w:customStyle="1" w:styleId="DateChar">
    <w:name w:val="Date Char"/>
    <w:basedOn w:val="DefaultParagraphFont"/>
    <w:link w:val="Date"/>
    <w:uiPriority w:val="99"/>
    <w:rsid w:val="00D11DC5"/>
    <w:rPr>
      <w:rFonts w:asciiTheme="minorHAnsi" w:eastAsia="Times" w:hAnsiTheme="minorHAnsi" w:cs="Arial"/>
      <w:color w:val="FFFFFF" w:themeColor="background1"/>
      <w:sz w:val="18"/>
      <w:szCs w:val="18"/>
    </w:rPr>
  </w:style>
  <w:style w:type="paragraph" w:customStyle="1" w:styleId="Bullet1">
    <w:name w:val="Bullet 1"/>
    <w:uiPriority w:val="1"/>
    <w:qFormat/>
    <w:rsid w:val="00EC3A39"/>
    <w:pPr>
      <w:numPr>
        <w:numId w:val="34"/>
      </w:numPr>
      <w:spacing w:before="100" w:after="100" w:line="264" w:lineRule="auto"/>
      <w:contextualSpacing/>
    </w:pPr>
    <w:rPr>
      <w:rFonts w:asciiTheme="minorHAnsi" w:hAnsiTheme="minorHAnsi" w:cs="Calibri"/>
      <w:color w:val="000000" w:themeColor="text1"/>
      <w:lang w:eastAsia="en-AU"/>
    </w:rPr>
  </w:style>
  <w:style w:type="paragraph" w:customStyle="1" w:styleId="Bullet2">
    <w:name w:val="Bullet 2"/>
    <w:basedOn w:val="Bullet1"/>
    <w:uiPriority w:val="1"/>
    <w:qFormat/>
    <w:rsid w:val="00EC3A39"/>
    <w:pPr>
      <w:numPr>
        <w:ilvl w:val="1"/>
      </w:numPr>
    </w:pPr>
  </w:style>
  <w:style w:type="paragraph" w:customStyle="1" w:styleId="Bulletindent">
    <w:name w:val="Bullet indent"/>
    <w:basedOn w:val="Bullet2"/>
    <w:uiPriority w:val="9"/>
    <w:qFormat/>
    <w:rsid w:val="00EC3A39"/>
    <w:pPr>
      <w:numPr>
        <w:ilvl w:val="2"/>
      </w:numPr>
    </w:pPr>
  </w:style>
  <w:style w:type="paragraph" w:customStyle="1" w:styleId="Bulletindent2">
    <w:name w:val="Bullet indent 2"/>
    <w:basedOn w:val="Normal"/>
    <w:uiPriority w:val="9"/>
    <w:qFormat/>
    <w:rsid w:val="00EC3A39"/>
    <w:pPr>
      <w:numPr>
        <w:ilvl w:val="3"/>
        <w:numId w:val="34"/>
      </w:numPr>
      <w:snapToGrid/>
      <w:spacing w:before="100" w:after="120" w:line="264" w:lineRule="auto"/>
      <w:contextualSpacing/>
    </w:pPr>
    <w:rPr>
      <w:rFonts w:eastAsiaTheme="minorEastAsia" w:cstheme="minorBidi"/>
      <w:sz w:val="20"/>
      <w:szCs w:val="20"/>
      <w:lang w:eastAsia="en-AU"/>
    </w:rPr>
  </w:style>
  <w:style w:type="table" w:customStyle="1" w:styleId="DTFtexttable">
    <w:name w:val="DTF text table"/>
    <w:basedOn w:val="TableNormal"/>
    <w:uiPriority w:val="99"/>
    <w:rsid w:val="00EC3A39"/>
    <w:pPr>
      <w:spacing w:before="30" w:after="30" w:line="264" w:lineRule="auto"/>
    </w:pPr>
    <w:rPr>
      <w:rFonts w:asciiTheme="minorHAnsi" w:eastAsiaTheme="minorHAnsi" w:hAnsiTheme="minorHAnsi" w:cstheme="minorBidi"/>
      <w:spacing w:val="2"/>
      <w:sz w:val="17"/>
      <w:szCs w:val="21"/>
    </w:rPr>
    <w:tblPr>
      <w:tblStyleRowBandSize w:val="1"/>
      <w:tblStyleColBandSize w:val="1"/>
      <w:tblBorders>
        <w:bottom w:val="single" w:sz="12" w:space="0" w:color="0075BD" w:themeColor="accent2"/>
        <w:insideH w:val="single" w:sz="6" w:space="0" w:color="A6A6A6" w:themeColor="background1" w:themeShade="A6"/>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b/>
        <w:i w:val="0"/>
        <w:color w:val="auto"/>
        <w:sz w:val="18"/>
      </w:rPr>
      <w:tblPr/>
      <w:tcPr>
        <w:shd w:val="clear" w:color="auto" w:fill="DFE1DF" w:themeFill="background2"/>
      </w:tcPr>
    </w:tblStylePr>
    <w:tblStylePr w:type="lastRow">
      <w:rPr>
        <w:b/>
      </w:rPr>
      <w:tblPr/>
      <w:tcPr>
        <w:tcBorders>
          <w:top w:val="single" w:sz="6" w:space="0" w:color="0075BD" w:themeColor="accent2"/>
          <w:left w:val="nil"/>
          <w:bottom w:val="single" w:sz="12" w:space="0" w:color="0075BD" w:themeColor="accent2"/>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paragraph" w:customStyle="1" w:styleId="Bullet">
    <w:name w:val="Bullet"/>
    <w:basedOn w:val="Normal"/>
    <w:rsid w:val="00EC3A39"/>
    <w:pPr>
      <w:numPr>
        <w:numId w:val="35"/>
      </w:numPr>
      <w:snapToGrid/>
      <w:spacing w:before="240" w:after="0" w:line="240" w:lineRule="auto"/>
    </w:pPr>
    <w:rPr>
      <w:rFonts w:ascii="Arial" w:eastAsia="Times New Roman" w:hAnsi="Arial" w:cs="Times New Roman"/>
      <w:color w:val="auto"/>
      <w:sz w:val="18"/>
      <w:szCs w:val="20"/>
      <w:lang w:val="en-US"/>
    </w:rPr>
  </w:style>
  <w:style w:type="paragraph" w:customStyle="1" w:styleId="BulletLevel2">
    <w:name w:val="Bullet Level 2"/>
    <w:basedOn w:val="Normal"/>
    <w:rsid w:val="00EC3A39"/>
    <w:pPr>
      <w:numPr>
        <w:ilvl w:val="1"/>
        <w:numId w:val="35"/>
      </w:numPr>
      <w:snapToGrid/>
      <w:spacing w:before="240" w:after="0" w:line="240" w:lineRule="auto"/>
    </w:pPr>
    <w:rPr>
      <w:rFonts w:ascii="Arial" w:eastAsia="Times New Roman" w:hAnsi="Arial" w:cs="Times New Roman"/>
      <w:color w:val="auto"/>
      <w:sz w:val="18"/>
      <w:szCs w:val="20"/>
    </w:rPr>
  </w:style>
  <w:style w:type="paragraph" w:customStyle="1" w:styleId="BulletLevel3">
    <w:name w:val="Bullet Level 3"/>
    <w:basedOn w:val="Normal"/>
    <w:rsid w:val="00EC3A39"/>
    <w:pPr>
      <w:numPr>
        <w:ilvl w:val="2"/>
        <w:numId w:val="35"/>
      </w:numPr>
      <w:snapToGrid/>
      <w:spacing w:before="240" w:after="0" w:line="240" w:lineRule="auto"/>
    </w:pPr>
    <w:rPr>
      <w:rFonts w:ascii="Arial" w:eastAsia="Times New Roman" w:hAnsi="Arial" w:cs="Times New Roman"/>
      <w:color w:val="auto"/>
      <w:sz w:val="18"/>
      <w:szCs w:val="20"/>
    </w:rPr>
  </w:style>
  <w:style w:type="paragraph" w:customStyle="1" w:styleId="Heading1numbered">
    <w:name w:val="Heading 1 numbered"/>
    <w:basedOn w:val="Heading1"/>
    <w:next w:val="NormalIndent"/>
    <w:uiPriority w:val="8"/>
    <w:qFormat/>
    <w:rsid w:val="00EC3A39"/>
    <w:pPr>
      <w:keepNext/>
      <w:keepLines/>
      <w:pageBreakBefore w:val="0"/>
      <w:numPr>
        <w:ilvl w:val="2"/>
        <w:numId w:val="36"/>
      </w:numPr>
      <w:tabs>
        <w:tab w:val="clear" w:pos="792"/>
        <w:tab w:val="num" w:pos="360"/>
      </w:tabs>
      <w:snapToGrid/>
      <w:spacing w:before="360" w:after="120" w:line="276" w:lineRule="auto"/>
      <w:ind w:left="0" w:right="0" w:firstLine="0"/>
    </w:pPr>
    <w:rPr>
      <w:rFonts w:eastAsiaTheme="majorEastAsia" w:cstheme="majorBidi"/>
      <w:sz w:val="36"/>
      <w:szCs w:val="28"/>
      <w:lang w:eastAsia="en-AU"/>
    </w:rPr>
  </w:style>
  <w:style w:type="paragraph" w:customStyle="1" w:styleId="Heading2numbered">
    <w:name w:val="Heading 2 numbered"/>
    <w:basedOn w:val="Heading2"/>
    <w:next w:val="NormalIndent"/>
    <w:uiPriority w:val="8"/>
    <w:qFormat/>
    <w:rsid w:val="00EC3A39"/>
    <w:pPr>
      <w:keepNext/>
      <w:keepLines/>
      <w:numPr>
        <w:ilvl w:val="3"/>
        <w:numId w:val="36"/>
      </w:numPr>
      <w:tabs>
        <w:tab w:val="clear" w:pos="792"/>
        <w:tab w:val="num" w:pos="360"/>
      </w:tabs>
      <w:snapToGrid/>
      <w:spacing w:before="280" w:after="120" w:line="264" w:lineRule="auto"/>
      <w:ind w:left="0" w:right="0" w:firstLine="0"/>
    </w:pPr>
    <w:rPr>
      <w:rFonts w:eastAsiaTheme="majorEastAsia" w:cstheme="majorBidi"/>
      <w:b/>
      <w:bCs/>
      <w:color w:val="545759" w:themeColor="text2"/>
      <w:spacing w:val="0"/>
      <w:sz w:val="28"/>
      <w:szCs w:val="26"/>
      <w:lang w:eastAsia="en-AU"/>
    </w:rPr>
  </w:style>
  <w:style w:type="paragraph" w:customStyle="1" w:styleId="Heading3numbered">
    <w:name w:val="Heading 3 numbered"/>
    <w:basedOn w:val="Heading3"/>
    <w:next w:val="NormalIndent"/>
    <w:uiPriority w:val="8"/>
    <w:qFormat/>
    <w:rsid w:val="00EC3A39"/>
    <w:pPr>
      <w:keepNext/>
      <w:keepLines/>
      <w:numPr>
        <w:ilvl w:val="4"/>
        <w:numId w:val="36"/>
      </w:numPr>
      <w:tabs>
        <w:tab w:val="clear" w:pos="792"/>
        <w:tab w:val="num" w:pos="360"/>
      </w:tabs>
      <w:snapToGrid/>
      <w:spacing w:before="240" w:after="120" w:line="264" w:lineRule="auto"/>
      <w:ind w:left="0" w:right="0" w:firstLine="0"/>
    </w:pPr>
    <w:rPr>
      <w:rFonts w:eastAsiaTheme="majorEastAsia" w:cstheme="majorBidi"/>
      <w:bCs/>
      <w:color w:val="545759" w:themeColor="text2"/>
      <w:sz w:val="24"/>
      <w:lang w:eastAsia="en-AU"/>
    </w:rPr>
  </w:style>
  <w:style w:type="paragraph" w:customStyle="1" w:styleId="Heading4numbered">
    <w:name w:val="Heading 4 numbered"/>
    <w:basedOn w:val="Heading4"/>
    <w:next w:val="NormalIndent"/>
    <w:uiPriority w:val="8"/>
    <w:qFormat/>
    <w:rsid w:val="00EC3A39"/>
    <w:pPr>
      <w:keepNext/>
      <w:keepLines/>
      <w:numPr>
        <w:ilvl w:val="5"/>
        <w:numId w:val="36"/>
      </w:numPr>
      <w:tabs>
        <w:tab w:val="clear" w:pos="792"/>
        <w:tab w:val="num" w:pos="360"/>
      </w:tabs>
      <w:snapToGrid/>
      <w:spacing w:before="200" w:after="120" w:line="264" w:lineRule="auto"/>
      <w:ind w:left="0" w:firstLine="0"/>
    </w:pPr>
    <w:rPr>
      <w:rFonts w:eastAsiaTheme="majorEastAsia" w:cstheme="majorBidi"/>
      <w:b/>
      <w:bCs/>
      <w:iCs/>
      <w:color w:val="545759" w:themeColor="text2"/>
      <w:spacing w:val="0"/>
      <w:sz w:val="21"/>
      <w:szCs w:val="21"/>
      <w:lang w:eastAsia="en-AU"/>
    </w:rPr>
  </w:style>
  <w:style w:type="paragraph" w:customStyle="1" w:styleId="Listnumindent2">
    <w:name w:val="List num indent 2"/>
    <w:basedOn w:val="Normal"/>
    <w:uiPriority w:val="9"/>
    <w:qFormat/>
    <w:rsid w:val="00EC3A39"/>
    <w:pPr>
      <w:numPr>
        <w:ilvl w:val="7"/>
        <w:numId w:val="36"/>
      </w:numPr>
      <w:snapToGrid/>
      <w:spacing w:before="100" w:after="120" w:line="264" w:lineRule="auto"/>
      <w:contextualSpacing/>
    </w:pPr>
    <w:rPr>
      <w:rFonts w:eastAsiaTheme="minorEastAsia" w:cstheme="minorBidi"/>
      <w:sz w:val="20"/>
      <w:szCs w:val="20"/>
      <w:lang w:eastAsia="en-AU"/>
    </w:rPr>
  </w:style>
  <w:style w:type="paragraph" w:customStyle="1" w:styleId="Listnumindent">
    <w:name w:val="List num indent"/>
    <w:basedOn w:val="Normal"/>
    <w:uiPriority w:val="9"/>
    <w:qFormat/>
    <w:rsid w:val="00EC3A39"/>
    <w:pPr>
      <w:numPr>
        <w:ilvl w:val="6"/>
        <w:numId w:val="36"/>
      </w:numPr>
      <w:snapToGrid/>
      <w:spacing w:before="100" w:after="120" w:line="264" w:lineRule="auto"/>
    </w:pPr>
    <w:rPr>
      <w:rFonts w:eastAsiaTheme="minorEastAsia" w:cstheme="minorBidi"/>
      <w:sz w:val="20"/>
      <w:szCs w:val="20"/>
      <w:lang w:eastAsia="en-AU"/>
    </w:rPr>
  </w:style>
  <w:style w:type="paragraph" w:customStyle="1" w:styleId="Listnum">
    <w:name w:val="List num"/>
    <w:basedOn w:val="Normal"/>
    <w:uiPriority w:val="2"/>
    <w:qFormat/>
    <w:rsid w:val="00EC3A39"/>
    <w:pPr>
      <w:numPr>
        <w:numId w:val="36"/>
      </w:numPr>
      <w:snapToGrid/>
      <w:spacing w:before="120" w:after="120" w:line="264" w:lineRule="auto"/>
    </w:pPr>
    <w:rPr>
      <w:rFonts w:eastAsiaTheme="minorEastAsia" w:cstheme="minorBidi"/>
      <w:sz w:val="20"/>
      <w:szCs w:val="20"/>
      <w:lang w:eastAsia="en-AU"/>
    </w:rPr>
  </w:style>
  <w:style w:type="paragraph" w:customStyle="1" w:styleId="Listnum2">
    <w:name w:val="List num 2"/>
    <w:basedOn w:val="Normal"/>
    <w:uiPriority w:val="2"/>
    <w:qFormat/>
    <w:rsid w:val="00EC3A39"/>
    <w:pPr>
      <w:numPr>
        <w:ilvl w:val="1"/>
        <w:numId w:val="36"/>
      </w:numPr>
      <w:snapToGrid/>
      <w:spacing w:before="120" w:after="120" w:line="264" w:lineRule="auto"/>
    </w:pPr>
    <w:rPr>
      <w:rFonts w:eastAsiaTheme="minorEastAsia" w:cstheme="minorBidi"/>
      <w:sz w:val="20"/>
      <w:szCs w:val="20"/>
      <w:lang w:eastAsia="en-AU"/>
    </w:rPr>
  </w:style>
  <w:style w:type="paragraph" w:customStyle="1" w:styleId="Numparaindent">
    <w:name w:val="Num para indent"/>
    <w:basedOn w:val="Normal"/>
    <w:uiPriority w:val="9"/>
    <w:qFormat/>
    <w:rsid w:val="00EC3A39"/>
    <w:pPr>
      <w:numPr>
        <w:ilvl w:val="8"/>
        <w:numId w:val="36"/>
      </w:numPr>
      <w:snapToGrid/>
      <w:spacing w:before="120" w:after="120" w:line="264" w:lineRule="auto"/>
      <w:contextualSpacing/>
    </w:pPr>
    <w:rPr>
      <w:rFonts w:eastAsiaTheme="minorEastAsia" w:cstheme="minorBidi"/>
      <w:sz w:val="20"/>
      <w:szCs w:val="20"/>
      <w:lang w:eastAsia="en-AU"/>
    </w:rPr>
  </w:style>
  <w:style w:type="paragraph" w:customStyle="1" w:styleId="NormalSpace">
    <w:name w:val="Normal+Space"/>
    <w:basedOn w:val="Normal"/>
    <w:rsid w:val="00EC3A39"/>
    <w:pPr>
      <w:snapToGrid/>
      <w:spacing w:before="120" w:after="0" w:line="240" w:lineRule="auto"/>
    </w:pPr>
    <w:rPr>
      <w:rFonts w:ascii="Arial" w:eastAsia="Times New Roman" w:hAnsi="Arial" w:cs="Times New Roman"/>
      <w:color w:val="auto"/>
      <w:sz w:val="18"/>
      <w:szCs w:val="20"/>
    </w:rPr>
  </w:style>
  <w:style w:type="character" w:customStyle="1" w:styleId="NormalSpaceCharCharChar">
    <w:name w:val="Normal+Space Char Char Char"/>
    <w:link w:val="NormalSpaceCharChar"/>
    <w:locked/>
    <w:rsid w:val="00EC3A39"/>
    <w:rPr>
      <w:rFonts w:ascii="Arial" w:hAnsi="Arial"/>
      <w:sz w:val="18"/>
    </w:rPr>
  </w:style>
  <w:style w:type="paragraph" w:customStyle="1" w:styleId="NormalSpaceCharChar">
    <w:name w:val="Normal+Space Char Char"/>
    <w:basedOn w:val="Normal"/>
    <w:link w:val="NormalSpaceCharCharChar"/>
    <w:rsid w:val="00EC3A39"/>
    <w:pPr>
      <w:snapToGrid/>
      <w:spacing w:before="120" w:after="0" w:line="240" w:lineRule="auto"/>
    </w:pPr>
    <w:rPr>
      <w:rFonts w:ascii="Arial" w:eastAsia="Times New Roman" w:hAnsi="Arial" w:cs="Times New Roman"/>
      <w:color w:val="auto"/>
      <w:sz w:val="18"/>
      <w:szCs w:val="20"/>
    </w:rPr>
  </w:style>
  <w:style w:type="paragraph" w:styleId="NormalIndent">
    <w:name w:val="Normal Indent"/>
    <w:basedOn w:val="Normal"/>
    <w:uiPriority w:val="99"/>
    <w:semiHidden/>
    <w:unhideWhenUsed/>
    <w:rsid w:val="00EC3A39"/>
    <w:pPr>
      <w:ind w:left="720"/>
    </w:pPr>
  </w:style>
  <w:style w:type="paragraph" w:styleId="Header">
    <w:name w:val="header"/>
    <w:basedOn w:val="Normal"/>
    <w:link w:val="HeaderChar"/>
    <w:uiPriority w:val="99"/>
    <w:unhideWhenUsed/>
    <w:rsid w:val="00492B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2B14"/>
    <w:rPr>
      <w:rFonts w:asciiTheme="minorHAnsi" w:eastAsia="Times" w:hAnsiTheme="minorHAnsi" w:cs="Arial"/>
      <w:color w:val="000000" w:themeColor="text1"/>
      <w:sz w:val="22"/>
      <w:szCs w:val="21"/>
    </w:rPr>
  </w:style>
  <w:style w:type="character" w:customStyle="1" w:styleId="ui-provider">
    <w:name w:val="ui-provider"/>
    <w:basedOn w:val="DefaultParagraphFont"/>
    <w:rsid w:val="00C96863"/>
  </w:style>
  <w:style w:type="character" w:styleId="CommentReference">
    <w:name w:val="annotation reference"/>
    <w:basedOn w:val="DefaultParagraphFont"/>
    <w:uiPriority w:val="99"/>
    <w:semiHidden/>
    <w:unhideWhenUsed/>
    <w:rsid w:val="003E4189"/>
    <w:rPr>
      <w:sz w:val="16"/>
      <w:szCs w:val="16"/>
    </w:rPr>
  </w:style>
  <w:style w:type="paragraph" w:styleId="CommentText">
    <w:name w:val="annotation text"/>
    <w:basedOn w:val="Normal"/>
    <w:link w:val="CommentTextChar"/>
    <w:uiPriority w:val="99"/>
    <w:unhideWhenUsed/>
    <w:rsid w:val="003E4189"/>
    <w:pPr>
      <w:spacing w:line="240" w:lineRule="auto"/>
    </w:pPr>
    <w:rPr>
      <w:sz w:val="20"/>
      <w:szCs w:val="20"/>
    </w:rPr>
  </w:style>
  <w:style w:type="character" w:customStyle="1" w:styleId="CommentTextChar">
    <w:name w:val="Comment Text Char"/>
    <w:basedOn w:val="DefaultParagraphFont"/>
    <w:link w:val="CommentText"/>
    <w:uiPriority w:val="99"/>
    <w:rsid w:val="003E4189"/>
    <w:rPr>
      <w:rFonts w:asciiTheme="minorHAnsi" w:eastAsia="Times" w:hAnsiTheme="minorHAnsi" w:cs="Arial"/>
      <w:color w:val="000000" w:themeColor="text1"/>
    </w:rPr>
  </w:style>
  <w:style w:type="paragraph" w:styleId="CommentSubject">
    <w:name w:val="annotation subject"/>
    <w:basedOn w:val="CommentText"/>
    <w:next w:val="CommentText"/>
    <w:link w:val="CommentSubjectChar"/>
    <w:uiPriority w:val="99"/>
    <w:semiHidden/>
    <w:unhideWhenUsed/>
    <w:rsid w:val="003E4189"/>
    <w:rPr>
      <w:b/>
      <w:bCs/>
    </w:rPr>
  </w:style>
  <w:style w:type="character" w:customStyle="1" w:styleId="CommentSubjectChar">
    <w:name w:val="Comment Subject Char"/>
    <w:basedOn w:val="CommentTextChar"/>
    <w:link w:val="CommentSubject"/>
    <w:uiPriority w:val="99"/>
    <w:semiHidden/>
    <w:rsid w:val="003E4189"/>
    <w:rPr>
      <w:rFonts w:asciiTheme="minorHAnsi" w:eastAsia="Times" w:hAnsiTheme="minorHAnsi" w:cs="Arial"/>
      <w:b/>
      <w:bCs/>
      <w:color w:val="000000" w:themeColor="text1"/>
    </w:rPr>
  </w:style>
  <w:style w:type="paragraph" w:styleId="ListParagraph">
    <w:name w:val="List Paragraph"/>
    <w:basedOn w:val="Normal"/>
    <w:uiPriority w:val="34"/>
    <w:rsid w:val="00A11849"/>
    <w:pPr>
      <w:ind w:left="720"/>
      <w:contextualSpacing/>
    </w:pPr>
  </w:style>
  <w:style w:type="character" w:styleId="UnresolvedMention">
    <w:name w:val="Unresolved Mention"/>
    <w:basedOn w:val="DefaultParagraphFont"/>
    <w:uiPriority w:val="99"/>
    <w:unhideWhenUsed/>
    <w:rsid w:val="004A233A"/>
    <w:rPr>
      <w:color w:val="605E5C"/>
      <w:shd w:val="clear" w:color="auto" w:fill="E1DFDD"/>
    </w:rPr>
  </w:style>
  <w:style w:type="character" w:styleId="Mention">
    <w:name w:val="Mention"/>
    <w:basedOn w:val="DefaultParagraphFont"/>
    <w:uiPriority w:val="99"/>
    <w:unhideWhenUsed/>
    <w:rsid w:val="004A233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227947">
      <w:bodyDiv w:val="1"/>
      <w:marLeft w:val="0"/>
      <w:marRight w:val="0"/>
      <w:marTop w:val="0"/>
      <w:marBottom w:val="0"/>
      <w:divBdr>
        <w:top w:val="none" w:sz="0" w:space="0" w:color="auto"/>
        <w:left w:val="none" w:sz="0" w:space="0" w:color="auto"/>
        <w:bottom w:val="none" w:sz="0" w:space="0" w:color="auto"/>
        <w:right w:val="none" w:sz="0" w:space="0" w:color="auto"/>
      </w:divBdr>
    </w:div>
    <w:div w:id="366296356">
      <w:bodyDiv w:val="1"/>
      <w:marLeft w:val="0"/>
      <w:marRight w:val="0"/>
      <w:marTop w:val="0"/>
      <w:marBottom w:val="0"/>
      <w:divBdr>
        <w:top w:val="none" w:sz="0" w:space="0" w:color="auto"/>
        <w:left w:val="none" w:sz="0" w:space="0" w:color="auto"/>
        <w:bottom w:val="none" w:sz="0" w:space="0" w:color="auto"/>
        <w:right w:val="none" w:sz="0" w:space="0" w:color="auto"/>
      </w:divBdr>
    </w:div>
    <w:div w:id="648366029">
      <w:bodyDiv w:val="1"/>
      <w:marLeft w:val="0"/>
      <w:marRight w:val="0"/>
      <w:marTop w:val="0"/>
      <w:marBottom w:val="0"/>
      <w:divBdr>
        <w:top w:val="none" w:sz="0" w:space="0" w:color="auto"/>
        <w:left w:val="none" w:sz="0" w:space="0" w:color="auto"/>
        <w:bottom w:val="none" w:sz="0" w:space="0" w:color="auto"/>
        <w:right w:val="none" w:sz="0" w:space="0" w:color="auto"/>
      </w:divBdr>
    </w:div>
    <w:div w:id="797146318">
      <w:bodyDiv w:val="1"/>
      <w:marLeft w:val="0"/>
      <w:marRight w:val="0"/>
      <w:marTop w:val="0"/>
      <w:marBottom w:val="0"/>
      <w:divBdr>
        <w:top w:val="none" w:sz="0" w:space="0" w:color="auto"/>
        <w:left w:val="none" w:sz="0" w:space="0" w:color="auto"/>
        <w:bottom w:val="none" w:sz="0" w:space="0" w:color="auto"/>
        <w:right w:val="none" w:sz="0" w:space="0" w:color="auto"/>
      </w:divBdr>
    </w:div>
    <w:div w:id="832138994">
      <w:bodyDiv w:val="1"/>
      <w:marLeft w:val="0"/>
      <w:marRight w:val="0"/>
      <w:marTop w:val="0"/>
      <w:marBottom w:val="0"/>
      <w:divBdr>
        <w:top w:val="none" w:sz="0" w:space="0" w:color="auto"/>
        <w:left w:val="none" w:sz="0" w:space="0" w:color="auto"/>
        <w:bottom w:val="none" w:sz="0" w:space="0" w:color="auto"/>
        <w:right w:val="none" w:sz="0" w:space="0" w:color="auto"/>
      </w:divBdr>
      <w:divsChild>
        <w:div w:id="69088491">
          <w:marLeft w:val="346"/>
          <w:marRight w:val="0"/>
          <w:marTop w:val="160"/>
          <w:marBottom w:val="0"/>
          <w:divBdr>
            <w:top w:val="none" w:sz="0" w:space="0" w:color="auto"/>
            <w:left w:val="none" w:sz="0" w:space="0" w:color="auto"/>
            <w:bottom w:val="none" w:sz="0" w:space="0" w:color="auto"/>
            <w:right w:val="none" w:sz="0" w:space="0" w:color="auto"/>
          </w:divBdr>
        </w:div>
        <w:div w:id="211354884">
          <w:marLeft w:val="346"/>
          <w:marRight w:val="0"/>
          <w:marTop w:val="160"/>
          <w:marBottom w:val="0"/>
          <w:divBdr>
            <w:top w:val="none" w:sz="0" w:space="0" w:color="auto"/>
            <w:left w:val="none" w:sz="0" w:space="0" w:color="auto"/>
            <w:bottom w:val="none" w:sz="0" w:space="0" w:color="auto"/>
            <w:right w:val="none" w:sz="0" w:space="0" w:color="auto"/>
          </w:divBdr>
        </w:div>
        <w:div w:id="1030302984">
          <w:marLeft w:val="346"/>
          <w:marRight w:val="0"/>
          <w:marTop w:val="160"/>
          <w:marBottom w:val="0"/>
          <w:divBdr>
            <w:top w:val="none" w:sz="0" w:space="0" w:color="auto"/>
            <w:left w:val="none" w:sz="0" w:space="0" w:color="auto"/>
            <w:bottom w:val="none" w:sz="0" w:space="0" w:color="auto"/>
            <w:right w:val="none" w:sz="0" w:space="0" w:color="auto"/>
          </w:divBdr>
        </w:div>
      </w:divsChild>
    </w:div>
    <w:div w:id="871768512">
      <w:bodyDiv w:val="1"/>
      <w:marLeft w:val="0"/>
      <w:marRight w:val="0"/>
      <w:marTop w:val="0"/>
      <w:marBottom w:val="0"/>
      <w:divBdr>
        <w:top w:val="none" w:sz="0" w:space="0" w:color="auto"/>
        <w:left w:val="none" w:sz="0" w:space="0" w:color="auto"/>
        <w:bottom w:val="none" w:sz="0" w:space="0" w:color="auto"/>
        <w:right w:val="none" w:sz="0" w:space="0" w:color="auto"/>
      </w:divBdr>
    </w:div>
    <w:div w:id="992299839">
      <w:bodyDiv w:val="1"/>
      <w:marLeft w:val="0"/>
      <w:marRight w:val="0"/>
      <w:marTop w:val="0"/>
      <w:marBottom w:val="0"/>
      <w:divBdr>
        <w:top w:val="none" w:sz="0" w:space="0" w:color="auto"/>
        <w:left w:val="none" w:sz="0" w:space="0" w:color="auto"/>
        <w:bottom w:val="none" w:sz="0" w:space="0" w:color="auto"/>
        <w:right w:val="none" w:sz="0" w:space="0" w:color="auto"/>
      </w:divBdr>
    </w:div>
    <w:div w:id="1006900294">
      <w:bodyDiv w:val="1"/>
      <w:marLeft w:val="0"/>
      <w:marRight w:val="0"/>
      <w:marTop w:val="0"/>
      <w:marBottom w:val="0"/>
      <w:divBdr>
        <w:top w:val="none" w:sz="0" w:space="0" w:color="auto"/>
        <w:left w:val="none" w:sz="0" w:space="0" w:color="auto"/>
        <w:bottom w:val="none" w:sz="0" w:space="0" w:color="auto"/>
        <w:right w:val="none" w:sz="0" w:space="0" w:color="auto"/>
      </w:divBdr>
    </w:div>
    <w:div w:id="1332489909">
      <w:bodyDiv w:val="1"/>
      <w:marLeft w:val="0"/>
      <w:marRight w:val="0"/>
      <w:marTop w:val="0"/>
      <w:marBottom w:val="0"/>
      <w:divBdr>
        <w:top w:val="none" w:sz="0" w:space="0" w:color="auto"/>
        <w:left w:val="none" w:sz="0" w:space="0" w:color="auto"/>
        <w:bottom w:val="none" w:sz="0" w:space="0" w:color="auto"/>
        <w:right w:val="none" w:sz="0" w:space="0" w:color="auto"/>
      </w:divBdr>
    </w:div>
    <w:div w:id="1516925147">
      <w:bodyDiv w:val="1"/>
      <w:marLeft w:val="0"/>
      <w:marRight w:val="0"/>
      <w:marTop w:val="0"/>
      <w:marBottom w:val="0"/>
      <w:divBdr>
        <w:top w:val="none" w:sz="0" w:space="0" w:color="auto"/>
        <w:left w:val="none" w:sz="0" w:space="0" w:color="auto"/>
        <w:bottom w:val="none" w:sz="0" w:space="0" w:color="auto"/>
        <w:right w:val="none" w:sz="0" w:space="0" w:color="auto"/>
      </w:divBdr>
    </w:div>
    <w:div w:id="1576210346">
      <w:bodyDiv w:val="1"/>
      <w:marLeft w:val="0"/>
      <w:marRight w:val="0"/>
      <w:marTop w:val="0"/>
      <w:marBottom w:val="0"/>
      <w:divBdr>
        <w:top w:val="none" w:sz="0" w:space="0" w:color="auto"/>
        <w:left w:val="none" w:sz="0" w:space="0" w:color="auto"/>
        <w:bottom w:val="none" w:sz="0" w:space="0" w:color="auto"/>
        <w:right w:val="none" w:sz="0" w:space="0" w:color="auto"/>
      </w:divBdr>
    </w:div>
    <w:div w:id="1583568332">
      <w:bodyDiv w:val="1"/>
      <w:marLeft w:val="0"/>
      <w:marRight w:val="0"/>
      <w:marTop w:val="0"/>
      <w:marBottom w:val="0"/>
      <w:divBdr>
        <w:top w:val="none" w:sz="0" w:space="0" w:color="auto"/>
        <w:left w:val="none" w:sz="0" w:space="0" w:color="auto"/>
        <w:bottom w:val="none" w:sz="0" w:space="0" w:color="auto"/>
        <w:right w:val="none" w:sz="0" w:space="0" w:color="auto"/>
      </w:divBdr>
    </w:div>
    <w:div w:id="1603876581">
      <w:bodyDiv w:val="1"/>
      <w:marLeft w:val="0"/>
      <w:marRight w:val="0"/>
      <w:marTop w:val="0"/>
      <w:marBottom w:val="0"/>
      <w:divBdr>
        <w:top w:val="none" w:sz="0" w:space="0" w:color="auto"/>
        <w:left w:val="none" w:sz="0" w:space="0" w:color="auto"/>
        <w:bottom w:val="none" w:sz="0" w:space="0" w:color="auto"/>
        <w:right w:val="none" w:sz="0" w:space="0" w:color="auto"/>
      </w:divBdr>
    </w:div>
    <w:div w:id="1746341983">
      <w:bodyDiv w:val="1"/>
      <w:marLeft w:val="0"/>
      <w:marRight w:val="0"/>
      <w:marTop w:val="0"/>
      <w:marBottom w:val="0"/>
      <w:divBdr>
        <w:top w:val="none" w:sz="0" w:space="0" w:color="auto"/>
        <w:left w:val="none" w:sz="0" w:space="0" w:color="auto"/>
        <w:bottom w:val="none" w:sz="0" w:space="0" w:color="auto"/>
        <w:right w:val="none" w:sz="0" w:space="0" w:color="auto"/>
      </w:divBdr>
    </w:div>
    <w:div w:id="1791967988">
      <w:bodyDiv w:val="1"/>
      <w:marLeft w:val="0"/>
      <w:marRight w:val="0"/>
      <w:marTop w:val="0"/>
      <w:marBottom w:val="0"/>
      <w:divBdr>
        <w:top w:val="none" w:sz="0" w:space="0" w:color="auto"/>
        <w:left w:val="none" w:sz="0" w:space="0" w:color="auto"/>
        <w:bottom w:val="none" w:sz="0" w:space="0" w:color="auto"/>
        <w:right w:val="none" w:sz="0" w:space="0" w:color="auto"/>
      </w:divBdr>
    </w:div>
    <w:div w:id="2075081222">
      <w:bodyDiv w:val="1"/>
      <w:marLeft w:val="0"/>
      <w:marRight w:val="0"/>
      <w:marTop w:val="0"/>
      <w:marBottom w:val="0"/>
      <w:divBdr>
        <w:top w:val="none" w:sz="0" w:space="0" w:color="auto"/>
        <w:left w:val="none" w:sz="0" w:space="0" w:color="auto"/>
        <w:bottom w:val="none" w:sz="0" w:space="0" w:color="auto"/>
        <w:right w:val="none" w:sz="0" w:space="0" w:color="auto"/>
      </w:divBdr>
    </w:div>
    <w:div w:id="2136556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clientservices@vfmc.vic.gov.au" TargetMode="External"/><Relationship Id="rId18" Type="http://schemas.openxmlformats.org/officeDocument/2006/relationships/footer" Target="footer3.xm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styles" Target="styles.xml"/><Relationship Id="rId12" Type="http://schemas.openxmlformats.org/officeDocument/2006/relationships/hyperlink" Target="http://www.tcv.vic.gov.au"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Gov Services">
      <a:dk1>
        <a:srgbClr val="000000"/>
      </a:dk1>
      <a:lt1>
        <a:srgbClr val="FFFFFF"/>
      </a:lt1>
      <a:dk2>
        <a:srgbClr val="545759"/>
      </a:dk2>
      <a:lt2>
        <a:srgbClr val="DFE1DF"/>
      </a:lt2>
      <a:accent1>
        <a:srgbClr val="005F9E"/>
      </a:accent1>
      <a:accent2>
        <a:srgbClr val="0075BD"/>
      </a:accent2>
      <a:accent3>
        <a:srgbClr val="F99D2A"/>
      </a:accent3>
      <a:accent4>
        <a:srgbClr val="00B5AF"/>
      </a:accent4>
      <a:accent5>
        <a:srgbClr val="00B156"/>
      </a:accent5>
      <a:accent6>
        <a:srgbClr val="782B90"/>
      </a:accent6>
      <a:hlink>
        <a:srgbClr val="5E5E5E"/>
      </a:hlink>
      <a:folHlink>
        <a:srgbClr val="782B90"/>
      </a:folHlink>
    </a:clrScheme>
    <a:fontScheme name="VIC">
      <a:majorFont>
        <a:latin typeface="VIC"/>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0AFD70982D37E47BED0C2704FC2FF37" ma:contentTypeVersion="4" ma:contentTypeDescription="Create a new document." ma:contentTypeScope="" ma:versionID="bae3162436e58a2f5fc5407388bdb168">
  <xsd:schema xmlns:xsd="http://www.w3.org/2001/XMLSchema" xmlns:xs="http://www.w3.org/2001/XMLSchema" xmlns:p="http://schemas.microsoft.com/office/2006/metadata/properties" xmlns:ns2="057e9237-0173-48e2-94d0-6fa32180830a" xmlns:ns3="a1b78592-e0b7-4302-acf7-2eb04ecbe9ea" targetNamespace="http://schemas.microsoft.com/office/2006/metadata/properties" ma:root="true" ma:fieldsID="a15f105c94de9e14c8d1a3a4bc0a5637" ns2:_="" ns3:_="">
    <xsd:import namespace="057e9237-0173-48e2-94d0-6fa32180830a"/>
    <xsd:import namespace="a1b78592-e0b7-4302-acf7-2eb04ecbe9e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7e9237-0173-48e2-94d0-6fa3218083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1b78592-e0b7-4302-acf7-2eb04ecbe9e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a1b78592-e0b7-4302-acf7-2eb04ecbe9ea">
      <UserInfo>
        <DisplayName>Sebastian Mattei (DTF)</DisplayName>
        <AccountId>15</AccountId>
        <AccountType/>
      </UserInfo>
      <UserInfo>
        <DisplayName>Rohan R Boag (DTF)</DisplayName>
        <AccountId>13</AccountId>
        <AccountType/>
      </UserInfo>
    </SharedWithUsers>
  </documentManagement>
</p:properties>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15BAA976-99C7-B640-8F92-26C4449C6EC8}">
  <ds:schemaRefs>
    <ds:schemaRef ds:uri="http://schemas.openxmlformats.org/officeDocument/2006/bibliography"/>
  </ds:schemaRefs>
</ds:datastoreItem>
</file>

<file path=customXml/itemProps2.xml><?xml version="1.0" encoding="utf-8"?>
<ds:datastoreItem xmlns:ds="http://schemas.openxmlformats.org/officeDocument/2006/customXml" ds:itemID="{B2287029-858C-425E-B1A6-8CCA869DDC40}">
  <ds:schemaRefs>
    <ds:schemaRef ds:uri="http://schemas.microsoft.com/sharepoint/v3/contenttype/forms"/>
  </ds:schemaRefs>
</ds:datastoreItem>
</file>

<file path=customXml/itemProps3.xml><?xml version="1.0" encoding="utf-8"?>
<ds:datastoreItem xmlns:ds="http://schemas.openxmlformats.org/officeDocument/2006/customXml" ds:itemID="{4757C3E2-FE21-4292-80DD-E8833E7143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7e9237-0173-48e2-94d0-6fa32180830a"/>
    <ds:schemaRef ds:uri="a1b78592-e0b7-4302-acf7-2eb04ecbe9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DE0E270-F32F-41BD-89F6-29A0C7916211}">
  <ds:schemaRefs>
    <ds:schemaRef ds:uri="http://schemas.microsoft.com/office/2006/metadata/properties"/>
    <ds:schemaRef ds:uri="http://schemas.microsoft.com/office/infopath/2007/PartnerControls"/>
    <ds:schemaRef ds:uri="a1b78592-e0b7-4302-acf7-2eb04ecbe9ea"/>
  </ds:schemaRefs>
</ds:datastoreItem>
</file>

<file path=customXml/itemProps5.xml><?xml version="1.0" encoding="utf-8"?>
<ds:datastoreItem xmlns:ds="http://schemas.openxmlformats.org/officeDocument/2006/customXml" ds:itemID="{A7A3A174-4015-4441-A5BE-98CC58737510}">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258</TotalTime>
  <Pages>19</Pages>
  <Words>5038</Words>
  <Characters>28717</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Treasury Corporation of Victoria loans to Victorian Councils</vt:lpstr>
    </vt:vector>
  </TitlesOfParts>
  <Manager/>
  <Company/>
  <LinksUpToDate>false</LinksUpToDate>
  <CharactersWithSpaces>33688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Treasury Corporation of Victoria loans to Victorian Councils</dc:title>
  <dc:subject/>
  <dc:creator>Dori Angelatos (DPC)</dc:creator>
  <cp:keywords/>
  <dc:description/>
  <cp:lastModifiedBy>Daniel O'Shea (DGS)</cp:lastModifiedBy>
  <cp:revision>36</cp:revision>
  <dcterms:created xsi:type="dcterms:W3CDTF">2023-06-21T01:00:00Z</dcterms:created>
  <dcterms:modified xsi:type="dcterms:W3CDTF">2023-06-21T05:23:00Z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5,13,6,7</vt:lpwstr>
  </property>
  <property fmtid="{D5CDD505-2E9C-101B-9397-08002B2CF9AE}" pid="3" name="ClassificationContentMarkingFooterFontProps">
    <vt:lpwstr>#000000,11,Calibri</vt:lpwstr>
  </property>
  <property fmtid="{D5CDD505-2E9C-101B-9397-08002B2CF9AE}" pid="4" name="ClassificationContentMarkingFooterText">
    <vt:lpwstr>OFFICIAL</vt:lpwstr>
  </property>
  <property fmtid="{D5CDD505-2E9C-101B-9397-08002B2CF9AE}" pid="5" name="ContentTypeId">
    <vt:lpwstr>0x010100F0AFD70982D37E47BED0C2704FC2FF37</vt:lpwstr>
  </property>
  <property fmtid="{D5CDD505-2E9C-101B-9397-08002B2CF9AE}" pid="6" name="_dlc_DocIdItemGuid">
    <vt:lpwstr>f2b10f67-2a58-49a7-90f9-8295c8d1d05f</vt:lpwstr>
  </property>
  <property fmtid="{D5CDD505-2E9C-101B-9397-08002B2CF9AE}" pid="7" name="MSIP_Label_eadba5aa-feb1-4577-be26-fb9fbbe8db5c_Enabled">
    <vt:lpwstr>true</vt:lpwstr>
  </property>
  <property fmtid="{D5CDD505-2E9C-101B-9397-08002B2CF9AE}" pid="8" name="MSIP_Label_eadba5aa-feb1-4577-be26-fb9fbbe8db5c_SetDate">
    <vt:lpwstr>2023-04-14T02:30:16Z</vt:lpwstr>
  </property>
  <property fmtid="{D5CDD505-2E9C-101B-9397-08002B2CF9AE}" pid="9" name="MSIP_Label_eadba5aa-feb1-4577-be26-fb9fbbe8db5c_Method">
    <vt:lpwstr>Privileged</vt:lpwstr>
  </property>
  <property fmtid="{D5CDD505-2E9C-101B-9397-08002B2CF9AE}" pid="10" name="MSIP_Label_eadba5aa-feb1-4577-be26-fb9fbbe8db5c_Name">
    <vt:lpwstr>Official</vt:lpwstr>
  </property>
  <property fmtid="{D5CDD505-2E9C-101B-9397-08002B2CF9AE}" pid="11" name="MSIP_Label_eadba5aa-feb1-4577-be26-fb9fbbe8db5c_SiteId">
    <vt:lpwstr>cdcb4a9c-7e4f-41e8-8307-b9d7edd68669</vt:lpwstr>
  </property>
  <property fmtid="{D5CDD505-2E9C-101B-9397-08002B2CF9AE}" pid="12" name="MSIP_Label_eadba5aa-feb1-4577-be26-fb9fbbe8db5c_ActionId">
    <vt:lpwstr>8261dbc4-0928-45fb-a65b-fcdfdde8af4e</vt:lpwstr>
  </property>
  <property fmtid="{D5CDD505-2E9C-101B-9397-08002B2CF9AE}" pid="13" name="MSIP_Label_eadba5aa-feb1-4577-be26-fb9fbbe8db5c_ContentBits">
    <vt:lpwstr>3</vt:lpwstr>
  </property>
  <property fmtid="{D5CDD505-2E9C-101B-9397-08002B2CF9AE}" pid="14" name="MSIP_Label_d00a4df9-c942-4b09-b23a-6c1023f6de27_Enabled">
    <vt:lpwstr>true</vt:lpwstr>
  </property>
  <property fmtid="{D5CDD505-2E9C-101B-9397-08002B2CF9AE}" pid="15" name="MSIP_Label_d00a4df9-c942-4b09-b23a-6c1023f6de27_SetDate">
    <vt:lpwstr>2023-06-21T01:00:22Z</vt:lpwstr>
  </property>
  <property fmtid="{D5CDD505-2E9C-101B-9397-08002B2CF9AE}" pid="16" name="MSIP_Label_d00a4df9-c942-4b09-b23a-6c1023f6de27_Method">
    <vt:lpwstr>Privileged</vt:lpwstr>
  </property>
  <property fmtid="{D5CDD505-2E9C-101B-9397-08002B2CF9AE}" pid="17" name="MSIP_Label_d00a4df9-c942-4b09-b23a-6c1023f6de27_Name">
    <vt:lpwstr>Official (DJPR)</vt:lpwstr>
  </property>
  <property fmtid="{D5CDD505-2E9C-101B-9397-08002B2CF9AE}" pid="18" name="MSIP_Label_d00a4df9-c942-4b09-b23a-6c1023f6de27_SiteId">
    <vt:lpwstr>722ea0be-3e1c-4b11-ad6f-9401d6856e24</vt:lpwstr>
  </property>
  <property fmtid="{D5CDD505-2E9C-101B-9397-08002B2CF9AE}" pid="19" name="MSIP_Label_d00a4df9-c942-4b09-b23a-6c1023f6de27_ActionId">
    <vt:lpwstr>f8863d62-5d73-4013-bb8c-3ce4c3614098</vt:lpwstr>
  </property>
  <property fmtid="{D5CDD505-2E9C-101B-9397-08002B2CF9AE}" pid="20" name="MSIP_Label_d00a4df9-c942-4b09-b23a-6c1023f6de27_ContentBits">
    <vt:lpwstr>3</vt:lpwstr>
  </property>
</Properties>
</file>