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115A" w14:textId="14781CE9" w:rsidR="004371F6" w:rsidRPr="00FD080B" w:rsidRDefault="00FD080B" w:rsidP="00AE2BCD">
      <w:pPr>
        <w:pStyle w:val="Heading1"/>
        <w:numPr>
          <w:ilvl w:val="0"/>
          <w:numId w:val="0"/>
        </w:numPr>
        <w:rPr>
          <w:rFonts w:ascii="Arial Nova" w:hAnsi="Arial Nova"/>
        </w:rPr>
      </w:pPr>
      <w:r w:rsidRPr="00FD080B">
        <w:rPr>
          <w:rFonts w:ascii="Arial Nova" w:hAnsi="Arial Nova"/>
        </w:rPr>
        <w:t>Summary of changes</w:t>
      </w:r>
    </w:p>
    <w:p w14:paraId="664F5776" w14:textId="780C7185" w:rsidR="0061661B" w:rsidRDefault="0061661B" w:rsidP="00B63B43">
      <w:pPr>
        <w:rPr>
          <w:rFonts w:ascii="Arial Nova" w:hAnsi="Arial Nova"/>
          <w:b/>
          <w:color w:val="auto"/>
          <w:sz w:val="32"/>
          <w:lang w:eastAsia="en-AU"/>
        </w:rPr>
      </w:pPr>
      <w:r w:rsidRPr="0061661B">
        <w:rPr>
          <w:rFonts w:ascii="Arial Nova" w:hAnsi="Arial Nova"/>
          <w:b/>
          <w:color w:val="auto"/>
          <w:sz w:val="32"/>
          <w:lang w:eastAsia="en-AU"/>
        </w:rPr>
        <w:t>Local Government Better Practice Guide 202</w:t>
      </w:r>
      <w:r w:rsidR="00817B40">
        <w:rPr>
          <w:rFonts w:ascii="Arial Nova" w:hAnsi="Arial Nova"/>
          <w:b/>
          <w:color w:val="auto"/>
          <w:sz w:val="32"/>
          <w:lang w:eastAsia="en-AU"/>
        </w:rPr>
        <w:t>1</w:t>
      </w:r>
      <w:r w:rsidRPr="0061661B">
        <w:rPr>
          <w:rFonts w:ascii="Arial Nova" w:hAnsi="Arial Nova"/>
          <w:b/>
          <w:color w:val="auto"/>
          <w:sz w:val="32"/>
          <w:lang w:eastAsia="en-AU"/>
        </w:rPr>
        <w:t>-2</w:t>
      </w:r>
      <w:r w:rsidR="00817B40">
        <w:rPr>
          <w:rFonts w:ascii="Arial Nova" w:hAnsi="Arial Nova"/>
          <w:b/>
          <w:color w:val="auto"/>
          <w:sz w:val="32"/>
          <w:lang w:eastAsia="en-AU"/>
        </w:rPr>
        <w:t>2 &amp; 2022-2</w:t>
      </w:r>
      <w:r w:rsidR="006635AC">
        <w:rPr>
          <w:rFonts w:ascii="Arial Nova" w:hAnsi="Arial Nova"/>
          <w:b/>
          <w:color w:val="auto"/>
          <w:sz w:val="32"/>
          <w:lang w:eastAsia="en-AU"/>
        </w:rPr>
        <w:t>3</w:t>
      </w:r>
      <w:r w:rsidRPr="0061661B">
        <w:rPr>
          <w:rFonts w:ascii="Arial Nova" w:hAnsi="Arial Nova"/>
          <w:b/>
          <w:color w:val="auto"/>
          <w:sz w:val="32"/>
          <w:lang w:eastAsia="en-AU"/>
        </w:rPr>
        <w:t xml:space="preserve">: Performance Reporting </w:t>
      </w:r>
      <w:r w:rsidR="0052210D">
        <w:rPr>
          <w:rFonts w:ascii="Arial Nova" w:hAnsi="Arial Nova"/>
          <w:b/>
          <w:color w:val="auto"/>
          <w:sz w:val="32"/>
          <w:lang w:eastAsia="en-AU"/>
        </w:rPr>
        <w:t>Indicator Guide</w:t>
      </w:r>
      <w:r w:rsidRPr="0061661B">
        <w:rPr>
          <w:rFonts w:ascii="Arial Nova" w:hAnsi="Arial Nova"/>
          <w:b/>
          <w:color w:val="auto"/>
          <w:sz w:val="32"/>
          <w:lang w:eastAsia="en-AU"/>
        </w:rPr>
        <w:t xml:space="preserve"> and Local Government Performance Reporting Template 202</w:t>
      </w:r>
      <w:r w:rsidR="006635AC">
        <w:rPr>
          <w:rFonts w:ascii="Arial Nova" w:hAnsi="Arial Nova"/>
          <w:b/>
          <w:color w:val="auto"/>
          <w:sz w:val="32"/>
          <w:lang w:eastAsia="en-AU"/>
        </w:rPr>
        <w:t>1</w:t>
      </w:r>
      <w:r w:rsidRPr="0061661B">
        <w:rPr>
          <w:rFonts w:ascii="Arial Nova" w:hAnsi="Arial Nova"/>
          <w:b/>
          <w:color w:val="auto"/>
          <w:sz w:val="32"/>
          <w:lang w:eastAsia="en-AU"/>
        </w:rPr>
        <w:t>-2</w:t>
      </w:r>
      <w:r w:rsidR="006635AC">
        <w:rPr>
          <w:rFonts w:ascii="Arial Nova" w:hAnsi="Arial Nova"/>
          <w:b/>
          <w:color w:val="auto"/>
          <w:sz w:val="32"/>
          <w:lang w:eastAsia="en-AU"/>
        </w:rPr>
        <w:t>2</w:t>
      </w:r>
    </w:p>
    <w:p w14:paraId="5907FF58" w14:textId="0C68888E" w:rsidR="0061661B" w:rsidRPr="005770B9" w:rsidRDefault="0061661B" w:rsidP="00704499">
      <w:pPr>
        <w:pStyle w:val="BodyText"/>
        <w:spacing w:before="120" w:after="120"/>
        <w:jc w:val="left"/>
        <w:rPr>
          <w:rFonts w:ascii="Arial Nova" w:hAnsi="Arial Nova"/>
          <w:b/>
          <w:sz w:val="24"/>
          <w:szCs w:val="24"/>
          <w:u w:val="single"/>
        </w:rPr>
      </w:pPr>
      <w:r w:rsidRPr="005770B9">
        <w:rPr>
          <w:rFonts w:ascii="Arial Nova" w:hAnsi="Arial Nova"/>
          <w:b/>
          <w:sz w:val="24"/>
          <w:szCs w:val="24"/>
          <w:u w:val="single"/>
        </w:rPr>
        <w:t xml:space="preserve">Indicator </w:t>
      </w:r>
      <w:r w:rsidR="008265D4">
        <w:rPr>
          <w:rFonts w:ascii="Arial Nova" w:hAnsi="Arial Nova"/>
          <w:b/>
          <w:sz w:val="24"/>
          <w:szCs w:val="24"/>
          <w:u w:val="single"/>
        </w:rPr>
        <w:t>Guide</w:t>
      </w:r>
    </w:p>
    <w:p w14:paraId="22DBBF18" w14:textId="38D04CF0" w:rsidR="0061661B" w:rsidRDefault="0061661B" w:rsidP="0061661B">
      <w:pPr>
        <w:pStyle w:val="BodyText"/>
        <w:spacing w:before="120" w:after="120"/>
        <w:jc w:val="left"/>
        <w:rPr>
          <w:rFonts w:ascii="Arial Nova" w:hAnsi="Arial Nova"/>
          <w:sz w:val="20"/>
          <w:szCs w:val="24"/>
        </w:rPr>
      </w:pPr>
      <w:r w:rsidRPr="00393A95">
        <w:rPr>
          <w:rFonts w:ascii="Arial Nova" w:hAnsi="Arial Nova"/>
          <w:sz w:val="20"/>
          <w:szCs w:val="24"/>
        </w:rPr>
        <w:t>Due to changes to the Indicator Workbook</w:t>
      </w:r>
      <w:r w:rsidR="008265D4">
        <w:rPr>
          <w:rFonts w:ascii="Arial Nova" w:hAnsi="Arial Nova"/>
          <w:sz w:val="20"/>
          <w:szCs w:val="24"/>
        </w:rPr>
        <w:t>/Guide</w:t>
      </w:r>
      <w:r w:rsidRPr="00393A95">
        <w:rPr>
          <w:rFonts w:ascii="Arial Nova" w:hAnsi="Arial Nova"/>
          <w:sz w:val="20"/>
          <w:szCs w:val="24"/>
        </w:rPr>
        <w:t xml:space="preserve">, councils are encouraged to review the document and refresh their understanding. An overview of changes is provided below: </w:t>
      </w:r>
    </w:p>
    <w:tbl>
      <w:tblPr>
        <w:tblStyle w:val="TableGrid"/>
        <w:tblW w:w="15451" w:type="dxa"/>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386"/>
        <w:gridCol w:w="1158"/>
        <w:gridCol w:w="5953"/>
        <w:gridCol w:w="5954"/>
      </w:tblGrid>
      <w:tr w:rsidR="000B0A8E" w:rsidRPr="000B0A8E" w14:paraId="185F02E0" w14:textId="77777777" w:rsidTr="004F1A47">
        <w:trPr>
          <w:tblHeader/>
        </w:trPr>
        <w:tc>
          <w:tcPr>
            <w:tcW w:w="2386" w:type="dxa"/>
            <w:shd w:val="clear" w:color="auto" w:fill="100249" w:themeFill="accent4"/>
          </w:tcPr>
          <w:p w14:paraId="04223F76" w14:textId="77777777" w:rsidR="00554DF5" w:rsidRPr="000B0A8E" w:rsidRDefault="00554DF5" w:rsidP="004F1A47">
            <w:pPr>
              <w:pStyle w:val="Tabletitle"/>
              <w:rPr>
                <w:rStyle w:val="Strong"/>
                <w:rFonts w:ascii="Arial Nova" w:hAnsi="Arial Nova"/>
              </w:rPr>
            </w:pPr>
            <w:r w:rsidRPr="000B0A8E">
              <w:rPr>
                <w:rStyle w:val="Strong"/>
                <w:rFonts w:ascii="Arial Nova" w:hAnsi="Arial Nova"/>
              </w:rPr>
              <w:t>S</w:t>
            </w:r>
            <w:r w:rsidRPr="000B0A8E">
              <w:rPr>
                <w:rStyle w:val="Strong"/>
              </w:rPr>
              <w:t>ection</w:t>
            </w:r>
          </w:p>
        </w:tc>
        <w:tc>
          <w:tcPr>
            <w:tcW w:w="1158" w:type="dxa"/>
            <w:shd w:val="clear" w:color="auto" w:fill="100249" w:themeFill="accent4"/>
          </w:tcPr>
          <w:p w14:paraId="30E94412" w14:textId="77777777" w:rsidR="00554DF5" w:rsidRPr="000B0A8E" w:rsidRDefault="00554DF5" w:rsidP="004F1A47">
            <w:pPr>
              <w:pStyle w:val="Tabletitle"/>
              <w:rPr>
                <w:rStyle w:val="Strong"/>
                <w:rFonts w:ascii="Arial Nova" w:hAnsi="Arial Nova"/>
              </w:rPr>
            </w:pPr>
            <w:r w:rsidRPr="000B0A8E">
              <w:rPr>
                <w:rStyle w:val="Strong"/>
                <w:rFonts w:ascii="Arial Nova" w:hAnsi="Arial Nova"/>
              </w:rPr>
              <w:t>P</w:t>
            </w:r>
            <w:r w:rsidRPr="000B0A8E">
              <w:rPr>
                <w:rStyle w:val="Strong"/>
              </w:rPr>
              <w:t>age</w:t>
            </w:r>
          </w:p>
        </w:tc>
        <w:tc>
          <w:tcPr>
            <w:tcW w:w="5953" w:type="dxa"/>
            <w:shd w:val="clear" w:color="auto" w:fill="100249" w:themeFill="accent4"/>
          </w:tcPr>
          <w:p w14:paraId="7FE534D6" w14:textId="77777777" w:rsidR="00554DF5" w:rsidRPr="000B0A8E" w:rsidRDefault="00554DF5" w:rsidP="004F1A47">
            <w:pPr>
              <w:pStyle w:val="Tabletitle"/>
              <w:rPr>
                <w:rStyle w:val="Strong"/>
                <w:rFonts w:ascii="Arial Nova" w:hAnsi="Arial Nova"/>
              </w:rPr>
            </w:pPr>
            <w:r w:rsidRPr="000B0A8E">
              <w:rPr>
                <w:rStyle w:val="Strong"/>
                <w:rFonts w:ascii="Arial Nova" w:hAnsi="Arial Nova"/>
              </w:rPr>
              <w:t>O</w:t>
            </w:r>
            <w:r w:rsidRPr="000B0A8E">
              <w:rPr>
                <w:rStyle w:val="Strong"/>
              </w:rPr>
              <w:t>riginal text</w:t>
            </w:r>
          </w:p>
        </w:tc>
        <w:tc>
          <w:tcPr>
            <w:tcW w:w="5954" w:type="dxa"/>
            <w:shd w:val="clear" w:color="auto" w:fill="100249" w:themeFill="accent4"/>
          </w:tcPr>
          <w:p w14:paraId="1728EED4" w14:textId="77777777" w:rsidR="00554DF5" w:rsidRPr="000B0A8E" w:rsidRDefault="00554DF5" w:rsidP="004F1A47">
            <w:pPr>
              <w:pStyle w:val="Tabletitle"/>
              <w:rPr>
                <w:rStyle w:val="Strong"/>
                <w:rFonts w:ascii="Arial Nova" w:hAnsi="Arial Nova"/>
              </w:rPr>
            </w:pPr>
            <w:r w:rsidRPr="000B0A8E">
              <w:rPr>
                <w:rStyle w:val="Strong"/>
                <w:rFonts w:ascii="Arial Nova" w:hAnsi="Arial Nova"/>
              </w:rPr>
              <w:t>R</w:t>
            </w:r>
            <w:r w:rsidRPr="000B0A8E">
              <w:rPr>
                <w:rStyle w:val="Strong"/>
              </w:rPr>
              <w:t>evised text</w:t>
            </w:r>
          </w:p>
        </w:tc>
      </w:tr>
      <w:tr w:rsidR="000B0A8E" w:rsidRPr="000B0A8E" w14:paraId="1F435611" w14:textId="77777777" w:rsidTr="004F1A47">
        <w:trPr>
          <w:trHeight w:val="358"/>
        </w:trPr>
        <w:tc>
          <w:tcPr>
            <w:tcW w:w="15451" w:type="dxa"/>
            <w:gridSpan w:val="4"/>
            <w:tcBorders>
              <w:bottom w:val="single" w:sz="4" w:space="0" w:color="100249" w:themeColor="accent4"/>
            </w:tcBorders>
          </w:tcPr>
          <w:p w14:paraId="0FFE0646" w14:textId="081A90C6" w:rsidR="00554DF5" w:rsidRPr="000B0A8E" w:rsidRDefault="001B212D" w:rsidP="004F1A47">
            <w:pPr>
              <w:pStyle w:val="Tabletext"/>
              <w:rPr>
                <w:rFonts w:ascii="Arial Nova" w:hAnsi="Arial Nova"/>
                <w:b/>
                <w:bCs/>
              </w:rPr>
            </w:pPr>
            <w:r w:rsidRPr="000B0A8E">
              <w:rPr>
                <w:rFonts w:ascii="Arial Nova" w:hAnsi="Arial Nova"/>
                <w:b/>
                <w:bCs/>
              </w:rPr>
              <w:t>Approach to Performance Reporting</w:t>
            </w:r>
          </w:p>
        </w:tc>
      </w:tr>
      <w:tr w:rsidR="000B0A8E" w:rsidRPr="000B0A8E" w14:paraId="4140C4B7" w14:textId="77777777" w:rsidTr="004F1A47">
        <w:tc>
          <w:tcPr>
            <w:tcW w:w="2386" w:type="dxa"/>
            <w:tcBorders>
              <w:top w:val="single" w:sz="4" w:space="0" w:color="100249" w:themeColor="accent4"/>
              <w:bottom w:val="single" w:sz="4" w:space="0" w:color="100249" w:themeColor="accent4"/>
            </w:tcBorders>
          </w:tcPr>
          <w:p w14:paraId="75498B36" w14:textId="0A1FDE4F" w:rsidR="00554DF5" w:rsidRPr="000B0A8E" w:rsidRDefault="000D79D9" w:rsidP="004F1A47">
            <w:pPr>
              <w:pStyle w:val="Tabletext"/>
              <w:rPr>
                <w:rFonts w:ascii="Arial Nova" w:hAnsi="Arial Nova"/>
              </w:rPr>
            </w:pPr>
            <w:r w:rsidRPr="000B0A8E">
              <w:rPr>
                <w:rFonts w:ascii="Arial Nova" w:hAnsi="Arial Nova"/>
              </w:rPr>
              <w:t>Aims of the LGPRF</w:t>
            </w:r>
          </w:p>
        </w:tc>
        <w:tc>
          <w:tcPr>
            <w:tcW w:w="1158" w:type="dxa"/>
            <w:tcBorders>
              <w:top w:val="single" w:sz="4" w:space="0" w:color="100249" w:themeColor="accent4"/>
              <w:bottom w:val="single" w:sz="4" w:space="0" w:color="100249" w:themeColor="accent4"/>
            </w:tcBorders>
          </w:tcPr>
          <w:p w14:paraId="216E89EF" w14:textId="3DA1D4B8" w:rsidR="00554DF5" w:rsidRPr="000B0A8E" w:rsidRDefault="001767BF" w:rsidP="004F1A47">
            <w:pPr>
              <w:pStyle w:val="Tabletext"/>
              <w:rPr>
                <w:rFonts w:ascii="Arial Nova" w:hAnsi="Arial Nova"/>
              </w:rPr>
            </w:pPr>
            <w:r>
              <w:rPr>
                <w:rFonts w:ascii="Arial Nova" w:hAnsi="Arial Nova"/>
              </w:rPr>
              <w:t>4</w:t>
            </w:r>
          </w:p>
        </w:tc>
        <w:tc>
          <w:tcPr>
            <w:tcW w:w="5953" w:type="dxa"/>
            <w:tcBorders>
              <w:top w:val="single" w:sz="4" w:space="0" w:color="100249" w:themeColor="accent4"/>
              <w:bottom w:val="single" w:sz="4" w:space="0" w:color="100249" w:themeColor="accent4"/>
            </w:tcBorders>
          </w:tcPr>
          <w:p w14:paraId="28AE5E48" w14:textId="380881A2" w:rsidR="00554DF5" w:rsidRPr="000B0A8E" w:rsidRDefault="000D1056" w:rsidP="004F1A47">
            <w:pPr>
              <w:pStyle w:val="Tabletext"/>
              <w:rPr>
                <w:rFonts w:ascii="Arial Nova" w:hAnsi="Arial Nova"/>
              </w:rPr>
            </w:pPr>
            <w:r w:rsidRPr="000B0A8E">
              <w:rPr>
                <w:rFonts w:ascii="Arial Nova" w:hAnsi="Arial Nova"/>
              </w:rPr>
              <w:t>“…</w:t>
            </w:r>
            <w:r w:rsidRPr="000B0A8E">
              <w:rPr>
                <w:rFonts w:ascii="Arial Nova" w:eastAsia="Cambria" w:hAnsi="Arial Nova"/>
              </w:rPr>
              <w:t>Council’s Annual Report and the Local Government Sector Performance Reporting Framework (Know Your Council</w:t>
            </w:r>
            <w:proofErr w:type="gramStart"/>
            <w:r w:rsidRPr="000B0A8E">
              <w:rPr>
                <w:rFonts w:ascii="Arial Nova" w:eastAsia="Cambria" w:hAnsi="Arial Nova"/>
              </w:rPr>
              <w:t>),…</w:t>
            </w:r>
            <w:proofErr w:type="gramEnd"/>
            <w:r w:rsidRPr="000B0A8E">
              <w:rPr>
                <w:rFonts w:ascii="Arial Nova" w:eastAsia="Cambria" w:hAnsi="Arial Nova"/>
              </w:rPr>
              <w:t>”</w:t>
            </w:r>
          </w:p>
        </w:tc>
        <w:tc>
          <w:tcPr>
            <w:tcW w:w="5954" w:type="dxa"/>
            <w:tcBorders>
              <w:top w:val="single" w:sz="4" w:space="0" w:color="100249" w:themeColor="accent4"/>
              <w:bottom w:val="single" w:sz="4" w:space="0" w:color="100249" w:themeColor="accent4"/>
            </w:tcBorders>
          </w:tcPr>
          <w:p w14:paraId="4463BC6F" w14:textId="26559DB0" w:rsidR="00554DF5" w:rsidRPr="000B0A8E" w:rsidRDefault="000D1056" w:rsidP="004F1A47">
            <w:pPr>
              <w:pStyle w:val="Tabletext"/>
              <w:rPr>
                <w:rFonts w:ascii="Arial Nova" w:hAnsi="Arial Nova"/>
              </w:rPr>
            </w:pPr>
            <w:r w:rsidRPr="000B0A8E">
              <w:rPr>
                <w:rFonts w:ascii="Arial Nova" w:hAnsi="Arial Nova"/>
              </w:rPr>
              <w:t>“…</w:t>
            </w:r>
            <w:r w:rsidRPr="000B0A8E">
              <w:rPr>
                <w:rFonts w:ascii="Arial Nova" w:eastAsia="Cambria" w:hAnsi="Arial Nova"/>
              </w:rPr>
              <w:t>Council’s Annual Report and the Local Government Sector Performance Reporting (Know Your Council</w:t>
            </w:r>
            <w:proofErr w:type="gramStart"/>
            <w:r w:rsidRPr="000B0A8E">
              <w:rPr>
                <w:rFonts w:ascii="Arial Nova" w:eastAsia="Cambria" w:hAnsi="Arial Nova"/>
              </w:rPr>
              <w:t>),…</w:t>
            </w:r>
            <w:proofErr w:type="gramEnd"/>
            <w:r w:rsidRPr="000B0A8E">
              <w:rPr>
                <w:rFonts w:ascii="Arial Nova" w:eastAsia="Cambria" w:hAnsi="Arial Nova"/>
              </w:rPr>
              <w:t>”</w:t>
            </w:r>
          </w:p>
        </w:tc>
      </w:tr>
      <w:tr w:rsidR="000B0A8E" w:rsidRPr="000B0A8E" w14:paraId="7BC68014" w14:textId="77777777" w:rsidTr="004F1A47">
        <w:tc>
          <w:tcPr>
            <w:tcW w:w="2386" w:type="dxa"/>
            <w:tcBorders>
              <w:top w:val="single" w:sz="4" w:space="0" w:color="100249" w:themeColor="accent4"/>
              <w:bottom w:val="single" w:sz="4" w:space="0" w:color="100249" w:themeColor="accent4"/>
            </w:tcBorders>
          </w:tcPr>
          <w:p w14:paraId="6CC78AE0" w14:textId="300313D9" w:rsidR="00554DF5" w:rsidRPr="000B0A8E" w:rsidRDefault="000D79D9" w:rsidP="004F1A47">
            <w:pPr>
              <w:pStyle w:val="Tabletext"/>
              <w:rPr>
                <w:rFonts w:ascii="Arial Nova" w:hAnsi="Arial Nova"/>
              </w:rPr>
            </w:pPr>
            <w:r w:rsidRPr="000B0A8E">
              <w:rPr>
                <w:rFonts w:ascii="Arial Nova" w:hAnsi="Arial Nova"/>
              </w:rPr>
              <w:t xml:space="preserve">Distinguishing inputs, </w:t>
            </w:r>
            <w:proofErr w:type="gramStart"/>
            <w:r w:rsidRPr="000B0A8E">
              <w:rPr>
                <w:rFonts w:ascii="Arial Nova" w:hAnsi="Arial Nova"/>
              </w:rPr>
              <w:t>outputs</w:t>
            </w:r>
            <w:proofErr w:type="gramEnd"/>
            <w:r w:rsidRPr="000B0A8E">
              <w:rPr>
                <w:rFonts w:ascii="Arial Nova" w:hAnsi="Arial Nova"/>
              </w:rPr>
              <w:t xml:space="preserve"> and outcomes</w:t>
            </w:r>
          </w:p>
        </w:tc>
        <w:tc>
          <w:tcPr>
            <w:tcW w:w="1158" w:type="dxa"/>
            <w:tcBorders>
              <w:top w:val="single" w:sz="4" w:space="0" w:color="100249" w:themeColor="accent4"/>
              <w:bottom w:val="single" w:sz="4" w:space="0" w:color="100249" w:themeColor="accent4"/>
            </w:tcBorders>
          </w:tcPr>
          <w:p w14:paraId="3E27B0E1" w14:textId="047CE3B6" w:rsidR="00554DF5" w:rsidRPr="000B0A8E" w:rsidRDefault="001767BF" w:rsidP="004F1A47">
            <w:pPr>
              <w:pStyle w:val="Tabletext"/>
              <w:rPr>
                <w:rFonts w:ascii="Arial Nova" w:hAnsi="Arial Nova"/>
              </w:rPr>
            </w:pPr>
            <w:r>
              <w:rPr>
                <w:rFonts w:ascii="Arial Nova" w:hAnsi="Arial Nova"/>
              </w:rPr>
              <w:t>8</w:t>
            </w:r>
          </w:p>
        </w:tc>
        <w:tc>
          <w:tcPr>
            <w:tcW w:w="5953" w:type="dxa"/>
            <w:tcBorders>
              <w:top w:val="single" w:sz="4" w:space="0" w:color="100249" w:themeColor="accent4"/>
              <w:bottom w:val="single" w:sz="4" w:space="0" w:color="100249" w:themeColor="accent4"/>
            </w:tcBorders>
          </w:tcPr>
          <w:p w14:paraId="13B98B2C" w14:textId="433BB325" w:rsidR="00554DF5" w:rsidRPr="000B0A8E" w:rsidRDefault="00261060" w:rsidP="004F1A47">
            <w:pPr>
              <w:pStyle w:val="Tabletext"/>
              <w:rPr>
                <w:rFonts w:ascii="Arial Nova" w:hAnsi="Arial Nova"/>
              </w:rPr>
            </w:pPr>
            <w:r w:rsidRPr="000B0A8E">
              <w:rPr>
                <w:rFonts w:ascii="Arial Nova" w:hAnsi="Arial Nova"/>
              </w:rPr>
              <w:t>Examples of commentary to explain the link between indictors to community outcomes</w:t>
            </w:r>
          </w:p>
        </w:tc>
        <w:tc>
          <w:tcPr>
            <w:tcW w:w="5954" w:type="dxa"/>
            <w:tcBorders>
              <w:top w:val="single" w:sz="4" w:space="0" w:color="100249" w:themeColor="accent4"/>
              <w:bottom w:val="single" w:sz="4" w:space="0" w:color="100249" w:themeColor="accent4"/>
            </w:tcBorders>
          </w:tcPr>
          <w:p w14:paraId="501CCBE2" w14:textId="48C90998" w:rsidR="00554DF5" w:rsidRPr="000B0A8E" w:rsidRDefault="00261060" w:rsidP="004F1A47">
            <w:pPr>
              <w:pStyle w:val="Tabletext"/>
              <w:rPr>
                <w:rFonts w:ascii="Arial Nova" w:hAnsi="Arial Nova"/>
              </w:rPr>
            </w:pPr>
            <w:r w:rsidRPr="000B0A8E">
              <w:rPr>
                <w:rFonts w:ascii="Arial Nova" w:hAnsi="Arial Nova"/>
              </w:rPr>
              <w:t>Examples were updated for 2021</w:t>
            </w:r>
          </w:p>
        </w:tc>
      </w:tr>
      <w:tr w:rsidR="00245FEB" w:rsidRPr="000B0A8E" w14:paraId="6D48852D" w14:textId="77777777" w:rsidTr="004F1A47">
        <w:tc>
          <w:tcPr>
            <w:tcW w:w="2386" w:type="dxa"/>
            <w:tcBorders>
              <w:top w:val="single" w:sz="4" w:space="0" w:color="100249" w:themeColor="accent4"/>
              <w:bottom w:val="single" w:sz="4" w:space="0" w:color="100249" w:themeColor="accent4"/>
            </w:tcBorders>
          </w:tcPr>
          <w:p w14:paraId="6FCF319F" w14:textId="76952C70" w:rsidR="00245FEB" w:rsidRPr="000B0A8E" w:rsidRDefault="00245FEB" w:rsidP="004F1A47">
            <w:pPr>
              <w:pStyle w:val="Tabletext"/>
              <w:rPr>
                <w:rFonts w:ascii="Arial Nova" w:hAnsi="Arial Nova"/>
              </w:rPr>
            </w:pPr>
            <w:r w:rsidRPr="000B0A8E">
              <w:rPr>
                <w:rFonts w:ascii="Arial Nova" w:hAnsi="Arial Nova"/>
              </w:rPr>
              <w:t>Mandatory target setting</w:t>
            </w:r>
          </w:p>
        </w:tc>
        <w:tc>
          <w:tcPr>
            <w:tcW w:w="1158" w:type="dxa"/>
            <w:tcBorders>
              <w:top w:val="single" w:sz="4" w:space="0" w:color="100249" w:themeColor="accent4"/>
              <w:bottom w:val="single" w:sz="4" w:space="0" w:color="100249" w:themeColor="accent4"/>
            </w:tcBorders>
          </w:tcPr>
          <w:p w14:paraId="7AAF8829" w14:textId="00C82BED" w:rsidR="00245FEB" w:rsidRPr="000B0A8E" w:rsidRDefault="00AE6543" w:rsidP="004F1A47">
            <w:pPr>
              <w:pStyle w:val="Tabletext"/>
              <w:rPr>
                <w:rFonts w:ascii="Arial Nova" w:hAnsi="Arial Nova"/>
              </w:rPr>
            </w:pPr>
            <w:r w:rsidRPr="000B0A8E">
              <w:rPr>
                <w:rFonts w:ascii="Arial Nova" w:hAnsi="Arial Nova"/>
              </w:rPr>
              <w:t>1</w:t>
            </w:r>
            <w:r w:rsidR="001767BF">
              <w:rPr>
                <w:rFonts w:ascii="Arial Nova" w:hAnsi="Arial Nova"/>
              </w:rPr>
              <w:t>3</w:t>
            </w:r>
          </w:p>
        </w:tc>
        <w:tc>
          <w:tcPr>
            <w:tcW w:w="5953" w:type="dxa"/>
            <w:tcBorders>
              <w:top w:val="single" w:sz="4" w:space="0" w:color="100249" w:themeColor="accent4"/>
              <w:bottom w:val="single" w:sz="4" w:space="0" w:color="100249" w:themeColor="accent4"/>
            </w:tcBorders>
          </w:tcPr>
          <w:p w14:paraId="3B078036" w14:textId="68C7DE12" w:rsidR="00245FEB" w:rsidRPr="000B0A8E" w:rsidRDefault="00AE6543" w:rsidP="004F1A47">
            <w:pPr>
              <w:pStyle w:val="Tabletext"/>
              <w:rPr>
                <w:rFonts w:ascii="Arial Nova" w:hAnsi="Arial Nova"/>
              </w:rPr>
            </w:pPr>
            <w:r w:rsidRPr="000B0A8E">
              <w:rPr>
                <w:rFonts w:ascii="Arial Nova" w:hAnsi="Arial Nova"/>
              </w:rPr>
              <w:t>N/A</w:t>
            </w:r>
          </w:p>
        </w:tc>
        <w:tc>
          <w:tcPr>
            <w:tcW w:w="5954" w:type="dxa"/>
            <w:tcBorders>
              <w:top w:val="single" w:sz="4" w:space="0" w:color="100249" w:themeColor="accent4"/>
              <w:bottom w:val="single" w:sz="4" w:space="0" w:color="100249" w:themeColor="accent4"/>
            </w:tcBorders>
          </w:tcPr>
          <w:p w14:paraId="29CE6013" w14:textId="1A772853" w:rsidR="00245FEB" w:rsidRPr="000B0A8E" w:rsidRDefault="00AE6543" w:rsidP="004F1A47">
            <w:pPr>
              <w:pStyle w:val="Tabletext"/>
              <w:rPr>
                <w:rFonts w:ascii="Arial Nova" w:hAnsi="Arial Nova"/>
              </w:rPr>
            </w:pPr>
            <w:r w:rsidRPr="000B0A8E">
              <w:rPr>
                <w:rFonts w:ascii="Arial Nova" w:hAnsi="Arial Nova"/>
              </w:rPr>
              <w:t>Added new section regarding requirements for mandatory target setting.</w:t>
            </w:r>
          </w:p>
        </w:tc>
      </w:tr>
      <w:tr w:rsidR="000B0A8E" w:rsidRPr="000B0A8E" w14:paraId="0580095C" w14:textId="77777777" w:rsidTr="004F1A47">
        <w:tc>
          <w:tcPr>
            <w:tcW w:w="2386" w:type="dxa"/>
            <w:tcBorders>
              <w:top w:val="single" w:sz="4" w:space="0" w:color="100249" w:themeColor="accent4"/>
              <w:bottom w:val="single" w:sz="4" w:space="0" w:color="100249" w:themeColor="accent4"/>
            </w:tcBorders>
          </w:tcPr>
          <w:p w14:paraId="34FB0F0C" w14:textId="5B84128C" w:rsidR="00554DF5" w:rsidRPr="000B0A8E" w:rsidRDefault="001968E6" w:rsidP="004F1A47">
            <w:pPr>
              <w:pStyle w:val="Tabletext"/>
              <w:rPr>
                <w:rFonts w:ascii="Arial Nova" w:hAnsi="Arial Nova"/>
              </w:rPr>
            </w:pPr>
            <w:r w:rsidRPr="000B0A8E">
              <w:rPr>
                <w:rFonts w:ascii="Arial Nova" w:hAnsi="Arial Nova"/>
              </w:rPr>
              <w:t>Legislative</w:t>
            </w:r>
            <w:r w:rsidR="00B56AC5" w:rsidRPr="000B0A8E">
              <w:rPr>
                <w:rFonts w:ascii="Arial Nova" w:hAnsi="Arial Nova"/>
              </w:rPr>
              <w:t xml:space="preserve"> framework</w:t>
            </w:r>
          </w:p>
        </w:tc>
        <w:tc>
          <w:tcPr>
            <w:tcW w:w="1158" w:type="dxa"/>
            <w:tcBorders>
              <w:top w:val="single" w:sz="4" w:space="0" w:color="100249" w:themeColor="accent4"/>
              <w:bottom w:val="single" w:sz="4" w:space="0" w:color="100249" w:themeColor="accent4"/>
            </w:tcBorders>
          </w:tcPr>
          <w:p w14:paraId="1E7D0379" w14:textId="0BB36C13" w:rsidR="00554DF5" w:rsidRPr="000B0A8E" w:rsidRDefault="001968E6" w:rsidP="004F1A47">
            <w:pPr>
              <w:pStyle w:val="Tabletext"/>
              <w:rPr>
                <w:rFonts w:ascii="Arial Nova" w:hAnsi="Arial Nova"/>
              </w:rPr>
            </w:pPr>
            <w:r w:rsidRPr="000B0A8E">
              <w:rPr>
                <w:rFonts w:ascii="Arial Nova" w:hAnsi="Arial Nova"/>
              </w:rPr>
              <w:t>1</w:t>
            </w:r>
            <w:r w:rsidR="009414C9">
              <w:rPr>
                <w:rFonts w:ascii="Arial Nova" w:hAnsi="Arial Nova"/>
              </w:rPr>
              <w:t>4</w:t>
            </w:r>
          </w:p>
        </w:tc>
        <w:tc>
          <w:tcPr>
            <w:tcW w:w="5953" w:type="dxa"/>
            <w:tcBorders>
              <w:top w:val="single" w:sz="4" w:space="0" w:color="100249" w:themeColor="accent4"/>
              <w:bottom w:val="single" w:sz="4" w:space="0" w:color="100249" w:themeColor="accent4"/>
            </w:tcBorders>
          </w:tcPr>
          <w:p w14:paraId="01F108A1" w14:textId="2DD3B0AC" w:rsidR="00554DF5" w:rsidRPr="000B0A8E" w:rsidRDefault="001968E6" w:rsidP="004F1A47">
            <w:pPr>
              <w:pStyle w:val="Tabletext"/>
              <w:rPr>
                <w:rFonts w:ascii="Arial Nova" w:hAnsi="Arial Nova"/>
              </w:rPr>
            </w:pPr>
            <w:r w:rsidRPr="000B0A8E">
              <w:rPr>
                <w:rFonts w:ascii="Arial Nova" w:hAnsi="Arial Nova"/>
              </w:rPr>
              <w:t>“The objectives of the Act are…”</w:t>
            </w:r>
          </w:p>
        </w:tc>
        <w:tc>
          <w:tcPr>
            <w:tcW w:w="5954" w:type="dxa"/>
            <w:tcBorders>
              <w:top w:val="single" w:sz="4" w:space="0" w:color="100249" w:themeColor="accent4"/>
              <w:bottom w:val="single" w:sz="4" w:space="0" w:color="100249" w:themeColor="accent4"/>
            </w:tcBorders>
          </w:tcPr>
          <w:p w14:paraId="5F456D54" w14:textId="4E908D76" w:rsidR="00554DF5" w:rsidRPr="000B0A8E" w:rsidRDefault="001968E6" w:rsidP="004F1A47">
            <w:pPr>
              <w:pStyle w:val="Tabletext"/>
              <w:rPr>
                <w:rFonts w:ascii="Arial Nova" w:hAnsi="Arial Nova"/>
              </w:rPr>
            </w:pPr>
            <w:r w:rsidRPr="000B0A8E">
              <w:rPr>
                <w:rFonts w:ascii="Arial Nova" w:hAnsi="Arial Nova"/>
              </w:rPr>
              <w:t>Content removed</w:t>
            </w:r>
            <w:r w:rsidR="006937EA" w:rsidRPr="000B0A8E">
              <w:rPr>
                <w:rFonts w:ascii="Arial Nova" w:hAnsi="Arial Nova"/>
              </w:rPr>
              <w:t xml:space="preserve"> to streamline the document. </w:t>
            </w:r>
          </w:p>
        </w:tc>
      </w:tr>
      <w:tr w:rsidR="000B0A8E" w:rsidRPr="000B0A8E" w14:paraId="729D7253" w14:textId="77777777" w:rsidTr="004F1A47">
        <w:tc>
          <w:tcPr>
            <w:tcW w:w="2386" w:type="dxa"/>
            <w:tcBorders>
              <w:top w:val="single" w:sz="4" w:space="0" w:color="100249" w:themeColor="accent4"/>
              <w:bottom w:val="single" w:sz="4" w:space="0" w:color="100249" w:themeColor="accent4"/>
            </w:tcBorders>
          </w:tcPr>
          <w:p w14:paraId="1BF3B9BC" w14:textId="4F097C07" w:rsidR="00554DF5" w:rsidRPr="000B0A8E" w:rsidRDefault="003A5D57" w:rsidP="004F1A47">
            <w:pPr>
              <w:pStyle w:val="Tabletext"/>
              <w:rPr>
                <w:rFonts w:ascii="Arial Nova" w:hAnsi="Arial Nova"/>
              </w:rPr>
            </w:pPr>
            <w:r w:rsidRPr="000B0A8E">
              <w:rPr>
                <w:rFonts w:ascii="Arial Nova" w:hAnsi="Arial Nova"/>
              </w:rPr>
              <w:t>Transitional provisions</w:t>
            </w:r>
          </w:p>
        </w:tc>
        <w:tc>
          <w:tcPr>
            <w:tcW w:w="1158" w:type="dxa"/>
            <w:tcBorders>
              <w:top w:val="single" w:sz="4" w:space="0" w:color="100249" w:themeColor="accent4"/>
              <w:bottom w:val="single" w:sz="4" w:space="0" w:color="100249" w:themeColor="accent4"/>
            </w:tcBorders>
          </w:tcPr>
          <w:p w14:paraId="70291452" w14:textId="4F6CFD5D" w:rsidR="00554DF5" w:rsidRPr="000B0A8E" w:rsidRDefault="003A5D57" w:rsidP="004F1A47">
            <w:pPr>
              <w:pStyle w:val="Tabletext"/>
              <w:rPr>
                <w:rFonts w:ascii="Arial Nova" w:hAnsi="Arial Nova"/>
              </w:rPr>
            </w:pPr>
            <w:r w:rsidRPr="000B0A8E">
              <w:rPr>
                <w:rFonts w:ascii="Arial Nova" w:hAnsi="Arial Nova"/>
              </w:rPr>
              <w:t>1</w:t>
            </w:r>
            <w:r w:rsidR="0053442A">
              <w:rPr>
                <w:rFonts w:ascii="Arial Nova" w:hAnsi="Arial Nova"/>
              </w:rPr>
              <w:t>4</w:t>
            </w:r>
          </w:p>
        </w:tc>
        <w:tc>
          <w:tcPr>
            <w:tcW w:w="5953" w:type="dxa"/>
            <w:tcBorders>
              <w:top w:val="single" w:sz="4" w:space="0" w:color="100249" w:themeColor="accent4"/>
              <w:bottom w:val="single" w:sz="4" w:space="0" w:color="100249" w:themeColor="accent4"/>
            </w:tcBorders>
          </w:tcPr>
          <w:p w14:paraId="72FD8260" w14:textId="7D5CAEC1" w:rsidR="00554DF5" w:rsidRPr="000B0A8E" w:rsidRDefault="003A5D57" w:rsidP="004F1A47">
            <w:pPr>
              <w:pStyle w:val="Tabletext"/>
              <w:rPr>
                <w:rFonts w:ascii="Arial Nova" w:hAnsi="Arial Nova"/>
              </w:rPr>
            </w:pPr>
            <w:r w:rsidRPr="000B0A8E">
              <w:rPr>
                <w:rFonts w:ascii="Arial Nova" w:hAnsi="Arial Nova"/>
              </w:rPr>
              <w:t>“Part 4 of the Act…”</w:t>
            </w:r>
          </w:p>
        </w:tc>
        <w:tc>
          <w:tcPr>
            <w:tcW w:w="5954" w:type="dxa"/>
            <w:tcBorders>
              <w:top w:val="single" w:sz="4" w:space="0" w:color="100249" w:themeColor="accent4"/>
              <w:bottom w:val="single" w:sz="4" w:space="0" w:color="100249" w:themeColor="accent4"/>
            </w:tcBorders>
          </w:tcPr>
          <w:p w14:paraId="027F8EFF" w14:textId="30BD2EA8" w:rsidR="00554DF5" w:rsidRPr="000B0A8E" w:rsidRDefault="003A5D57" w:rsidP="004F1A47">
            <w:pPr>
              <w:pStyle w:val="Tabletext"/>
              <w:rPr>
                <w:rFonts w:ascii="Arial Nova" w:hAnsi="Arial Nova"/>
              </w:rPr>
            </w:pPr>
            <w:r w:rsidRPr="000B0A8E">
              <w:rPr>
                <w:rFonts w:ascii="Arial Nova" w:hAnsi="Arial Nova"/>
              </w:rPr>
              <w:t xml:space="preserve">Content removed </w:t>
            </w:r>
            <w:r w:rsidR="00B96A8C" w:rsidRPr="000B0A8E">
              <w:rPr>
                <w:rFonts w:ascii="Arial Nova" w:hAnsi="Arial Nova"/>
              </w:rPr>
              <w:t>as no longer relevant.</w:t>
            </w:r>
          </w:p>
        </w:tc>
      </w:tr>
      <w:tr w:rsidR="00420712" w:rsidRPr="000B0A8E" w14:paraId="79FE3090" w14:textId="77777777" w:rsidTr="004F1A47">
        <w:tc>
          <w:tcPr>
            <w:tcW w:w="2386" w:type="dxa"/>
            <w:tcBorders>
              <w:top w:val="single" w:sz="4" w:space="0" w:color="100249" w:themeColor="accent4"/>
              <w:bottom w:val="single" w:sz="4" w:space="0" w:color="100249" w:themeColor="accent4"/>
            </w:tcBorders>
          </w:tcPr>
          <w:p w14:paraId="7676F72D" w14:textId="1E595F27" w:rsidR="00420712" w:rsidRPr="000B0A8E" w:rsidRDefault="00420712" w:rsidP="004F1A47">
            <w:pPr>
              <w:pStyle w:val="Tabletext"/>
              <w:rPr>
                <w:rFonts w:ascii="Arial Nova" w:hAnsi="Arial Nova"/>
              </w:rPr>
            </w:pPr>
            <w:r>
              <w:rPr>
                <w:rFonts w:ascii="Arial Nova" w:hAnsi="Arial Nova"/>
              </w:rPr>
              <w:t>Reporting checklist</w:t>
            </w:r>
          </w:p>
        </w:tc>
        <w:tc>
          <w:tcPr>
            <w:tcW w:w="1158" w:type="dxa"/>
            <w:tcBorders>
              <w:top w:val="single" w:sz="4" w:space="0" w:color="100249" w:themeColor="accent4"/>
              <w:bottom w:val="single" w:sz="4" w:space="0" w:color="100249" w:themeColor="accent4"/>
            </w:tcBorders>
          </w:tcPr>
          <w:p w14:paraId="4CF56312" w14:textId="03D238A5" w:rsidR="00420712" w:rsidRPr="000B0A8E" w:rsidRDefault="00420712" w:rsidP="004F1A47">
            <w:pPr>
              <w:pStyle w:val="Tabletext"/>
              <w:rPr>
                <w:rFonts w:ascii="Arial Nova" w:hAnsi="Arial Nova"/>
              </w:rPr>
            </w:pPr>
            <w:r>
              <w:rPr>
                <w:rFonts w:ascii="Arial Nova" w:hAnsi="Arial Nova"/>
              </w:rPr>
              <w:t>1</w:t>
            </w:r>
            <w:r w:rsidR="0053442A">
              <w:rPr>
                <w:rFonts w:ascii="Arial Nova" w:hAnsi="Arial Nova"/>
              </w:rPr>
              <w:t>7</w:t>
            </w:r>
          </w:p>
        </w:tc>
        <w:tc>
          <w:tcPr>
            <w:tcW w:w="5953" w:type="dxa"/>
            <w:tcBorders>
              <w:top w:val="single" w:sz="4" w:space="0" w:color="100249" w:themeColor="accent4"/>
              <w:bottom w:val="single" w:sz="4" w:space="0" w:color="100249" w:themeColor="accent4"/>
            </w:tcBorders>
          </w:tcPr>
          <w:p w14:paraId="7CE68EC4" w14:textId="2C1ED4BF" w:rsidR="00420712" w:rsidRPr="000B0A8E" w:rsidRDefault="00627D7A" w:rsidP="004F1A47">
            <w:pPr>
              <w:pStyle w:val="Tabletext"/>
              <w:rPr>
                <w:rFonts w:ascii="Arial Nova" w:hAnsi="Arial Nova"/>
              </w:rPr>
            </w:pPr>
            <w:r>
              <w:rPr>
                <w:rFonts w:ascii="Arial Nova" w:hAnsi="Arial Nova"/>
              </w:rPr>
              <w:t xml:space="preserve">Checklist </w:t>
            </w:r>
            <w:r w:rsidR="001432BC">
              <w:rPr>
                <w:rFonts w:ascii="Arial Nova" w:hAnsi="Arial Nova"/>
              </w:rPr>
              <w:t xml:space="preserve">related to </w:t>
            </w:r>
            <w:r w:rsidR="009842B3">
              <w:rPr>
                <w:rFonts w:ascii="Arial Nova" w:hAnsi="Arial Nova"/>
              </w:rPr>
              <w:t>Local Government Act 1989 and 2014 Regulations</w:t>
            </w:r>
          </w:p>
        </w:tc>
        <w:tc>
          <w:tcPr>
            <w:tcW w:w="5954" w:type="dxa"/>
            <w:tcBorders>
              <w:top w:val="single" w:sz="4" w:space="0" w:color="100249" w:themeColor="accent4"/>
              <w:bottom w:val="single" w:sz="4" w:space="0" w:color="100249" w:themeColor="accent4"/>
            </w:tcBorders>
          </w:tcPr>
          <w:p w14:paraId="33FFDE41" w14:textId="1932A15F" w:rsidR="00420712" w:rsidRPr="000B0A8E" w:rsidRDefault="0065612D" w:rsidP="004F1A47">
            <w:pPr>
              <w:pStyle w:val="Tabletext"/>
              <w:rPr>
                <w:rFonts w:ascii="Arial Nova" w:hAnsi="Arial Nova"/>
              </w:rPr>
            </w:pPr>
            <w:r>
              <w:rPr>
                <w:rFonts w:ascii="Arial Nova" w:hAnsi="Arial Nova"/>
              </w:rPr>
              <w:t>Updated with requirements from the Local Government Act 2020 and Local Government (Planning and Reporting) Regulations 2020</w:t>
            </w:r>
          </w:p>
        </w:tc>
      </w:tr>
      <w:tr w:rsidR="000B0A8E" w:rsidRPr="000B0A8E" w14:paraId="02474386" w14:textId="77777777" w:rsidTr="004F1A47">
        <w:tc>
          <w:tcPr>
            <w:tcW w:w="2386" w:type="dxa"/>
            <w:tcBorders>
              <w:top w:val="single" w:sz="4" w:space="0" w:color="100249" w:themeColor="accent4"/>
              <w:bottom w:val="single" w:sz="4" w:space="0" w:color="100249" w:themeColor="accent4"/>
            </w:tcBorders>
          </w:tcPr>
          <w:p w14:paraId="1D37C202" w14:textId="5A58BFED" w:rsidR="00554DF5" w:rsidRPr="000B0A8E" w:rsidRDefault="0087295E" w:rsidP="004F1A47">
            <w:pPr>
              <w:pStyle w:val="Tabletext"/>
              <w:rPr>
                <w:rFonts w:ascii="Arial Nova" w:hAnsi="Arial Nova"/>
              </w:rPr>
            </w:pPr>
            <w:r w:rsidRPr="000B0A8E">
              <w:rPr>
                <w:rFonts w:ascii="Arial Nova" w:hAnsi="Arial Nova"/>
              </w:rPr>
              <w:t>Development of indicators</w:t>
            </w:r>
          </w:p>
        </w:tc>
        <w:tc>
          <w:tcPr>
            <w:tcW w:w="1158" w:type="dxa"/>
            <w:tcBorders>
              <w:top w:val="single" w:sz="4" w:space="0" w:color="100249" w:themeColor="accent4"/>
              <w:bottom w:val="single" w:sz="4" w:space="0" w:color="100249" w:themeColor="accent4"/>
            </w:tcBorders>
          </w:tcPr>
          <w:p w14:paraId="7F1A87D6" w14:textId="034ED445" w:rsidR="00554DF5" w:rsidRPr="000B0A8E" w:rsidRDefault="0087295E" w:rsidP="004F1A47">
            <w:pPr>
              <w:pStyle w:val="Tabletext"/>
              <w:rPr>
                <w:rFonts w:ascii="Arial Nova" w:hAnsi="Arial Nova"/>
              </w:rPr>
            </w:pPr>
            <w:r w:rsidRPr="000B0A8E">
              <w:rPr>
                <w:rFonts w:ascii="Arial Nova" w:hAnsi="Arial Nova"/>
              </w:rPr>
              <w:t>2</w:t>
            </w:r>
            <w:r w:rsidR="0053442A">
              <w:rPr>
                <w:rFonts w:ascii="Arial Nova" w:hAnsi="Arial Nova"/>
              </w:rPr>
              <w:t>0</w:t>
            </w:r>
          </w:p>
        </w:tc>
        <w:tc>
          <w:tcPr>
            <w:tcW w:w="5953" w:type="dxa"/>
            <w:tcBorders>
              <w:top w:val="single" w:sz="4" w:space="0" w:color="100249" w:themeColor="accent4"/>
              <w:bottom w:val="single" w:sz="4" w:space="0" w:color="100249" w:themeColor="accent4"/>
            </w:tcBorders>
          </w:tcPr>
          <w:p w14:paraId="37DA1707" w14:textId="7404CEF1" w:rsidR="00554DF5" w:rsidRPr="000B0A8E" w:rsidRDefault="00480525" w:rsidP="004F1A47">
            <w:pPr>
              <w:pStyle w:val="Tabletext"/>
              <w:rPr>
                <w:rFonts w:ascii="Arial Nova" w:hAnsi="Arial Nova"/>
              </w:rPr>
            </w:pPr>
            <w:r w:rsidRPr="000B0A8E">
              <w:rPr>
                <w:rFonts w:ascii="Arial Nova" w:hAnsi="Arial Nova"/>
              </w:rPr>
              <w:t>N/A</w:t>
            </w:r>
          </w:p>
        </w:tc>
        <w:tc>
          <w:tcPr>
            <w:tcW w:w="5954" w:type="dxa"/>
            <w:tcBorders>
              <w:top w:val="single" w:sz="4" w:space="0" w:color="100249" w:themeColor="accent4"/>
              <w:bottom w:val="single" w:sz="4" w:space="0" w:color="100249" w:themeColor="accent4"/>
            </w:tcBorders>
          </w:tcPr>
          <w:p w14:paraId="44B22BCD" w14:textId="7CFC4A30" w:rsidR="00554DF5" w:rsidRPr="000B0A8E" w:rsidRDefault="00A35698" w:rsidP="004F1A47">
            <w:pPr>
              <w:pStyle w:val="Tabletext"/>
              <w:rPr>
                <w:rFonts w:ascii="Arial Nova" w:hAnsi="Arial Nova"/>
              </w:rPr>
            </w:pPr>
            <w:r w:rsidRPr="000B0A8E">
              <w:rPr>
                <w:rFonts w:ascii="Arial Nova" w:hAnsi="Arial Nova"/>
              </w:rPr>
              <w:t>Content acknowledging the latest technical working groups. “…</w:t>
            </w:r>
            <w:r w:rsidRPr="000B0A8E">
              <w:rPr>
                <w:szCs w:val="18"/>
              </w:rPr>
              <w:t>Technical Working Groups were last held in 2021</w:t>
            </w:r>
            <w:r w:rsidRPr="000B0A8E">
              <w:rPr>
                <w:sz w:val="20"/>
              </w:rPr>
              <w:t>.”</w:t>
            </w:r>
          </w:p>
        </w:tc>
      </w:tr>
      <w:tr w:rsidR="000B0A8E" w:rsidRPr="000B0A8E" w14:paraId="0678EA2D" w14:textId="77777777" w:rsidTr="004F1A47">
        <w:tc>
          <w:tcPr>
            <w:tcW w:w="2386" w:type="dxa"/>
            <w:tcBorders>
              <w:top w:val="single" w:sz="4" w:space="0" w:color="100249" w:themeColor="accent4"/>
              <w:bottom w:val="single" w:sz="4" w:space="0" w:color="100249" w:themeColor="accent4"/>
            </w:tcBorders>
          </w:tcPr>
          <w:p w14:paraId="02F61C50" w14:textId="6D99ED09" w:rsidR="00554DF5" w:rsidRPr="000B0A8E" w:rsidRDefault="00A11AAD" w:rsidP="004F1A47">
            <w:pPr>
              <w:pStyle w:val="Tabletext"/>
              <w:rPr>
                <w:rFonts w:ascii="Arial Nova" w:hAnsi="Arial Nova"/>
              </w:rPr>
            </w:pPr>
            <w:r w:rsidRPr="000B0A8E">
              <w:rPr>
                <w:rFonts w:ascii="Arial Nova" w:hAnsi="Arial Nova"/>
              </w:rPr>
              <w:t>Presentation of data on Know Your Council</w:t>
            </w:r>
          </w:p>
        </w:tc>
        <w:tc>
          <w:tcPr>
            <w:tcW w:w="1158" w:type="dxa"/>
            <w:tcBorders>
              <w:top w:val="single" w:sz="4" w:space="0" w:color="100249" w:themeColor="accent4"/>
              <w:bottom w:val="single" w:sz="4" w:space="0" w:color="100249" w:themeColor="accent4"/>
            </w:tcBorders>
          </w:tcPr>
          <w:p w14:paraId="36A8D81F" w14:textId="53651330" w:rsidR="00554DF5" w:rsidRPr="000B0A8E" w:rsidRDefault="00911736" w:rsidP="004F1A47">
            <w:pPr>
              <w:pStyle w:val="Tabletext"/>
              <w:rPr>
                <w:rFonts w:ascii="Arial Nova" w:hAnsi="Arial Nova"/>
              </w:rPr>
            </w:pPr>
            <w:r w:rsidRPr="000B0A8E">
              <w:rPr>
                <w:rFonts w:ascii="Arial Nova" w:hAnsi="Arial Nova"/>
              </w:rPr>
              <w:t>2</w:t>
            </w:r>
            <w:r w:rsidR="0053442A">
              <w:rPr>
                <w:rFonts w:ascii="Arial Nova" w:hAnsi="Arial Nova"/>
              </w:rPr>
              <w:t>2</w:t>
            </w:r>
          </w:p>
        </w:tc>
        <w:tc>
          <w:tcPr>
            <w:tcW w:w="5953" w:type="dxa"/>
            <w:tcBorders>
              <w:top w:val="single" w:sz="4" w:space="0" w:color="100249" w:themeColor="accent4"/>
              <w:bottom w:val="single" w:sz="4" w:space="0" w:color="100249" w:themeColor="accent4"/>
            </w:tcBorders>
          </w:tcPr>
          <w:p w14:paraId="0677EA70" w14:textId="5A994A99" w:rsidR="00554DF5" w:rsidRPr="000B0A8E" w:rsidRDefault="00911736" w:rsidP="004F1A47">
            <w:pPr>
              <w:pStyle w:val="Tabletext"/>
              <w:rPr>
                <w:rFonts w:ascii="Arial Nova" w:hAnsi="Arial Nova"/>
              </w:rPr>
            </w:pPr>
            <w:r w:rsidRPr="000B0A8E">
              <w:rPr>
                <w:rFonts w:ascii="Arial Nova" w:hAnsi="Arial Nova"/>
              </w:rPr>
              <w:t>“</w:t>
            </w:r>
            <w:r w:rsidR="00441335" w:rsidRPr="000B0A8E">
              <w:rPr>
                <w:rFonts w:ascii="Arial Nova" w:hAnsi="Arial Nova"/>
              </w:rPr>
              <w:t>With an average of 12,596 visitors a week…”</w:t>
            </w:r>
            <w:r w:rsidRPr="000B0A8E">
              <w:rPr>
                <w:rFonts w:ascii="Arial Nova" w:hAnsi="Arial Nova"/>
              </w:rPr>
              <w:t xml:space="preserve"> </w:t>
            </w:r>
          </w:p>
        </w:tc>
        <w:tc>
          <w:tcPr>
            <w:tcW w:w="5954" w:type="dxa"/>
            <w:tcBorders>
              <w:top w:val="single" w:sz="4" w:space="0" w:color="100249" w:themeColor="accent4"/>
              <w:bottom w:val="single" w:sz="4" w:space="0" w:color="100249" w:themeColor="accent4"/>
            </w:tcBorders>
          </w:tcPr>
          <w:p w14:paraId="416979F8" w14:textId="4B2A0E1A" w:rsidR="00554DF5" w:rsidRPr="000B0A8E" w:rsidRDefault="00EA7AA9" w:rsidP="004F1A47">
            <w:pPr>
              <w:pStyle w:val="Tabletext"/>
              <w:rPr>
                <w:rFonts w:ascii="Arial Nova" w:hAnsi="Arial Nova"/>
              </w:rPr>
            </w:pPr>
            <w:r w:rsidRPr="000B0A8E">
              <w:rPr>
                <w:rFonts w:ascii="Arial Nova" w:hAnsi="Arial Nova"/>
              </w:rPr>
              <w:t>“</w:t>
            </w:r>
            <w:r w:rsidRPr="000B0A8E">
              <w:rPr>
                <w:rFonts w:cs="Arial"/>
              </w:rPr>
              <w:t>With an average of 11,061 visitors a week…”</w:t>
            </w:r>
          </w:p>
        </w:tc>
      </w:tr>
      <w:tr w:rsidR="000B0A8E" w:rsidRPr="000B0A8E" w14:paraId="32AABFEC" w14:textId="77777777" w:rsidTr="004F1A47">
        <w:tc>
          <w:tcPr>
            <w:tcW w:w="2386" w:type="dxa"/>
            <w:tcBorders>
              <w:top w:val="single" w:sz="4" w:space="0" w:color="100249" w:themeColor="accent4"/>
              <w:bottom w:val="single" w:sz="4" w:space="0" w:color="100249" w:themeColor="accent4"/>
            </w:tcBorders>
          </w:tcPr>
          <w:p w14:paraId="50481853" w14:textId="77777777" w:rsidR="00554DF5" w:rsidRPr="000B0A8E" w:rsidRDefault="00554DF5" w:rsidP="004F1A47">
            <w:pPr>
              <w:pStyle w:val="Tabletext"/>
              <w:rPr>
                <w:rFonts w:ascii="Arial Nova" w:hAnsi="Arial Nova"/>
              </w:rPr>
            </w:pPr>
          </w:p>
        </w:tc>
        <w:tc>
          <w:tcPr>
            <w:tcW w:w="1158" w:type="dxa"/>
            <w:tcBorders>
              <w:top w:val="single" w:sz="4" w:space="0" w:color="100249" w:themeColor="accent4"/>
              <w:bottom w:val="single" w:sz="4" w:space="0" w:color="100249" w:themeColor="accent4"/>
            </w:tcBorders>
          </w:tcPr>
          <w:p w14:paraId="78D9F720" w14:textId="3577A284" w:rsidR="00554DF5" w:rsidRPr="000B0A8E" w:rsidRDefault="0091268F" w:rsidP="004F1A47">
            <w:pPr>
              <w:pStyle w:val="Tabletext"/>
              <w:rPr>
                <w:rFonts w:ascii="Arial Nova" w:hAnsi="Arial Nova"/>
              </w:rPr>
            </w:pPr>
            <w:r w:rsidRPr="000B0A8E">
              <w:rPr>
                <w:rFonts w:ascii="Arial Nova" w:hAnsi="Arial Nova"/>
              </w:rPr>
              <w:t>2</w:t>
            </w:r>
            <w:r w:rsidR="0053442A">
              <w:rPr>
                <w:rFonts w:ascii="Arial Nova" w:hAnsi="Arial Nova"/>
              </w:rPr>
              <w:t>2</w:t>
            </w:r>
          </w:p>
        </w:tc>
        <w:tc>
          <w:tcPr>
            <w:tcW w:w="5953" w:type="dxa"/>
            <w:tcBorders>
              <w:top w:val="single" w:sz="4" w:space="0" w:color="100249" w:themeColor="accent4"/>
              <w:bottom w:val="single" w:sz="4" w:space="0" w:color="100249" w:themeColor="accent4"/>
            </w:tcBorders>
          </w:tcPr>
          <w:p w14:paraId="5CEA71B2" w14:textId="0A496CC5" w:rsidR="00554DF5" w:rsidRPr="000B0A8E" w:rsidRDefault="0059681E" w:rsidP="004F1A47">
            <w:pPr>
              <w:pStyle w:val="Tabletext"/>
              <w:rPr>
                <w:rFonts w:ascii="Arial Nova" w:hAnsi="Arial Nova"/>
                <w:bCs/>
              </w:rPr>
            </w:pPr>
            <w:r w:rsidRPr="000B0A8E">
              <w:rPr>
                <w:rFonts w:ascii="Arial Nova" w:hAnsi="Arial Nova"/>
                <w:bCs/>
              </w:rPr>
              <w:t>Examples of commentary to reframe ‘no material variations’ for the public</w:t>
            </w:r>
          </w:p>
        </w:tc>
        <w:tc>
          <w:tcPr>
            <w:tcW w:w="5954" w:type="dxa"/>
            <w:tcBorders>
              <w:top w:val="single" w:sz="4" w:space="0" w:color="100249" w:themeColor="accent4"/>
              <w:bottom w:val="single" w:sz="4" w:space="0" w:color="100249" w:themeColor="accent4"/>
            </w:tcBorders>
          </w:tcPr>
          <w:p w14:paraId="3D098E74" w14:textId="78B422D6" w:rsidR="00554DF5" w:rsidRPr="000B0A8E" w:rsidRDefault="0059681E" w:rsidP="004F1A47">
            <w:pPr>
              <w:pStyle w:val="Tabletext"/>
              <w:rPr>
                <w:rFonts w:ascii="Arial Nova" w:hAnsi="Arial Nova"/>
              </w:rPr>
            </w:pPr>
            <w:r w:rsidRPr="000B0A8E">
              <w:rPr>
                <w:rFonts w:ascii="Arial Nova" w:hAnsi="Arial Nova"/>
              </w:rPr>
              <w:t>Examples were updated for 2021</w:t>
            </w:r>
          </w:p>
        </w:tc>
      </w:tr>
      <w:tr w:rsidR="00C55DC3" w:rsidRPr="000B0A8E" w14:paraId="59414162" w14:textId="77777777" w:rsidTr="004F1A47">
        <w:tc>
          <w:tcPr>
            <w:tcW w:w="2386" w:type="dxa"/>
            <w:tcBorders>
              <w:top w:val="single" w:sz="4" w:space="0" w:color="100249" w:themeColor="accent4"/>
              <w:bottom w:val="single" w:sz="4" w:space="0" w:color="100249" w:themeColor="accent4"/>
            </w:tcBorders>
          </w:tcPr>
          <w:p w14:paraId="2A583E83" w14:textId="25295901" w:rsidR="00C55DC3" w:rsidRPr="000B0A8E" w:rsidRDefault="00C55DC3" w:rsidP="004F1A47">
            <w:pPr>
              <w:pStyle w:val="Tabletext"/>
              <w:rPr>
                <w:rFonts w:ascii="Arial Nova" w:hAnsi="Arial Nova"/>
              </w:rPr>
            </w:pPr>
            <w:r>
              <w:rPr>
                <w:rFonts w:ascii="Arial Nova" w:hAnsi="Arial Nova"/>
              </w:rPr>
              <w:lastRenderedPageBreak/>
              <w:t>Structure of the reporting guide</w:t>
            </w:r>
          </w:p>
        </w:tc>
        <w:tc>
          <w:tcPr>
            <w:tcW w:w="1158" w:type="dxa"/>
            <w:tcBorders>
              <w:top w:val="single" w:sz="4" w:space="0" w:color="100249" w:themeColor="accent4"/>
              <w:bottom w:val="single" w:sz="4" w:space="0" w:color="100249" w:themeColor="accent4"/>
            </w:tcBorders>
          </w:tcPr>
          <w:p w14:paraId="1662FAFD" w14:textId="44556AFF" w:rsidR="00C55DC3" w:rsidRPr="000B0A8E" w:rsidRDefault="00CD488B" w:rsidP="004F1A47">
            <w:pPr>
              <w:pStyle w:val="Tabletext"/>
              <w:rPr>
                <w:rFonts w:ascii="Arial Nova" w:hAnsi="Arial Nova"/>
              </w:rPr>
            </w:pPr>
            <w:r>
              <w:rPr>
                <w:rFonts w:ascii="Arial Nova" w:hAnsi="Arial Nova"/>
              </w:rPr>
              <w:t>24</w:t>
            </w:r>
          </w:p>
        </w:tc>
        <w:tc>
          <w:tcPr>
            <w:tcW w:w="5953" w:type="dxa"/>
            <w:tcBorders>
              <w:top w:val="single" w:sz="4" w:space="0" w:color="100249" w:themeColor="accent4"/>
              <w:bottom w:val="single" w:sz="4" w:space="0" w:color="100249" w:themeColor="accent4"/>
            </w:tcBorders>
          </w:tcPr>
          <w:p w14:paraId="6E4375C1" w14:textId="40C94CE9" w:rsidR="00C55DC3" w:rsidRPr="000B0A8E" w:rsidRDefault="00CD488B" w:rsidP="004F1A47">
            <w:pPr>
              <w:pStyle w:val="Tabletext"/>
              <w:rPr>
                <w:rFonts w:ascii="Arial Nova" w:hAnsi="Arial Nova"/>
                <w:bCs/>
              </w:rPr>
            </w:pPr>
            <w:r>
              <w:rPr>
                <w:rFonts w:ascii="Arial Nova" w:hAnsi="Arial Nova"/>
                <w:bCs/>
              </w:rPr>
              <w:t>N/A</w:t>
            </w:r>
          </w:p>
        </w:tc>
        <w:tc>
          <w:tcPr>
            <w:tcW w:w="5954" w:type="dxa"/>
            <w:tcBorders>
              <w:top w:val="single" w:sz="4" w:space="0" w:color="100249" w:themeColor="accent4"/>
              <w:bottom w:val="single" w:sz="4" w:space="0" w:color="100249" w:themeColor="accent4"/>
            </w:tcBorders>
          </w:tcPr>
          <w:p w14:paraId="2D094FA5" w14:textId="5BFF6E54" w:rsidR="00C55DC3" w:rsidRPr="000B0A8E" w:rsidRDefault="00CD488B" w:rsidP="004F1A47">
            <w:pPr>
              <w:pStyle w:val="Tabletext"/>
              <w:rPr>
                <w:rFonts w:ascii="Arial Nova" w:hAnsi="Arial Nova"/>
              </w:rPr>
            </w:pPr>
            <w:r>
              <w:rPr>
                <w:rFonts w:ascii="Arial Nova" w:hAnsi="Arial Nova"/>
              </w:rPr>
              <w:t>New text added: “</w:t>
            </w:r>
            <w:r w:rsidR="006D7CEA" w:rsidRPr="006D7CEA">
              <w:rPr>
                <w:rFonts w:ascii="Arial Nova" w:hAnsi="Arial Nova"/>
              </w:rPr>
              <w:t>Please note this reporting guide applies specifically to the 2021-22 and 2022-23 financial years</w:t>
            </w:r>
            <w:r w:rsidR="006D7CEA">
              <w:rPr>
                <w:rFonts w:ascii="Arial Nova" w:hAnsi="Arial Nova"/>
              </w:rPr>
              <w:t>….”</w:t>
            </w:r>
          </w:p>
        </w:tc>
      </w:tr>
      <w:tr w:rsidR="000B0A8E" w:rsidRPr="000B0A8E" w14:paraId="6E862AC0" w14:textId="77777777" w:rsidTr="004F1A47">
        <w:tc>
          <w:tcPr>
            <w:tcW w:w="2386" w:type="dxa"/>
            <w:tcBorders>
              <w:top w:val="single" w:sz="4" w:space="0" w:color="100249" w:themeColor="accent4"/>
              <w:bottom w:val="single" w:sz="4" w:space="0" w:color="100249" w:themeColor="accent4"/>
            </w:tcBorders>
          </w:tcPr>
          <w:p w14:paraId="45C3F640" w14:textId="21FD54B2" w:rsidR="000B0A8E" w:rsidRPr="000B0A8E" w:rsidRDefault="00902901" w:rsidP="004F1A47">
            <w:pPr>
              <w:pStyle w:val="Tabletext"/>
              <w:rPr>
                <w:rFonts w:ascii="Arial Nova" w:hAnsi="Arial Nova"/>
              </w:rPr>
            </w:pPr>
            <w:r>
              <w:rPr>
                <w:rFonts w:ascii="Arial Nova" w:hAnsi="Arial Nova"/>
              </w:rPr>
              <w:t>Meas</w:t>
            </w:r>
            <w:r w:rsidR="00B025CF">
              <w:rPr>
                <w:rFonts w:ascii="Arial Nova" w:hAnsi="Arial Nova"/>
              </w:rPr>
              <w:t>ures</w:t>
            </w:r>
          </w:p>
        </w:tc>
        <w:tc>
          <w:tcPr>
            <w:tcW w:w="1158" w:type="dxa"/>
            <w:tcBorders>
              <w:top w:val="single" w:sz="4" w:space="0" w:color="100249" w:themeColor="accent4"/>
              <w:bottom w:val="single" w:sz="4" w:space="0" w:color="100249" w:themeColor="accent4"/>
            </w:tcBorders>
          </w:tcPr>
          <w:p w14:paraId="09CAC1AE" w14:textId="63F5ED86" w:rsidR="000B0A8E" w:rsidRPr="000B0A8E" w:rsidRDefault="00B025CF" w:rsidP="004F1A47">
            <w:pPr>
              <w:pStyle w:val="Tabletext"/>
              <w:rPr>
                <w:rFonts w:ascii="Arial Nova" w:hAnsi="Arial Nova"/>
              </w:rPr>
            </w:pPr>
            <w:r>
              <w:rPr>
                <w:rFonts w:ascii="Arial Nova" w:hAnsi="Arial Nova"/>
              </w:rPr>
              <w:t>-</w:t>
            </w:r>
          </w:p>
        </w:tc>
        <w:tc>
          <w:tcPr>
            <w:tcW w:w="5953" w:type="dxa"/>
            <w:tcBorders>
              <w:top w:val="single" w:sz="4" w:space="0" w:color="100249" w:themeColor="accent4"/>
              <w:bottom w:val="single" w:sz="4" w:space="0" w:color="100249" w:themeColor="accent4"/>
            </w:tcBorders>
          </w:tcPr>
          <w:p w14:paraId="4274EE2D" w14:textId="64B9BD6A" w:rsidR="000B0A8E" w:rsidRPr="000B0A8E" w:rsidRDefault="00B025CF" w:rsidP="004F1A47">
            <w:pPr>
              <w:pStyle w:val="Tabletext"/>
              <w:rPr>
                <w:rFonts w:ascii="Arial Nova" w:hAnsi="Arial Nova"/>
                <w:bCs/>
              </w:rPr>
            </w:pPr>
            <w:r w:rsidRPr="00B025CF">
              <w:rPr>
                <w:rFonts w:ascii="Arial Nova" w:hAnsi="Arial Nova"/>
                <w:bCs/>
              </w:rPr>
              <w:t>Catalogue 3218.0</w:t>
            </w:r>
          </w:p>
        </w:tc>
        <w:tc>
          <w:tcPr>
            <w:tcW w:w="5954" w:type="dxa"/>
            <w:tcBorders>
              <w:top w:val="single" w:sz="4" w:space="0" w:color="100249" w:themeColor="accent4"/>
              <w:bottom w:val="single" w:sz="4" w:space="0" w:color="100249" w:themeColor="accent4"/>
            </w:tcBorders>
          </w:tcPr>
          <w:p w14:paraId="1AE21682" w14:textId="5EFE7C5D" w:rsidR="000B0A8E" w:rsidRPr="000B0A8E" w:rsidRDefault="00B025CF" w:rsidP="004F1A47">
            <w:pPr>
              <w:pStyle w:val="Tabletext"/>
              <w:rPr>
                <w:rFonts w:ascii="Arial Nova" w:hAnsi="Arial Nova"/>
              </w:rPr>
            </w:pPr>
            <w:r>
              <w:rPr>
                <w:rFonts w:ascii="Arial Nova" w:hAnsi="Arial Nova"/>
              </w:rPr>
              <w:t xml:space="preserve">Removed reference to retired ABS catalogue name across relevant measures. </w:t>
            </w:r>
          </w:p>
        </w:tc>
      </w:tr>
      <w:tr w:rsidR="000B0A8E" w:rsidRPr="000B0A8E" w14:paraId="0F9CCA62" w14:textId="77777777" w:rsidTr="004F1A47">
        <w:tc>
          <w:tcPr>
            <w:tcW w:w="2386" w:type="dxa"/>
            <w:tcBorders>
              <w:top w:val="single" w:sz="4" w:space="0" w:color="100249" w:themeColor="accent4"/>
              <w:bottom w:val="single" w:sz="4" w:space="0" w:color="100249" w:themeColor="accent4"/>
            </w:tcBorders>
          </w:tcPr>
          <w:p w14:paraId="1C976074" w14:textId="77777777" w:rsidR="000B0A8E" w:rsidRPr="000B0A8E" w:rsidRDefault="000B0A8E" w:rsidP="004F1A47">
            <w:pPr>
              <w:pStyle w:val="Tabletext"/>
              <w:rPr>
                <w:rFonts w:ascii="Arial Nova" w:hAnsi="Arial Nova"/>
              </w:rPr>
            </w:pPr>
          </w:p>
        </w:tc>
        <w:tc>
          <w:tcPr>
            <w:tcW w:w="1158" w:type="dxa"/>
            <w:tcBorders>
              <w:top w:val="single" w:sz="4" w:space="0" w:color="100249" w:themeColor="accent4"/>
              <w:bottom w:val="single" w:sz="4" w:space="0" w:color="100249" w:themeColor="accent4"/>
            </w:tcBorders>
          </w:tcPr>
          <w:p w14:paraId="765C0858" w14:textId="67A7D464" w:rsidR="000B0A8E" w:rsidRPr="000B0A8E" w:rsidRDefault="006133A9" w:rsidP="004F1A47">
            <w:pPr>
              <w:pStyle w:val="Tabletext"/>
              <w:rPr>
                <w:rFonts w:ascii="Arial Nova" w:hAnsi="Arial Nova"/>
              </w:rPr>
            </w:pPr>
            <w:r>
              <w:rPr>
                <w:rFonts w:ascii="Arial Nova" w:hAnsi="Arial Nova"/>
              </w:rPr>
              <w:t>-</w:t>
            </w:r>
          </w:p>
        </w:tc>
        <w:tc>
          <w:tcPr>
            <w:tcW w:w="5953" w:type="dxa"/>
            <w:tcBorders>
              <w:top w:val="single" w:sz="4" w:space="0" w:color="100249" w:themeColor="accent4"/>
              <w:bottom w:val="single" w:sz="4" w:space="0" w:color="100249" w:themeColor="accent4"/>
            </w:tcBorders>
          </w:tcPr>
          <w:p w14:paraId="43B91FBD" w14:textId="089B38A9" w:rsidR="000B0A8E" w:rsidRPr="000B0A8E" w:rsidRDefault="006133A9" w:rsidP="004F1A47">
            <w:pPr>
              <w:pStyle w:val="Tabletext"/>
              <w:rPr>
                <w:rFonts w:ascii="Arial Nova" w:hAnsi="Arial Nova"/>
                <w:bCs/>
              </w:rPr>
            </w:pPr>
            <w:r>
              <w:rPr>
                <w:rFonts w:ascii="Arial Nova" w:hAnsi="Arial Nova"/>
                <w:bCs/>
              </w:rPr>
              <w:t xml:space="preserve">Reference to the Local Government Act </w:t>
            </w:r>
            <w:r w:rsidR="008025A7">
              <w:rPr>
                <w:rFonts w:ascii="Arial Nova" w:hAnsi="Arial Nova"/>
                <w:bCs/>
              </w:rPr>
              <w:t>1989 and the Local Government (Planning and Reporting) Regulations 2014</w:t>
            </w:r>
          </w:p>
        </w:tc>
        <w:tc>
          <w:tcPr>
            <w:tcW w:w="5954" w:type="dxa"/>
            <w:tcBorders>
              <w:top w:val="single" w:sz="4" w:space="0" w:color="100249" w:themeColor="accent4"/>
              <w:bottom w:val="single" w:sz="4" w:space="0" w:color="100249" w:themeColor="accent4"/>
            </w:tcBorders>
          </w:tcPr>
          <w:p w14:paraId="30037498" w14:textId="7E0B4E77" w:rsidR="000B0A8E" w:rsidRPr="000B0A8E" w:rsidRDefault="00174A34" w:rsidP="004F1A47">
            <w:pPr>
              <w:pStyle w:val="Tabletext"/>
              <w:rPr>
                <w:rFonts w:ascii="Arial Nova" w:hAnsi="Arial Nova"/>
              </w:rPr>
            </w:pPr>
            <w:r>
              <w:rPr>
                <w:rFonts w:ascii="Arial Nova" w:hAnsi="Arial Nova"/>
              </w:rPr>
              <w:t>Updated references to the Local Government Act 2020 and the Local Government (Planning and Reporting) Regulations 2020</w:t>
            </w:r>
          </w:p>
        </w:tc>
      </w:tr>
      <w:tr w:rsidR="00654A67" w:rsidRPr="000B0A8E" w14:paraId="16DE7991" w14:textId="77777777" w:rsidTr="004F1A47">
        <w:tc>
          <w:tcPr>
            <w:tcW w:w="2386" w:type="dxa"/>
            <w:tcBorders>
              <w:top w:val="single" w:sz="4" w:space="0" w:color="100249" w:themeColor="accent4"/>
              <w:bottom w:val="single" w:sz="4" w:space="0" w:color="100249" w:themeColor="accent4"/>
            </w:tcBorders>
          </w:tcPr>
          <w:p w14:paraId="663B340B" w14:textId="77777777" w:rsidR="00654A67" w:rsidRPr="000B0A8E" w:rsidRDefault="00654A67" w:rsidP="004F1A47">
            <w:pPr>
              <w:pStyle w:val="Tabletext"/>
              <w:rPr>
                <w:rFonts w:ascii="Arial Nova" w:hAnsi="Arial Nova"/>
              </w:rPr>
            </w:pPr>
          </w:p>
        </w:tc>
        <w:tc>
          <w:tcPr>
            <w:tcW w:w="1158" w:type="dxa"/>
            <w:tcBorders>
              <w:top w:val="single" w:sz="4" w:space="0" w:color="100249" w:themeColor="accent4"/>
              <w:bottom w:val="single" w:sz="4" w:space="0" w:color="100249" w:themeColor="accent4"/>
            </w:tcBorders>
          </w:tcPr>
          <w:p w14:paraId="084873A6" w14:textId="6FEA6D44" w:rsidR="00654A67" w:rsidRDefault="00654A67" w:rsidP="004F1A47">
            <w:pPr>
              <w:pStyle w:val="Tabletext"/>
              <w:rPr>
                <w:rFonts w:ascii="Arial Nova" w:hAnsi="Arial Nova"/>
              </w:rPr>
            </w:pPr>
            <w:r>
              <w:rPr>
                <w:rFonts w:ascii="Arial Nova" w:hAnsi="Arial Nova"/>
              </w:rPr>
              <w:t>-</w:t>
            </w:r>
          </w:p>
        </w:tc>
        <w:tc>
          <w:tcPr>
            <w:tcW w:w="5953" w:type="dxa"/>
            <w:tcBorders>
              <w:top w:val="single" w:sz="4" w:space="0" w:color="100249" w:themeColor="accent4"/>
              <w:bottom w:val="single" w:sz="4" w:space="0" w:color="100249" w:themeColor="accent4"/>
            </w:tcBorders>
          </w:tcPr>
          <w:p w14:paraId="5E895F20" w14:textId="4507D8ED" w:rsidR="00654A67" w:rsidRDefault="00654A67" w:rsidP="004F1A47">
            <w:pPr>
              <w:pStyle w:val="Tabletext"/>
              <w:rPr>
                <w:rFonts w:ascii="Arial Nova" w:hAnsi="Arial Nova"/>
                <w:bCs/>
              </w:rPr>
            </w:pPr>
            <w:r>
              <w:rPr>
                <w:rFonts w:ascii="Arial Nova" w:hAnsi="Arial Nova"/>
                <w:bCs/>
              </w:rPr>
              <w:t xml:space="preserve">Local Government </w:t>
            </w:r>
            <w:r w:rsidR="00E645E2">
              <w:rPr>
                <w:rFonts w:ascii="Arial Nova" w:hAnsi="Arial Nova"/>
                <w:bCs/>
              </w:rPr>
              <w:t>Practice Note 2 – Conduct of Community Satisfaction</w:t>
            </w:r>
          </w:p>
        </w:tc>
        <w:tc>
          <w:tcPr>
            <w:tcW w:w="5954" w:type="dxa"/>
            <w:tcBorders>
              <w:top w:val="single" w:sz="4" w:space="0" w:color="100249" w:themeColor="accent4"/>
              <w:bottom w:val="single" w:sz="4" w:space="0" w:color="100249" w:themeColor="accent4"/>
            </w:tcBorders>
          </w:tcPr>
          <w:p w14:paraId="571334D3" w14:textId="51C3EC43" w:rsidR="00654A67" w:rsidRDefault="00E645E2" w:rsidP="004F1A47">
            <w:pPr>
              <w:pStyle w:val="Tabletext"/>
              <w:rPr>
                <w:rFonts w:ascii="Arial Nova" w:hAnsi="Arial Nova"/>
              </w:rPr>
            </w:pPr>
            <w:r>
              <w:rPr>
                <w:rFonts w:ascii="Arial Nova" w:hAnsi="Arial Nova"/>
              </w:rPr>
              <w:t>Updated to new version of practice note: Local Government Practice Note 14 – Conduct of Community Satisfaction</w:t>
            </w:r>
          </w:p>
        </w:tc>
      </w:tr>
      <w:tr w:rsidR="000B0A8E" w:rsidRPr="000B0A8E" w14:paraId="19330340" w14:textId="77777777" w:rsidTr="004F1A47">
        <w:tc>
          <w:tcPr>
            <w:tcW w:w="2386" w:type="dxa"/>
            <w:tcBorders>
              <w:top w:val="single" w:sz="4" w:space="0" w:color="100249" w:themeColor="accent4"/>
              <w:bottom w:val="single" w:sz="4" w:space="0" w:color="100249" w:themeColor="accent4"/>
            </w:tcBorders>
          </w:tcPr>
          <w:p w14:paraId="5053E9A5" w14:textId="150D6AD8" w:rsidR="000B0A8E" w:rsidRPr="000B0A8E" w:rsidRDefault="007B15C4" w:rsidP="004F1A47">
            <w:pPr>
              <w:pStyle w:val="Tabletext"/>
              <w:rPr>
                <w:rFonts w:ascii="Arial Nova" w:hAnsi="Arial Nova"/>
              </w:rPr>
            </w:pPr>
            <w:r>
              <w:rPr>
                <w:rFonts w:ascii="Arial Nova" w:hAnsi="Arial Nova"/>
              </w:rPr>
              <w:t>AF2</w:t>
            </w:r>
          </w:p>
        </w:tc>
        <w:tc>
          <w:tcPr>
            <w:tcW w:w="1158" w:type="dxa"/>
            <w:tcBorders>
              <w:top w:val="single" w:sz="4" w:space="0" w:color="100249" w:themeColor="accent4"/>
              <w:bottom w:val="single" w:sz="4" w:space="0" w:color="100249" w:themeColor="accent4"/>
            </w:tcBorders>
          </w:tcPr>
          <w:p w14:paraId="3E373735" w14:textId="76632FB9" w:rsidR="000B0A8E" w:rsidRPr="000B0A8E" w:rsidRDefault="007B15C4" w:rsidP="004F1A47">
            <w:pPr>
              <w:pStyle w:val="Tabletext"/>
              <w:rPr>
                <w:rFonts w:ascii="Arial Nova" w:hAnsi="Arial Nova"/>
              </w:rPr>
            </w:pPr>
            <w:r>
              <w:rPr>
                <w:rFonts w:ascii="Arial Nova" w:hAnsi="Arial Nova"/>
              </w:rPr>
              <w:t>2</w:t>
            </w:r>
            <w:r w:rsidR="0053442A">
              <w:rPr>
                <w:rFonts w:ascii="Arial Nova" w:hAnsi="Arial Nova"/>
              </w:rPr>
              <w:t>5</w:t>
            </w:r>
          </w:p>
        </w:tc>
        <w:tc>
          <w:tcPr>
            <w:tcW w:w="5953" w:type="dxa"/>
            <w:tcBorders>
              <w:top w:val="single" w:sz="4" w:space="0" w:color="100249" w:themeColor="accent4"/>
              <w:bottom w:val="single" w:sz="4" w:space="0" w:color="100249" w:themeColor="accent4"/>
            </w:tcBorders>
          </w:tcPr>
          <w:p w14:paraId="674DC50B" w14:textId="37152390" w:rsidR="000B0A8E" w:rsidRPr="000B0A8E" w:rsidRDefault="007B15C4" w:rsidP="004F1A47">
            <w:pPr>
              <w:pStyle w:val="Tabletext"/>
              <w:rPr>
                <w:rFonts w:ascii="Arial Nova" w:hAnsi="Arial Nova"/>
                <w:bCs/>
              </w:rPr>
            </w:pPr>
            <w:r>
              <w:rPr>
                <w:rFonts w:ascii="Arial Nova" w:hAnsi="Arial Nova"/>
                <w:bCs/>
              </w:rPr>
              <w:t>Reference to Department of Health and Human Services</w:t>
            </w:r>
          </w:p>
        </w:tc>
        <w:tc>
          <w:tcPr>
            <w:tcW w:w="5954" w:type="dxa"/>
            <w:tcBorders>
              <w:top w:val="single" w:sz="4" w:space="0" w:color="100249" w:themeColor="accent4"/>
              <w:bottom w:val="single" w:sz="4" w:space="0" w:color="100249" w:themeColor="accent4"/>
            </w:tcBorders>
          </w:tcPr>
          <w:p w14:paraId="2D8D1A34" w14:textId="7BCB99D0" w:rsidR="000B0A8E" w:rsidRPr="000B0A8E" w:rsidRDefault="007B15C4" w:rsidP="004F1A47">
            <w:pPr>
              <w:pStyle w:val="Tabletext"/>
              <w:rPr>
                <w:rFonts w:ascii="Arial Nova" w:hAnsi="Arial Nova"/>
              </w:rPr>
            </w:pPr>
            <w:r>
              <w:rPr>
                <w:rFonts w:ascii="Arial Nova" w:hAnsi="Arial Nova"/>
              </w:rPr>
              <w:t>Updated references to the Department of Health based on the change to the department.</w:t>
            </w:r>
          </w:p>
        </w:tc>
      </w:tr>
      <w:tr w:rsidR="003B5094" w:rsidRPr="000B0A8E" w14:paraId="0B8551AF" w14:textId="77777777" w:rsidTr="004F1A47">
        <w:tc>
          <w:tcPr>
            <w:tcW w:w="2386" w:type="dxa"/>
            <w:tcBorders>
              <w:top w:val="single" w:sz="4" w:space="0" w:color="100249" w:themeColor="accent4"/>
              <w:bottom w:val="single" w:sz="4" w:space="0" w:color="100249" w:themeColor="accent4"/>
            </w:tcBorders>
          </w:tcPr>
          <w:p w14:paraId="67882A3A" w14:textId="0E755288" w:rsidR="003B5094" w:rsidRDefault="00232B1D" w:rsidP="004F1A47">
            <w:pPr>
              <w:pStyle w:val="Tabletext"/>
              <w:rPr>
                <w:rFonts w:ascii="Arial Nova" w:hAnsi="Arial Nova"/>
              </w:rPr>
            </w:pPr>
            <w:r>
              <w:rPr>
                <w:rFonts w:ascii="Arial Nova" w:hAnsi="Arial Nova"/>
              </w:rPr>
              <w:t>AM2</w:t>
            </w:r>
          </w:p>
        </w:tc>
        <w:tc>
          <w:tcPr>
            <w:tcW w:w="1158" w:type="dxa"/>
            <w:tcBorders>
              <w:top w:val="single" w:sz="4" w:space="0" w:color="100249" w:themeColor="accent4"/>
              <w:bottom w:val="single" w:sz="4" w:space="0" w:color="100249" w:themeColor="accent4"/>
            </w:tcBorders>
          </w:tcPr>
          <w:p w14:paraId="6DC8D201" w14:textId="0DDD7DD0" w:rsidR="003B5094" w:rsidRDefault="00232B1D" w:rsidP="004F1A47">
            <w:pPr>
              <w:pStyle w:val="Tabletext"/>
              <w:rPr>
                <w:rFonts w:ascii="Arial Nova" w:hAnsi="Arial Nova"/>
              </w:rPr>
            </w:pPr>
            <w:r>
              <w:rPr>
                <w:rFonts w:ascii="Arial Nova" w:hAnsi="Arial Nova"/>
              </w:rPr>
              <w:t>3</w:t>
            </w:r>
            <w:r w:rsidR="00CE77DD">
              <w:rPr>
                <w:rFonts w:ascii="Arial Nova" w:hAnsi="Arial Nova"/>
              </w:rPr>
              <w:t>2</w:t>
            </w:r>
          </w:p>
        </w:tc>
        <w:tc>
          <w:tcPr>
            <w:tcW w:w="5953" w:type="dxa"/>
            <w:tcBorders>
              <w:top w:val="single" w:sz="4" w:space="0" w:color="100249" w:themeColor="accent4"/>
              <w:bottom w:val="single" w:sz="4" w:space="0" w:color="100249" w:themeColor="accent4"/>
            </w:tcBorders>
          </w:tcPr>
          <w:p w14:paraId="4C2D4F86" w14:textId="5EDD1931" w:rsidR="003B5094" w:rsidRDefault="00BC593C" w:rsidP="004F1A47">
            <w:pPr>
              <w:pStyle w:val="Tabletext"/>
              <w:rPr>
                <w:rFonts w:ascii="Arial Nova" w:hAnsi="Arial Nova"/>
                <w:bCs/>
              </w:rPr>
            </w:pPr>
            <w:r>
              <w:rPr>
                <w:rFonts w:ascii="Arial Nova" w:hAnsi="Arial Nova"/>
                <w:bCs/>
              </w:rPr>
              <w:t>Notes on feral animals</w:t>
            </w:r>
          </w:p>
        </w:tc>
        <w:tc>
          <w:tcPr>
            <w:tcW w:w="5954" w:type="dxa"/>
            <w:tcBorders>
              <w:top w:val="single" w:sz="4" w:space="0" w:color="100249" w:themeColor="accent4"/>
              <w:bottom w:val="single" w:sz="4" w:space="0" w:color="100249" w:themeColor="accent4"/>
            </w:tcBorders>
          </w:tcPr>
          <w:p w14:paraId="01509589" w14:textId="65668556" w:rsidR="003B5094" w:rsidRDefault="00BC593C" w:rsidP="004F1A47">
            <w:pPr>
              <w:pStyle w:val="Tabletext"/>
              <w:rPr>
                <w:rFonts w:ascii="Arial Nova" w:hAnsi="Arial Nova"/>
              </w:rPr>
            </w:pPr>
            <w:r>
              <w:rPr>
                <w:rFonts w:ascii="Arial Nova" w:hAnsi="Arial Nova"/>
              </w:rPr>
              <w:t xml:space="preserve">Updated to include explanation of distinction between registered &amp; owned, unregistered &amp; owned and unregistered &amp; unowned (feral). </w:t>
            </w:r>
          </w:p>
        </w:tc>
      </w:tr>
      <w:tr w:rsidR="00BC593C" w:rsidRPr="000B0A8E" w14:paraId="7BDAC2E0" w14:textId="77777777" w:rsidTr="004F1A47">
        <w:tc>
          <w:tcPr>
            <w:tcW w:w="2386" w:type="dxa"/>
            <w:tcBorders>
              <w:top w:val="single" w:sz="4" w:space="0" w:color="100249" w:themeColor="accent4"/>
              <w:bottom w:val="single" w:sz="4" w:space="0" w:color="100249" w:themeColor="accent4"/>
            </w:tcBorders>
          </w:tcPr>
          <w:p w14:paraId="6A9A4BE1" w14:textId="25945E7F" w:rsidR="00BC593C" w:rsidRDefault="00BC593C" w:rsidP="00BC593C">
            <w:pPr>
              <w:pStyle w:val="Tabletext"/>
              <w:rPr>
                <w:rFonts w:ascii="Arial Nova" w:hAnsi="Arial Nova"/>
              </w:rPr>
            </w:pPr>
            <w:r>
              <w:rPr>
                <w:rFonts w:ascii="Arial Nova" w:hAnsi="Arial Nova"/>
              </w:rPr>
              <w:t>AM5</w:t>
            </w:r>
          </w:p>
        </w:tc>
        <w:tc>
          <w:tcPr>
            <w:tcW w:w="1158" w:type="dxa"/>
            <w:tcBorders>
              <w:top w:val="single" w:sz="4" w:space="0" w:color="100249" w:themeColor="accent4"/>
              <w:bottom w:val="single" w:sz="4" w:space="0" w:color="100249" w:themeColor="accent4"/>
            </w:tcBorders>
          </w:tcPr>
          <w:p w14:paraId="3C5DE3E9" w14:textId="2A060543" w:rsidR="00BC593C" w:rsidRDefault="00BC593C" w:rsidP="00BC593C">
            <w:pPr>
              <w:pStyle w:val="Tabletext"/>
              <w:rPr>
                <w:rFonts w:ascii="Arial Nova" w:hAnsi="Arial Nova"/>
              </w:rPr>
            </w:pPr>
            <w:r>
              <w:rPr>
                <w:rFonts w:ascii="Arial Nova" w:hAnsi="Arial Nova"/>
              </w:rPr>
              <w:t>3</w:t>
            </w:r>
            <w:r w:rsidR="00CE77DD">
              <w:rPr>
                <w:rFonts w:ascii="Arial Nova" w:hAnsi="Arial Nova"/>
              </w:rPr>
              <w:t>3</w:t>
            </w:r>
          </w:p>
        </w:tc>
        <w:tc>
          <w:tcPr>
            <w:tcW w:w="5953" w:type="dxa"/>
            <w:tcBorders>
              <w:top w:val="single" w:sz="4" w:space="0" w:color="100249" w:themeColor="accent4"/>
              <w:bottom w:val="single" w:sz="4" w:space="0" w:color="100249" w:themeColor="accent4"/>
            </w:tcBorders>
          </w:tcPr>
          <w:p w14:paraId="78FD2E11" w14:textId="4B6C9257" w:rsidR="00BC593C" w:rsidRDefault="00BC593C" w:rsidP="00BC593C">
            <w:pPr>
              <w:pStyle w:val="Tabletext"/>
              <w:rPr>
                <w:rFonts w:ascii="Arial Nova" w:hAnsi="Arial Nova"/>
                <w:bCs/>
              </w:rPr>
            </w:pPr>
            <w:r>
              <w:rPr>
                <w:rFonts w:ascii="Arial Nova" w:hAnsi="Arial Nova"/>
                <w:bCs/>
              </w:rPr>
              <w:t>Notes on feral animals</w:t>
            </w:r>
          </w:p>
        </w:tc>
        <w:tc>
          <w:tcPr>
            <w:tcW w:w="5954" w:type="dxa"/>
            <w:tcBorders>
              <w:top w:val="single" w:sz="4" w:space="0" w:color="100249" w:themeColor="accent4"/>
              <w:bottom w:val="single" w:sz="4" w:space="0" w:color="100249" w:themeColor="accent4"/>
            </w:tcBorders>
          </w:tcPr>
          <w:p w14:paraId="23DD4CDF" w14:textId="1F36F637" w:rsidR="00BC593C" w:rsidRDefault="00BC593C" w:rsidP="00BC593C">
            <w:pPr>
              <w:pStyle w:val="Tabletext"/>
              <w:rPr>
                <w:rFonts w:ascii="Arial Nova" w:hAnsi="Arial Nova"/>
              </w:rPr>
            </w:pPr>
            <w:r>
              <w:rPr>
                <w:rFonts w:ascii="Arial Nova" w:hAnsi="Arial Nova"/>
              </w:rPr>
              <w:t xml:space="preserve">Updated to include explanation of distinction between registered &amp; owned, unregistered &amp; owned and unregistered &amp; unowned (feral). </w:t>
            </w:r>
          </w:p>
        </w:tc>
      </w:tr>
      <w:tr w:rsidR="000A7588" w:rsidRPr="000B0A8E" w14:paraId="3499B510" w14:textId="77777777" w:rsidTr="004F1A47">
        <w:tc>
          <w:tcPr>
            <w:tcW w:w="2386" w:type="dxa"/>
            <w:tcBorders>
              <w:top w:val="single" w:sz="4" w:space="0" w:color="100249" w:themeColor="accent4"/>
              <w:bottom w:val="single" w:sz="4" w:space="0" w:color="100249" w:themeColor="accent4"/>
            </w:tcBorders>
          </w:tcPr>
          <w:p w14:paraId="04905EF2" w14:textId="1E697829" w:rsidR="000A7588" w:rsidRDefault="000A7588" w:rsidP="00BC593C">
            <w:pPr>
              <w:pStyle w:val="Tabletext"/>
              <w:rPr>
                <w:rFonts w:ascii="Arial Nova" w:hAnsi="Arial Nova"/>
              </w:rPr>
            </w:pPr>
            <w:r>
              <w:rPr>
                <w:rFonts w:ascii="Arial Nova" w:hAnsi="Arial Nova"/>
              </w:rPr>
              <w:t>AM7</w:t>
            </w:r>
          </w:p>
        </w:tc>
        <w:tc>
          <w:tcPr>
            <w:tcW w:w="1158" w:type="dxa"/>
            <w:tcBorders>
              <w:top w:val="single" w:sz="4" w:space="0" w:color="100249" w:themeColor="accent4"/>
              <w:bottom w:val="single" w:sz="4" w:space="0" w:color="100249" w:themeColor="accent4"/>
            </w:tcBorders>
          </w:tcPr>
          <w:p w14:paraId="319725B5" w14:textId="7FD90338" w:rsidR="000A7588" w:rsidRDefault="000A7588" w:rsidP="00BC593C">
            <w:pPr>
              <w:pStyle w:val="Tabletext"/>
              <w:rPr>
                <w:rFonts w:ascii="Arial Nova" w:hAnsi="Arial Nova"/>
              </w:rPr>
            </w:pPr>
            <w:r>
              <w:rPr>
                <w:rFonts w:ascii="Arial Nova" w:hAnsi="Arial Nova"/>
              </w:rPr>
              <w:t>3</w:t>
            </w:r>
            <w:r w:rsidR="00CE77DD">
              <w:rPr>
                <w:rFonts w:ascii="Arial Nova" w:hAnsi="Arial Nova"/>
              </w:rPr>
              <w:t>7</w:t>
            </w:r>
          </w:p>
        </w:tc>
        <w:tc>
          <w:tcPr>
            <w:tcW w:w="5953" w:type="dxa"/>
            <w:tcBorders>
              <w:top w:val="single" w:sz="4" w:space="0" w:color="100249" w:themeColor="accent4"/>
              <w:bottom w:val="single" w:sz="4" w:space="0" w:color="100249" w:themeColor="accent4"/>
            </w:tcBorders>
          </w:tcPr>
          <w:p w14:paraId="0E8E68A6" w14:textId="579B582E" w:rsidR="000A7588" w:rsidRDefault="00013416" w:rsidP="00BC593C">
            <w:pPr>
              <w:pStyle w:val="Tabletext"/>
              <w:rPr>
                <w:rFonts w:ascii="Arial Nova" w:hAnsi="Arial Nova"/>
                <w:bCs/>
              </w:rPr>
            </w:pPr>
            <w:r>
              <w:rPr>
                <w:rFonts w:ascii="Arial Nova" w:hAnsi="Arial Nova"/>
                <w:bCs/>
              </w:rPr>
              <w:t>N/A</w:t>
            </w:r>
          </w:p>
        </w:tc>
        <w:tc>
          <w:tcPr>
            <w:tcW w:w="5954" w:type="dxa"/>
            <w:tcBorders>
              <w:top w:val="single" w:sz="4" w:space="0" w:color="100249" w:themeColor="accent4"/>
              <w:bottom w:val="single" w:sz="4" w:space="0" w:color="100249" w:themeColor="accent4"/>
            </w:tcBorders>
          </w:tcPr>
          <w:p w14:paraId="08515E42" w14:textId="2AA4F11B" w:rsidR="000A7588" w:rsidRDefault="00013416" w:rsidP="00BC593C">
            <w:pPr>
              <w:pStyle w:val="Tabletext"/>
              <w:rPr>
                <w:rFonts w:ascii="Arial Nova" w:hAnsi="Arial Nova"/>
              </w:rPr>
            </w:pPr>
            <w:r>
              <w:rPr>
                <w:rFonts w:ascii="Arial Nova" w:hAnsi="Arial Nova"/>
              </w:rPr>
              <w:t>Added new note: “Where no matters were prosecuted”</w:t>
            </w:r>
          </w:p>
        </w:tc>
      </w:tr>
      <w:tr w:rsidR="00BC593C" w:rsidRPr="000B0A8E" w14:paraId="69A6F0A9" w14:textId="77777777" w:rsidTr="004F1A47">
        <w:tc>
          <w:tcPr>
            <w:tcW w:w="2386" w:type="dxa"/>
            <w:tcBorders>
              <w:top w:val="single" w:sz="4" w:space="0" w:color="100249" w:themeColor="accent4"/>
              <w:bottom w:val="single" w:sz="4" w:space="0" w:color="100249" w:themeColor="accent4"/>
            </w:tcBorders>
          </w:tcPr>
          <w:p w14:paraId="0E973CEA" w14:textId="42910935" w:rsidR="00BC593C" w:rsidRDefault="000C35CF" w:rsidP="00BC593C">
            <w:pPr>
              <w:pStyle w:val="Tabletext"/>
              <w:rPr>
                <w:rFonts w:ascii="Arial Nova" w:hAnsi="Arial Nova"/>
              </w:rPr>
            </w:pPr>
            <w:r>
              <w:rPr>
                <w:rFonts w:ascii="Arial Nova" w:hAnsi="Arial Nova"/>
              </w:rPr>
              <w:t>FS1</w:t>
            </w:r>
          </w:p>
        </w:tc>
        <w:tc>
          <w:tcPr>
            <w:tcW w:w="1158" w:type="dxa"/>
            <w:tcBorders>
              <w:top w:val="single" w:sz="4" w:space="0" w:color="100249" w:themeColor="accent4"/>
              <w:bottom w:val="single" w:sz="4" w:space="0" w:color="100249" w:themeColor="accent4"/>
            </w:tcBorders>
          </w:tcPr>
          <w:p w14:paraId="5B08A324" w14:textId="5711EC11" w:rsidR="00BC593C" w:rsidRDefault="0092448E" w:rsidP="00BC593C">
            <w:pPr>
              <w:pStyle w:val="Tabletext"/>
              <w:rPr>
                <w:rFonts w:ascii="Arial Nova" w:hAnsi="Arial Nova"/>
              </w:rPr>
            </w:pPr>
            <w:r>
              <w:rPr>
                <w:rFonts w:ascii="Arial Nova" w:hAnsi="Arial Nova"/>
              </w:rPr>
              <w:t>39</w:t>
            </w:r>
          </w:p>
        </w:tc>
        <w:tc>
          <w:tcPr>
            <w:tcW w:w="5953" w:type="dxa"/>
            <w:tcBorders>
              <w:top w:val="single" w:sz="4" w:space="0" w:color="100249" w:themeColor="accent4"/>
              <w:bottom w:val="single" w:sz="4" w:space="0" w:color="100249" w:themeColor="accent4"/>
            </w:tcBorders>
          </w:tcPr>
          <w:p w14:paraId="75677683" w14:textId="17454BB2" w:rsidR="00BC593C" w:rsidRDefault="000954B0" w:rsidP="00BC593C">
            <w:pPr>
              <w:pStyle w:val="Tabletext"/>
              <w:rPr>
                <w:rFonts w:ascii="Arial Nova" w:hAnsi="Arial Nova"/>
                <w:bCs/>
              </w:rPr>
            </w:pPr>
            <w:r>
              <w:rPr>
                <w:rFonts w:ascii="Arial Nova" w:hAnsi="Arial Nova"/>
                <w:bCs/>
              </w:rPr>
              <w:t>Calculation of number of days between receipt and first response</w:t>
            </w:r>
          </w:p>
        </w:tc>
        <w:tc>
          <w:tcPr>
            <w:tcW w:w="5954" w:type="dxa"/>
            <w:tcBorders>
              <w:top w:val="single" w:sz="4" w:space="0" w:color="100249" w:themeColor="accent4"/>
              <w:bottom w:val="single" w:sz="4" w:space="0" w:color="100249" w:themeColor="accent4"/>
            </w:tcBorders>
          </w:tcPr>
          <w:p w14:paraId="1D3A8903" w14:textId="44936EC4" w:rsidR="00BC593C" w:rsidRDefault="000954B0" w:rsidP="00BC593C">
            <w:pPr>
              <w:pStyle w:val="Tabletext"/>
              <w:rPr>
                <w:rFonts w:ascii="Arial Nova" w:hAnsi="Arial Nova"/>
              </w:rPr>
            </w:pPr>
            <w:r>
              <w:rPr>
                <w:rFonts w:ascii="Arial Nova" w:hAnsi="Arial Nova"/>
              </w:rPr>
              <w:t xml:space="preserve">Includes note that </w:t>
            </w:r>
            <w:r w:rsidR="009431CD">
              <w:rPr>
                <w:rFonts w:ascii="Arial Nova" w:hAnsi="Arial Nova"/>
              </w:rPr>
              <w:t>“…</w:t>
            </w:r>
            <w:r w:rsidR="009431CD" w:rsidRPr="009431CD">
              <w:rPr>
                <w:rFonts w:ascii="Arial Nova" w:hAnsi="Arial Nova"/>
              </w:rPr>
              <w:t>For calculation purposes the numerator must be equal to or greater than the denominator.</w:t>
            </w:r>
            <w:r w:rsidR="009431CD">
              <w:rPr>
                <w:rFonts w:ascii="Arial Nova" w:hAnsi="Arial Nova"/>
              </w:rPr>
              <w:t>”</w:t>
            </w:r>
          </w:p>
        </w:tc>
      </w:tr>
      <w:tr w:rsidR="00BC593C" w:rsidRPr="000B0A8E" w14:paraId="34EFF361" w14:textId="77777777" w:rsidTr="004F1A47">
        <w:tc>
          <w:tcPr>
            <w:tcW w:w="2386" w:type="dxa"/>
            <w:tcBorders>
              <w:top w:val="single" w:sz="4" w:space="0" w:color="100249" w:themeColor="accent4"/>
              <w:bottom w:val="single" w:sz="4" w:space="0" w:color="100249" w:themeColor="accent4"/>
            </w:tcBorders>
          </w:tcPr>
          <w:p w14:paraId="397014F7" w14:textId="52474DC1" w:rsidR="00BC593C" w:rsidRDefault="004C6854" w:rsidP="00BC593C">
            <w:pPr>
              <w:pStyle w:val="Tabletext"/>
              <w:rPr>
                <w:rFonts w:ascii="Arial Nova" w:hAnsi="Arial Nova"/>
              </w:rPr>
            </w:pPr>
            <w:r>
              <w:rPr>
                <w:rFonts w:ascii="Arial Nova" w:hAnsi="Arial Nova"/>
              </w:rPr>
              <w:t>G1</w:t>
            </w:r>
          </w:p>
        </w:tc>
        <w:tc>
          <w:tcPr>
            <w:tcW w:w="1158" w:type="dxa"/>
            <w:tcBorders>
              <w:top w:val="single" w:sz="4" w:space="0" w:color="100249" w:themeColor="accent4"/>
              <w:bottom w:val="single" w:sz="4" w:space="0" w:color="100249" w:themeColor="accent4"/>
            </w:tcBorders>
          </w:tcPr>
          <w:p w14:paraId="1BE109E5" w14:textId="653763B3" w:rsidR="00BC593C" w:rsidRDefault="002F427F" w:rsidP="00BC593C">
            <w:pPr>
              <w:pStyle w:val="Tabletext"/>
              <w:rPr>
                <w:rFonts w:ascii="Arial Nova" w:hAnsi="Arial Nova"/>
              </w:rPr>
            </w:pPr>
            <w:r>
              <w:rPr>
                <w:rFonts w:ascii="Arial Nova" w:hAnsi="Arial Nova"/>
              </w:rPr>
              <w:t>4</w:t>
            </w:r>
            <w:r w:rsidR="0092448E">
              <w:rPr>
                <w:rFonts w:ascii="Arial Nova" w:hAnsi="Arial Nova"/>
              </w:rPr>
              <w:t>6</w:t>
            </w:r>
          </w:p>
        </w:tc>
        <w:tc>
          <w:tcPr>
            <w:tcW w:w="5953" w:type="dxa"/>
            <w:tcBorders>
              <w:top w:val="single" w:sz="4" w:space="0" w:color="100249" w:themeColor="accent4"/>
              <w:bottom w:val="single" w:sz="4" w:space="0" w:color="100249" w:themeColor="accent4"/>
            </w:tcBorders>
          </w:tcPr>
          <w:p w14:paraId="23455894" w14:textId="657470A0" w:rsidR="00BC593C" w:rsidRDefault="002F427F" w:rsidP="00BC593C">
            <w:pPr>
              <w:pStyle w:val="Tabletext"/>
              <w:rPr>
                <w:rFonts w:ascii="Arial Nova" w:hAnsi="Arial Nova"/>
                <w:bCs/>
              </w:rPr>
            </w:pPr>
            <w:r>
              <w:rPr>
                <w:rFonts w:ascii="Arial Nova" w:hAnsi="Arial Nova"/>
                <w:bCs/>
              </w:rPr>
              <w:t xml:space="preserve">Definition, numerator, denominator and </w:t>
            </w:r>
            <w:r w:rsidR="009A5906">
              <w:rPr>
                <w:rFonts w:ascii="Arial Nova" w:hAnsi="Arial Nova"/>
                <w:bCs/>
              </w:rPr>
              <w:t xml:space="preserve">key terms for Ordinary meeting, Special </w:t>
            </w:r>
            <w:proofErr w:type="gramStart"/>
            <w:r w:rsidR="009A5906">
              <w:rPr>
                <w:rFonts w:ascii="Arial Nova" w:hAnsi="Arial Nova"/>
                <w:bCs/>
              </w:rPr>
              <w:t>meeting</w:t>
            </w:r>
            <w:proofErr w:type="gramEnd"/>
            <w:r w:rsidR="009A5906">
              <w:rPr>
                <w:rFonts w:ascii="Arial Nova" w:hAnsi="Arial Nova"/>
                <w:bCs/>
              </w:rPr>
              <w:t xml:space="preserve"> and Special committee.</w:t>
            </w:r>
          </w:p>
        </w:tc>
        <w:tc>
          <w:tcPr>
            <w:tcW w:w="5954" w:type="dxa"/>
            <w:tcBorders>
              <w:top w:val="single" w:sz="4" w:space="0" w:color="100249" w:themeColor="accent4"/>
              <w:bottom w:val="single" w:sz="4" w:space="0" w:color="100249" w:themeColor="accent4"/>
            </w:tcBorders>
          </w:tcPr>
          <w:p w14:paraId="3663FD0F" w14:textId="77A535AE" w:rsidR="00BC593C" w:rsidRDefault="009A5906" w:rsidP="00BC593C">
            <w:pPr>
              <w:pStyle w:val="Tabletext"/>
              <w:rPr>
                <w:rFonts w:ascii="Arial Nova" w:hAnsi="Arial Nova"/>
              </w:rPr>
            </w:pPr>
            <w:r>
              <w:rPr>
                <w:rFonts w:ascii="Arial Nova" w:hAnsi="Arial Nova"/>
              </w:rPr>
              <w:t xml:space="preserve">Updated definition, numerator, denominator, </w:t>
            </w:r>
            <w:r w:rsidR="00AC442B">
              <w:rPr>
                <w:rFonts w:ascii="Arial Nova" w:hAnsi="Arial Nova"/>
              </w:rPr>
              <w:t xml:space="preserve">and key terms to reflect Local Government Act 2020 provisions. </w:t>
            </w:r>
          </w:p>
        </w:tc>
      </w:tr>
      <w:tr w:rsidR="005110C8" w:rsidRPr="000B0A8E" w14:paraId="40EA4DB6" w14:textId="77777777" w:rsidTr="004F1A47">
        <w:tc>
          <w:tcPr>
            <w:tcW w:w="2386" w:type="dxa"/>
            <w:tcBorders>
              <w:top w:val="single" w:sz="4" w:space="0" w:color="100249" w:themeColor="accent4"/>
              <w:bottom w:val="single" w:sz="4" w:space="0" w:color="100249" w:themeColor="accent4"/>
            </w:tcBorders>
          </w:tcPr>
          <w:p w14:paraId="7E4BE8DB" w14:textId="68B50ACE" w:rsidR="005110C8" w:rsidRDefault="005110C8" w:rsidP="005110C8">
            <w:pPr>
              <w:pStyle w:val="Tabletext"/>
              <w:rPr>
                <w:rFonts w:ascii="Arial Nova" w:hAnsi="Arial Nova"/>
              </w:rPr>
            </w:pPr>
            <w:r>
              <w:rPr>
                <w:rFonts w:ascii="Arial Nova" w:hAnsi="Arial Nova"/>
              </w:rPr>
              <w:t>G3</w:t>
            </w:r>
          </w:p>
        </w:tc>
        <w:tc>
          <w:tcPr>
            <w:tcW w:w="1158" w:type="dxa"/>
            <w:tcBorders>
              <w:top w:val="single" w:sz="4" w:space="0" w:color="100249" w:themeColor="accent4"/>
              <w:bottom w:val="single" w:sz="4" w:space="0" w:color="100249" w:themeColor="accent4"/>
            </w:tcBorders>
          </w:tcPr>
          <w:p w14:paraId="41311F75" w14:textId="3F4ABF23" w:rsidR="005110C8" w:rsidRDefault="00230227" w:rsidP="005110C8">
            <w:pPr>
              <w:pStyle w:val="Tabletext"/>
              <w:rPr>
                <w:rFonts w:ascii="Arial Nova" w:hAnsi="Arial Nova"/>
              </w:rPr>
            </w:pPr>
            <w:r>
              <w:rPr>
                <w:rFonts w:ascii="Arial Nova" w:hAnsi="Arial Nova"/>
              </w:rPr>
              <w:t>49</w:t>
            </w:r>
          </w:p>
        </w:tc>
        <w:tc>
          <w:tcPr>
            <w:tcW w:w="5953" w:type="dxa"/>
            <w:tcBorders>
              <w:top w:val="single" w:sz="4" w:space="0" w:color="100249" w:themeColor="accent4"/>
              <w:bottom w:val="single" w:sz="4" w:space="0" w:color="100249" w:themeColor="accent4"/>
            </w:tcBorders>
          </w:tcPr>
          <w:p w14:paraId="149095C3" w14:textId="03903E24" w:rsidR="005110C8" w:rsidRDefault="005110C8" w:rsidP="005110C8">
            <w:pPr>
              <w:pStyle w:val="Tabletext"/>
              <w:rPr>
                <w:rFonts w:ascii="Arial Nova" w:hAnsi="Arial Nova"/>
                <w:bCs/>
              </w:rPr>
            </w:pPr>
            <w:r>
              <w:rPr>
                <w:rFonts w:ascii="Arial Nova" w:hAnsi="Arial Nova"/>
                <w:bCs/>
              </w:rPr>
              <w:t xml:space="preserve">Definition, numerator, denominator and key terms for Ordinary meeting, Special </w:t>
            </w:r>
            <w:proofErr w:type="gramStart"/>
            <w:r>
              <w:rPr>
                <w:rFonts w:ascii="Arial Nova" w:hAnsi="Arial Nova"/>
                <w:bCs/>
              </w:rPr>
              <w:t>meeting</w:t>
            </w:r>
            <w:proofErr w:type="gramEnd"/>
            <w:r>
              <w:rPr>
                <w:rFonts w:ascii="Arial Nova" w:hAnsi="Arial Nova"/>
                <w:bCs/>
              </w:rPr>
              <w:t xml:space="preserve"> and Special committee.</w:t>
            </w:r>
          </w:p>
        </w:tc>
        <w:tc>
          <w:tcPr>
            <w:tcW w:w="5954" w:type="dxa"/>
            <w:tcBorders>
              <w:top w:val="single" w:sz="4" w:space="0" w:color="100249" w:themeColor="accent4"/>
              <w:bottom w:val="single" w:sz="4" w:space="0" w:color="100249" w:themeColor="accent4"/>
            </w:tcBorders>
          </w:tcPr>
          <w:p w14:paraId="09CE0D8B" w14:textId="4FACB016" w:rsidR="005110C8" w:rsidRDefault="005110C8" w:rsidP="005110C8">
            <w:pPr>
              <w:pStyle w:val="Tabletext"/>
              <w:rPr>
                <w:rFonts w:ascii="Arial Nova" w:hAnsi="Arial Nova"/>
              </w:rPr>
            </w:pPr>
            <w:r>
              <w:rPr>
                <w:rFonts w:ascii="Arial Nova" w:hAnsi="Arial Nova"/>
              </w:rPr>
              <w:t xml:space="preserve">Updated definition, numerator, denominator, and key terms to reflect Local Government Act 2020 provisions. </w:t>
            </w:r>
          </w:p>
        </w:tc>
      </w:tr>
      <w:tr w:rsidR="005110C8" w:rsidRPr="000B0A8E" w14:paraId="030C91CD" w14:textId="77777777" w:rsidTr="004F1A47">
        <w:tc>
          <w:tcPr>
            <w:tcW w:w="2386" w:type="dxa"/>
            <w:tcBorders>
              <w:top w:val="single" w:sz="4" w:space="0" w:color="100249" w:themeColor="accent4"/>
              <w:bottom w:val="single" w:sz="4" w:space="0" w:color="100249" w:themeColor="accent4"/>
            </w:tcBorders>
          </w:tcPr>
          <w:p w14:paraId="5B919B06" w14:textId="77777777" w:rsidR="005110C8" w:rsidRPr="000B0A8E" w:rsidRDefault="005110C8" w:rsidP="005110C8">
            <w:pPr>
              <w:pStyle w:val="Tabletext"/>
              <w:rPr>
                <w:rFonts w:ascii="Arial Nova" w:hAnsi="Arial Nova"/>
              </w:rPr>
            </w:pPr>
          </w:p>
        </w:tc>
        <w:tc>
          <w:tcPr>
            <w:tcW w:w="1158" w:type="dxa"/>
            <w:tcBorders>
              <w:top w:val="single" w:sz="4" w:space="0" w:color="100249" w:themeColor="accent4"/>
              <w:bottom w:val="single" w:sz="4" w:space="0" w:color="100249" w:themeColor="accent4"/>
            </w:tcBorders>
          </w:tcPr>
          <w:p w14:paraId="7BF50A4B" w14:textId="5C44CB0C" w:rsidR="005110C8" w:rsidRPr="000B0A8E" w:rsidRDefault="005110C8" w:rsidP="005110C8">
            <w:pPr>
              <w:pStyle w:val="Tabletext"/>
              <w:rPr>
                <w:rFonts w:ascii="Arial Nova" w:hAnsi="Arial Nova"/>
              </w:rPr>
            </w:pPr>
          </w:p>
        </w:tc>
        <w:tc>
          <w:tcPr>
            <w:tcW w:w="5953" w:type="dxa"/>
            <w:tcBorders>
              <w:top w:val="single" w:sz="4" w:space="0" w:color="100249" w:themeColor="accent4"/>
              <w:bottom w:val="single" w:sz="4" w:space="0" w:color="100249" w:themeColor="accent4"/>
            </w:tcBorders>
          </w:tcPr>
          <w:p w14:paraId="0298ECA4" w14:textId="0EBD6242" w:rsidR="005110C8" w:rsidRPr="000B0A8E" w:rsidRDefault="00F451D8" w:rsidP="005110C8">
            <w:pPr>
              <w:pStyle w:val="Tabletext"/>
              <w:rPr>
                <w:rFonts w:ascii="Arial Nova" w:hAnsi="Arial Nova"/>
              </w:rPr>
            </w:pPr>
            <w:r>
              <w:rPr>
                <w:rFonts w:ascii="Arial Nova" w:hAnsi="Arial Nova"/>
              </w:rPr>
              <w:t xml:space="preserve">“…in the case of maternity </w:t>
            </w:r>
            <w:proofErr w:type="gramStart"/>
            <w:r>
              <w:rPr>
                <w:rFonts w:ascii="Arial Nova" w:hAnsi="Arial Nova"/>
              </w:rPr>
              <w:t>leave)…</w:t>
            </w:r>
            <w:proofErr w:type="gramEnd"/>
            <w:r>
              <w:rPr>
                <w:rFonts w:ascii="Arial Nova" w:hAnsi="Arial Nova"/>
              </w:rPr>
              <w:t>”</w:t>
            </w:r>
          </w:p>
        </w:tc>
        <w:tc>
          <w:tcPr>
            <w:tcW w:w="5954" w:type="dxa"/>
            <w:tcBorders>
              <w:top w:val="single" w:sz="4" w:space="0" w:color="100249" w:themeColor="accent4"/>
              <w:bottom w:val="single" w:sz="4" w:space="0" w:color="100249" w:themeColor="accent4"/>
            </w:tcBorders>
          </w:tcPr>
          <w:p w14:paraId="3FBAF9C3" w14:textId="6C92F16D" w:rsidR="005110C8" w:rsidRPr="000B0A8E" w:rsidRDefault="00F451D8" w:rsidP="005110C8">
            <w:pPr>
              <w:pStyle w:val="Tabletext"/>
              <w:rPr>
                <w:rFonts w:ascii="Arial Nova" w:hAnsi="Arial Nova"/>
              </w:rPr>
            </w:pPr>
            <w:r>
              <w:rPr>
                <w:rFonts w:ascii="Arial Nova" w:hAnsi="Arial Nova"/>
              </w:rPr>
              <w:t xml:space="preserve">“…in the case of parental </w:t>
            </w:r>
            <w:proofErr w:type="gramStart"/>
            <w:r>
              <w:rPr>
                <w:rFonts w:ascii="Arial Nova" w:hAnsi="Arial Nova"/>
              </w:rPr>
              <w:t>leave)…</w:t>
            </w:r>
            <w:proofErr w:type="gramEnd"/>
            <w:r>
              <w:rPr>
                <w:rFonts w:ascii="Arial Nova" w:hAnsi="Arial Nova"/>
              </w:rPr>
              <w:t>”</w:t>
            </w:r>
          </w:p>
        </w:tc>
      </w:tr>
      <w:tr w:rsidR="00BD3DC1" w:rsidRPr="000B0A8E" w14:paraId="6D353441" w14:textId="77777777" w:rsidTr="004F1A47">
        <w:tc>
          <w:tcPr>
            <w:tcW w:w="2386" w:type="dxa"/>
            <w:tcBorders>
              <w:top w:val="single" w:sz="4" w:space="0" w:color="100249" w:themeColor="accent4"/>
              <w:bottom w:val="single" w:sz="4" w:space="0" w:color="100249" w:themeColor="accent4"/>
            </w:tcBorders>
          </w:tcPr>
          <w:p w14:paraId="11D18FDC" w14:textId="47526526" w:rsidR="00BD3DC1" w:rsidRPr="000B0A8E" w:rsidRDefault="00BD3DC1" w:rsidP="005110C8">
            <w:pPr>
              <w:pStyle w:val="Tabletext"/>
              <w:rPr>
                <w:rFonts w:ascii="Arial Nova" w:hAnsi="Arial Nova"/>
              </w:rPr>
            </w:pPr>
            <w:r>
              <w:rPr>
                <w:rFonts w:ascii="Arial Nova" w:hAnsi="Arial Nova"/>
              </w:rPr>
              <w:t>SP4</w:t>
            </w:r>
          </w:p>
        </w:tc>
        <w:tc>
          <w:tcPr>
            <w:tcW w:w="1158" w:type="dxa"/>
            <w:tcBorders>
              <w:top w:val="single" w:sz="4" w:space="0" w:color="100249" w:themeColor="accent4"/>
              <w:bottom w:val="single" w:sz="4" w:space="0" w:color="100249" w:themeColor="accent4"/>
            </w:tcBorders>
          </w:tcPr>
          <w:p w14:paraId="2F88B062" w14:textId="6CE81E02" w:rsidR="00BD3DC1" w:rsidRPr="000B0A8E" w:rsidRDefault="00BD3DC1" w:rsidP="005110C8">
            <w:pPr>
              <w:pStyle w:val="Tabletext"/>
              <w:rPr>
                <w:rFonts w:ascii="Arial Nova" w:hAnsi="Arial Nova"/>
              </w:rPr>
            </w:pPr>
            <w:r>
              <w:rPr>
                <w:rFonts w:ascii="Arial Nova" w:hAnsi="Arial Nova"/>
              </w:rPr>
              <w:t>8</w:t>
            </w:r>
            <w:r w:rsidR="00A53B5F">
              <w:rPr>
                <w:rFonts w:ascii="Arial Nova" w:hAnsi="Arial Nova"/>
              </w:rPr>
              <w:t>2</w:t>
            </w:r>
          </w:p>
        </w:tc>
        <w:tc>
          <w:tcPr>
            <w:tcW w:w="5953" w:type="dxa"/>
            <w:tcBorders>
              <w:top w:val="single" w:sz="4" w:space="0" w:color="100249" w:themeColor="accent4"/>
              <w:bottom w:val="single" w:sz="4" w:space="0" w:color="100249" w:themeColor="accent4"/>
            </w:tcBorders>
          </w:tcPr>
          <w:p w14:paraId="29E361B1" w14:textId="49CDE68B" w:rsidR="00BD3DC1" w:rsidRDefault="00BD3DC1" w:rsidP="005110C8">
            <w:pPr>
              <w:pStyle w:val="Tabletext"/>
              <w:rPr>
                <w:rFonts w:ascii="Arial Nova" w:hAnsi="Arial Nova"/>
              </w:rPr>
            </w:pPr>
            <w:r>
              <w:rPr>
                <w:rFonts w:ascii="Arial Nova" w:hAnsi="Arial Nova"/>
              </w:rPr>
              <w:t>N/A</w:t>
            </w:r>
          </w:p>
        </w:tc>
        <w:tc>
          <w:tcPr>
            <w:tcW w:w="5954" w:type="dxa"/>
            <w:tcBorders>
              <w:top w:val="single" w:sz="4" w:space="0" w:color="100249" w:themeColor="accent4"/>
              <w:bottom w:val="single" w:sz="4" w:space="0" w:color="100249" w:themeColor="accent4"/>
            </w:tcBorders>
          </w:tcPr>
          <w:p w14:paraId="13277EB9" w14:textId="7DA1BF98" w:rsidR="00BD3DC1" w:rsidRDefault="00BD3DC1" w:rsidP="005110C8">
            <w:pPr>
              <w:pStyle w:val="Tabletext"/>
              <w:rPr>
                <w:rFonts w:ascii="Arial Nova" w:hAnsi="Arial Nova"/>
              </w:rPr>
            </w:pPr>
            <w:r>
              <w:rPr>
                <w:rFonts w:ascii="Arial Nova" w:hAnsi="Arial Nova"/>
              </w:rPr>
              <w:t xml:space="preserve">Added new note: </w:t>
            </w:r>
            <w:r w:rsidR="0091132B">
              <w:rPr>
                <w:rFonts w:ascii="Arial Nova" w:hAnsi="Arial Nova"/>
              </w:rPr>
              <w:t>“</w:t>
            </w:r>
            <w:r>
              <w:rPr>
                <w:rFonts w:ascii="Arial Nova" w:hAnsi="Arial Nova"/>
              </w:rPr>
              <w:t>Where no matters were referred to VCAT”</w:t>
            </w:r>
          </w:p>
        </w:tc>
      </w:tr>
      <w:tr w:rsidR="00AD76D9" w:rsidRPr="000B0A8E" w14:paraId="1F0EBFA4" w14:textId="77777777" w:rsidTr="004F1A47">
        <w:tc>
          <w:tcPr>
            <w:tcW w:w="2386" w:type="dxa"/>
            <w:tcBorders>
              <w:top w:val="single" w:sz="4" w:space="0" w:color="100249" w:themeColor="accent4"/>
              <w:bottom w:val="single" w:sz="4" w:space="0" w:color="100249" w:themeColor="accent4"/>
            </w:tcBorders>
          </w:tcPr>
          <w:p w14:paraId="35434101" w14:textId="16D0DBFC" w:rsidR="00AD76D9" w:rsidRPr="000B0A8E" w:rsidRDefault="005862DD" w:rsidP="005110C8">
            <w:pPr>
              <w:pStyle w:val="Tabletext"/>
              <w:rPr>
                <w:rFonts w:ascii="Arial Nova" w:hAnsi="Arial Nova"/>
              </w:rPr>
            </w:pPr>
            <w:r>
              <w:rPr>
                <w:rFonts w:ascii="Arial Nova" w:hAnsi="Arial Nova"/>
              </w:rPr>
              <w:t>L1</w:t>
            </w:r>
          </w:p>
        </w:tc>
        <w:tc>
          <w:tcPr>
            <w:tcW w:w="1158" w:type="dxa"/>
            <w:tcBorders>
              <w:top w:val="single" w:sz="4" w:space="0" w:color="100249" w:themeColor="accent4"/>
              <w:bottom w:val="single" w:sz="4" w:space="0" w:color="100249" w:themeColor="accent4"/>
            </w:tcBorders>
          </w:tcPr>
          <w:p w14:paraId="70218CF1" w14:textId="37F2CD0B" w:rsidR="00AD76D9" w:rsidRPr="000B0A8E" w:rsidRDefault="00C1556C" w:rsidP="005110C8">
            <w:pPr>
              <w:pStyle w:val="Tabletext"/>
              <w:rPr>
                <w:rFonts w:ascii="Arial Nova" w:hAnsi="Arial Nova"/>
              </w:rPr>
            </w:pPr>
            <w:r>
              <w:rPr>
                <w:rFonts w:ascii="Arial Nova" w:hAnsi="Arial Nova"/>
              </w:rPr>
              <w:t>9</w:t>
            </w:r>
            <w:r w:rsidR="00020136">
              <w:rPr>
                <w:rFonts w:ascii="Arial Nova" w:hAnsi="Arial Nova"/>
              </w:rPr>
              <w:t>4</w:t>
            </w:r>
          </w:p>
        </w:tc>
        <w:tc>
          <w:tcPr>
            <w:tcW w:w="5953" w:type="dxa"/>
            <w:tcBorders>
              <w:top w:val="single" w:sz="4" w:space="0" w:color="100249" w:themeColor="accent4"/>
              <w:bottom w:val="single" w:sz="4" w:space="0" w:color="100249" w:themeColor="accent4"/>
            </w:tcBorders>
          </w:tcPr>
          <w:p w14:paraId="5228ED20" w14:textId="034E0A96" w:rsidR="00AD76D9" w:rsidRPr="000B0A8E" w:rsidRDefault="00C1556C" w:rsidP="005110C8">
            <w:pPr>
              <w:pStyle w:val="Tabletext"/>
              <w:rPr>
                <w:rFonts w:ascii="Arial Nova" w:hAnsi="Arial Nova"/>
              </w:rPr>
            </w:pPr>
            <w:r>
              <w:rPr>
                <w:rFonts w:ascii="Arial Nova" w:hAnsi="Arial Nova"/>
              </w:rPr>
              <w:t>N/A</w:t>
            </w:r>
          </w:p>
        </w:tc>
        <w:tc>
          <w:tcPr>
            <w:tcW w:w="5954" w:type="dxa"/>
            <w:tcBorders>
              <w:top w:val="single" w:sz="4" w:space="0" w:color="100249" w:themeColor="accent4"/>
              <w:bottom w:val="single" w:sz="4" w:space="0" w:color="100249" w:themeColor="accent4"/>
            </w:tcBorders>
          </w:tcPr>
          <w:p w14:paraId="071DD8B1" w14:textId="64C9C851" w:rsidR="00AD76D9" w:rsidRPr="000B0A8E" w:rsidRDefault="00C1556C" w:rsidP="005110C8">
            <w:pPr>
              <w:pStyle w:val="Tabletext"/>
              <w:rPr>
                <w:rFonts w:ascii="Arial Nova" w:hAnsi="Arial Nova"/>
              </w:rPr>
            </w:pPr>
            <w:r>
              <w:rPr>
                <w:rFonts w:ascii="Arial Nova" w:hAnsi="Arial Nova"/>
              </w:rPr>
              <w:t xml:space="preserve">Added new note: </w:t>
            </w:r>
            <w:r w:rsidR="0091132B">
              <w:rPr>
                <w:rFonts w:ascii="Arial Nova" w:hAnsi="Arial Nova"/>
              </w:rPr>
              <w:t>“</w:t>
            </w:r>
            <w:r>
              <w:rPr>
                <w:rFonts w:ascii="Arial Nova" w:hAnsi="Arial Nova"/>
              </w:rPr>
              <w:t>Changes to unearned income / revenue</w:t>
            </w:r>
            <w:r w:rsidR="0091132B">
              <w:rPr>
                <w:rFonts w:ascii="Arial Nova" w:hAnsi="Arial Nova"/>
              </w:rPr>
              <w:t>”</w:t>
            </w:r>
            <w:r>
              <w:rPr>
                <w:rFonts w:ascii="Arial Nova" w:hAnsi="Arial Nova"/>
              </w:rPr>
              <w:t xml:space="preserve"> in line with changes to Accounting Standards.</w:t>
            </w:r>
          </w:p>
        </w:tc>
      </w:tr>
      <w:tr w:rsidR="00C1556C" w:rsidRPr="000B0A8E" w14:paraId="3E46AC2F" w14:textId="77777777" w:rsidTr="004F1A47">
        <w:tc>
          <w:tcPr>
            <w:tcW w:w="2386" w:type="dxa"/>
            <w:tcBorders>
              <w:top w:val="single" w:sz="4" w:space="0" w:color="100249" w:themeColor="accent4"/>
              <w:bottom w:val="single" w:sz="4" w:space="0" w:color="100249" w:themeColor="accent4"/>
            </w:tcBorders>
          </w:tcPr>
          <w:p w14:paraId="20753E97" w14:textId="49DAB847" w:rsidR="00C1556C" w:rsidRDefault="00C1556C" w:rsidP="005110C8">
            <w:pPr>
              <w:pStyle w:val="Tabletext"/>
              <w:rPr>
                <w:rFonts w:ascii="Arial Nova" w:hAnsi="Arial Nova"/>
              </w:rPr>
            </w:pPr>
            <w:r>
              <w:rPr>
                <w:rFonts w:ascii="Arial Nova" w:hAnsi="Arial Nova"/>
              </w:rPr>
              <w:t>L2</w:t>
            </w:r>
          </w:p>
        </w:tc>
        <w:tc>
          <w:tcPr>
            <w:tcW w:w="1158" w:type="dxa"/>
            <w:tcBorders>
              <w:top w:val="single" w:sz="4" w:space="0" w:color="100249" w:themeColor="accent4"/>
              <w:bottom w:val="single" w:sz="4" w:space="0" w:color="100249" w:themeColor="accent4"/>
            </w:tcBorders>
          </w:tcPr>
          <w:p w14:paraId="4CEEEDE3" w14:textId="343ABA13" w:rsidR="00C1556C" w:rsidRDefault="00C1556C" w:rsidP="005110C8">
            <w:pPr>
              <w:pStyle w:val="Tabletext"/>
              <w:rPr>
                <w:rFonts w:ascii="Arial Nova" w:hAnsi="Arial Nova"/>
              </w:rPr>
            </w:pPr>
            <w:r>
              <w:rPr>
                <w:rFonts w:ascii="Arial Nova" w:hAnsi="Arial Nova"/>
              </w:rPr>
              <w:t>9</w:t>
            </w:r>
            <w:r w:rsidR="00020136">
              <w:rPr>
                <w:rFonts w:ascii="Arial Nova" w:hAnsi="Arial Nova"/>
              </w:rPr>
              <w:t>5</w:t>
            </w:r>
          </w:p>
        </w:tc>
        <w:tc>
          <w:tcPr>
            <w:tcW w:w="5953" w:type="dxa"/>
            <w:tcBorders>
              <w:top w:val="single" w:sz="4" w:space="0" w:color="100249" w:themeColor="accent4"/>
              <w:bottom w:val="single" w:sz="4" w:space="0" w:color="100249" w:themeColor="accent4"/>
            </w:tcBorders>
          </w:tcPr>
          <w:p w14:paraId="0528FECD" w14:textId="00AB454F" w:rsidR="00C1556C" w:rsidRDefault="00C1556C" w:rsidP="005110C8">
            <w:pPr>
              <w:pStyle w:val="Tabletext"/>
              <w:rPr>
                <w:rFonts w:ascii="Arial Nova" w:hAnsi="Arial Nova"/>
              </w:rPr>
            </w:pPr>
            <w:r>
              <w:rPr>
                <w:rFonts w:ascii="Arial Nova" w:hAnsi="Arial Nova"/>
              </w:rPr>
              <w:t>N/A</w:t>
            </w:r>
          </w:p>
        </w:tc>
        <w:tc>
          <w:tcPr>
            <w:tcW w:w="5954" w:type="dxa"/>
            <w:tcBorders>
              <w:top w:val="single" w:sz="4" w:space="0" w:color="100249" w:themeColor="accent4"/>
              <w:bottom w:val="single" w:sz="4" w:space="0" w:color="100249" w:themeColor="accent4"/>
            </w:tcBorders>
          </w:tcPr>
          <w:p w14:paraId="10C3B014" w14:textId="0FB4F161" w:rsidR="00C1556C" w:rsidRDefault="00C1556C" w:rsidP="005110C8">
            <w:pPr>
              <w:pStyle w:val="Tabletext"/>
              <w:rPr>
                <w:rFonts w:ascii="Arial Nova" w:hAnsi="Arial Nova"/>
              </w:rPr>
            </w:pPr>
            <w:r w:rsidRPr="00C1556C">
              <w:rPr>
                <w:rFonts w:ascii="Arial Nova" w:hAnsi="Arial Nova"/>
              </w:rPr>
              <w:t xml:space="preserve">Added new note: </w:t>
            </w:r>
            <w:r w:rsidR="0091132B">
              <w:rPr>
                <w:rFonts w:ascii="Arial Nova" w:hAnsi="Arial Nova"/>
              </w:rPr>
              <w:t>“</w:t>
            </w:r>
            <w:r w:rsidRPr="00C1556C">
              <w:rPr>
                <w:rFonts w:ascii="Arial Nova" w:hAnsi="Arial Nova"/>
              </w:rPr>
              <w:t>Changes to unearned income / revenue</w:t>
            </w:r>
            <w:r w:rsidR="0091132B">
              <w:rPr>
                <w:rFonts w:ascii="Arial Nova" w:hAnsi="Arial Nova"/>
              </w:rPr>
              <w:t>”</w:t>
            </w:r>
            <w:r w:rsidRPr="00C1556C">
              <w:rPr>
                <w:rFonts w:ascii="Arial Nova" w:hAnsi="Arial Nova"/>
              </w:rPr>
              <w:t xml:space="preserve"> in line with changes to Accounting Standards.</w:t>
            </w:r>
          </w:p>
        </w:tc>
      </w:tr>
      <w:tr w:rsidR="00C1556C" w:rsidRPr="000B0A8E" w14:paraId="56A067D5" w14:textId="77777777" w:rsidTr="004F1A47">
        <w:tc>
          <w:tcPr>
            <w:tcW w:w="2386" w:type="dxa"/>
            <w:tcBorders>
              <w:top w:val="single" w:sz="4" w:space="0" w:color="100249" w:themeColor="accent4"/>
              <w:bottom w:val="single" w:sz="4" w:space="0" w:color="100249" w:themeColor="accent4"/>
            </w:tcBorders>
          </w:tcPr>
          <w:p w14:paraId="7B6C6B8E" w14:textId="62342786" w:rsidR="00C1556C" w:rsidRDefault="00CD1E36" w:rsidP="005110C8">
            <w:pPr>
              <w:pStyle w:val="Tabletext"/>
              <w:rPr>
                <w:rFonts w:ascii="Arial Nova" w:hAnsi="Arial Nova"/>
              </w:rPr>
            </w:pPr>
            <w:r>
              <w:rPr>
                <w:rFonts w:ascii="Arial Nova" w:hAnsi="Arial Nova"/>
              </w:rPr>
              <w:t>C7</w:t>
            </w:r>
          </w:p>
        </w:tc>
        <w:tc>
          <w:tcPr>
            <w:tcW w:w="1158" w:type="dxa"/>
            <w:tcBorders>
              <w:top w:val="single" w:sz="4" w:space="0" w:color="100249" w:themeColor="accent4"/>
              <w:bottom w:val="single" w:sz="4" w:space="0" w:color="100249" w:themeColor="accent4"/>
            </w:tcBorders>
          </w:tcPr>
          <w:p w14:paraId="09672F1C" w14:textId="56181F5C" w:rsidR="00C1556C" w:rsidRDefault="00612759" w:rsidP="005110C8">
            <w:pPr>
              <w:pStyle w:val="Tabletext"/>
              <w:rPr>
                <w:rFonts w:ascii="Arial Nova" w:hAnsi="Arial Nova"/>
              </w:rPr>
            </w:pPr>
            <w:r>
              <w:rPr>
                <w:rFonts w:ascii="Arial Nova" w:hAnsi="Arial Nova"/>
              </w:rPr>
              <w:t>111</w:t>
            </w:r>
          </w:p>
        </w:tc>
        <w:tc>
          <w:tcPr>
            <w:tcW w:w="5953" w:type="dxa"/>
            <w:tcBorders>
              <w:top w:val="single" w:sz="4" w:space="0" w:color="100249" w:themeColor="accent4"/>
              <w:bottom w:val="single" w:sz="4" w:space="0" w:color="100249" w:themeColor="accent4"/>
            </w:tcBorders>
          </w:tcPr>
          <w:p w14:paraId="5686F6D9" w14:textId="5DA70007" w:rsidR="00C1556C" w:rsidRDefault="00612759" w:rsidP="005110C8">
            <w:pPr>
              <w:pStyle w:val="Tabletext"/>
              <w:rPr>
                <w:rFonts w:ascii="Arial Nova" w:hAnsi="Arial Nova"/>
              </w:rPr>
            </w:pPr>
            <w:r>
              <w:rPr>
                <w:rFonts w:ascii="Arial Nova" w:hAnsi="Arial Nova"/>
              </w:rPr>
              <w:t>Notes on FTE</w:t>
            </w:r>
          </w:p>
        </w:tc>
        <w:tc>
          <w:tcPr>
            <w:tcW w:w="5954" w:type="dxa"/>
            <w:tcBorders>
              <w:top w:val="single" w:sz="4" w:space="0" w:color="100249" w:themeColor="accent4"/>
              <w:bottom w:val="single" w:sz="4" w:space="0" w:color="100249" w:themeColor="accent4"/>
            </w:tcBorders>
          </w:tcPr>
          <w:p w14:paraId="12B8CD15" w14:textId="76C41077" w:rsidR="00C1556C" w:rsidRPr="00C1556C" w:rsidRDefault="00612759" w:rsidP="005110C8">
            <w:pPr>
              <w:pStyle w:val="Tabletext"/>
              <w:rPr>
                <w:rFonts w:ascii="Arial Nova" w:hAnsi="Arial Nova"/>
              </w:rPr>
            </w:pPr>
            <w:r>
              <w:rPr>
                <w:rFonts w:ascii="Arial Nova" w:hAnsi="Arial Nova"/>
              </w:rPr>
              <w:t xml:space="preserve">Added </w:t>
            </w:r>
            <w:r w:rsidR="00DE220A">
              <w:rPr>
                <w:rFonts w:ascii="Arial Nova" w:hAnsi="Arial Nova"/>
              </w:rPr>
              <w:t>new sentence: “</w:t>
            </w:r>
            <w:r w:rsidR="00BB7154" w:rsidRPr="00BB7154">
              <w:rPr>
                <w:rFonts w:ascii="Arial Nova" w:hAnsi="Arial Nova"/>
              </w:rPr>
              <w:t>For this measure, only Permanent staff should count towards the FTE.</w:t>
            </w:r>
            <w:r w:rsidR="00BB7154">
              <w:rPr>
                <w:rFonts w:ascii="Arial Nova" w:hAnsi="Arial Nova"/>
              </w:rPr>
              <w:t>”</w:t>
            </w:r>
            <w:r w:rsidR="00BB7154" w:rsidRPr="00BB7154">
              <w:rPr>
                <w:rFonts w:ascii="Arial Nova" w:hAnsi="Arial Nova"/>
              </w:rPr>
              <w:t xml:space="preserve"> </w:t>
            </w:r>
          </w:p>
        </w:tc>
      </w:tr>
      <w:tr w:rsidR="00E43F01" w:rsidRPr="000B0A8E" w14:paraId="641997DC" w14:textId="77777777" w:rsidTr="0021136A">
        <w:tc>
          <w:tcPr>
            <w:tcW w:w="15451" w:type="dxa"/>
            <w:gridSpan w:val="4"/>
            <w:tcBorders>
              <w:top w:val="single" w:sz="4" w:space="0" w:color="100249" w:themeColor="accent4"/>
              <w:bottom w:val="single" w:sz="4" w:space="0" w:color="100249" w:themeColor="accent4"/>
            </w:tcBorders>
          </w:tcPr>
          <w:p w14:paraId="54BFFB54" w14:textId="76B3D45C" w:rsidR="00E43F01" w:rsidRDefault="00E43F01" w:rsidP="005110C8">
            <w:pPr>
              <w:pStyle w:val="Tabletext"/>
              <w:rPr>
                <w:rFonts w:ascii="Arial Nova" w:hAnsi="Arial Nova"/>
              </w:rPr>
            </w:pPr>
            <w:r w:rsidRPr="00E43F01">
              <w:rPr>
                <w:rFonts w:ascii="Arial Nova" w:hAnsi="Arial Nova"/>
                <w:b/>
                <w:bCs/>
              </w:rPr>
              <w:t>Governance and management checklist</w:t>
            </w:r>
          </w:p>
        </w:tc>
      </w:tr>
      <w:tr w:rsidR="003154DE" w:rsidRPr="000B0A8E" w14:paraId="5B1CFDB4" w14:textId="77777777" w:rsidTr="004F1A47">
        <w:tc>
          <w:tcPr>
            <w:tcW w:w="2386" w:type="dxa"/>
            <w:tcBorders>
              <w:top w:val="single" w:sz="4" w:space="0" w:color="100249" w:themeColor="accent4"/>
              <w:bottom w:val="single" w:sz="4" w:space="0" w:color="100249" w:themeColor="accent4"/>
            </w:tcBorders>
          </w:tcPr>
          <w:p w14:paraId="7AA74E2F" w14:textId="77777777" w:rsidR="003154DE" w:rsidRPr="000B0A8E" w:rsidRDefault="003154DE" w:rsidP="003154DE">
            <w:pPr>
              <w:pStyle w:val="Tabletext"/>
              <w:rPr>
                <w:rFonts w:ascii="Arial Nova" w:hAnsi="Arial Nova"/>
              </w:rPr>
            </w:pPr>
          </w:p>
        </w:tc>
        <w:tc>
          <w:tcPr>
            <w:tcW w:w="1158" w:type="dxa"/>
            <w:tcBorders>
              <w:top w:val="single" w:sz="4" w:space="0" w:color="100249" w:themeColor="accent4"/>
              <w:bottom w:val="single" w:sz="4" w:space="0" w:color="100249" w:themeColor="accent4"/>
            </w:tcBorders>
          </w:tcPr>
          <w:p w14:paraId="7F6F5330" w14:textId="14CEEA8E" w:rsidR="003154DE" w:rsidRPr="000B0A8E" w:rsidRDefault="003154DE" w:rsidP="003154DE">
            <w:pPr>
              <w:pStyle w:val="Tabletext"/>
              <w:rPr>
                <w:rFonts w:ascii="Arial Nova" w:hAnsi="Arial Nova"/>
              </w:rPr>
            </w:pPr>
            <w:r>
              <w:rPr>
                <w:rFonts w:ascii="Arial Nova" w:hAnsi="Arial Nova"/>
              </w:rPr>
              <w:t>-</w:t>
            </w:r>
          </w:p>
        </w:tc>
        <w:tc>
          <w:tcPr>
            <w:tcW w:w="5953" w:type="dxa"/>
            <w:tcBorders>
              <w:top w:val="single" w:sz="4" w:space="0" w:color="100249" w:themeColor="accent4"/>
              <w:bottom w:val="single" w:sz="4" w:space="0" w:color="100249" w:themeColor="accent4"/>
            </w:tcBorders>
          </w:tcPr>
          <w:p w14:paraId="6CD74ADA" w14:textId="292D341F" w:rsidR="003154DE" w:rsidRPr="000B0A8E" w:rsidRDefault="003154DE" w:rsidP="003154DE">
            <w:pPr>
              <w:pStyle w:val="Tabletext"/>
              <w:rPr>
                <w:rFonts w:ascii="Arial Nova" w:hAnsi="Arial Nova"/>
              </w:rPr>
            </w:pPr>
            <w:r>
              <w:rPr>
                <w:rFonts w:ascii="Arial Nova" w:hAnsi="Arial Nova"/>
                <w:bCs/>
              </w:rPr>
              <w:t>Reference to the Local Government Act 1989 and the Local Government (Planning and Reporting) Regulations 2014</w:t>
            </w:r>
          </w:p>
        </w:tc>
        <w:tc>
          <w:tcPr>
            <w:tcW w:w="5954" w:type="dxa"/>
            <w:tcBorders>
              <w:top w:val="single" w:sz="4" w:space="0" w:color="100249" w:themeColor="accent4"/>
              <w:bottom w:val="single" w:sz="4" w:space="0" w:color="100249" w:themeColor="accent4"/>
            </w:tcBorders>
          </w:tcPr>
          <w:p w14:paraId="1A5F7520" w14:textId="46354880" w:rsidR="003154DE" w:rsidRPr="000B0A8E" w:rsidRDefault="003154DE" w:rsidP="003154DE">
            <w:pPr>
              <w:pStyle w:val="Tabletext"/>
              <w:rPr>
                <w:rFonts w:ascii="Arial Nova" w:hAnsi="Arial Nova"/>
              </w:rPr>
            </w:pPr>
            <w:r>
              <w:rPr>
                <w:rFonts w:ascii="Arial Nova" w:hAnsi="Arial Nova"/>
              </w:rPr>
              <w:t>Updated references to the Local Government Act 2020 and the Local Government (Planning and Reporting) Regulations 2020</w:t>
            </w:r>
          </w:p>
        </w:tc>
      </w:tr>
      <w:tr w:rsidR="003154DE" w:rsidRPr="000B0A8E" w14:paraId="0723408B" w14:textId="77777777" w:rsidTr="004F1A47">
        <w:tc>
          <w:tcPr>
            <w:tcW w:w="2386" w:type="dxa"/>
            <w:tcBorders>
              <w:top w:val="single" w:sz="4" w:space="0" w:color="100249" w:themeColor="accent4"/>
              <w:bottom w:val="single" w:sz="4" w:space="0" w:color="100249" w:themeColor="accent4"/>
            </w:tcBorders>
          </w:tcPr>
          <w:p w14:paraId="58159A6B" w14:textId="77777777" w:rsidR="003154DE" w:rsidRPr="000B0A8E" w:rsidRDefault="003154DE" w:rsidP="003154DE">
            <w:pPr>
              <w:pStyle w:val="Tabletext"/>
              <w:rPr>
                <w:rFonts w:ascii="Arial Nova" w:hAnsi="Arial Nova"/>
              </w:rPr>
            </w:pPr>
          </w:p>
        </w:tc>
        <w:tc>
          <w:tcPr>
            <w:tcW w:w="1158" w:type="dxa"/>
            <w:tcBorders>
              <w:top w:val="single" w:sz="4" w:space="0" w:color="100249" w:themeColor="accent4"/>
              <w:bottom w:val="single" w:sz="4" w:space="0" w:color="100249" w:themeColor="accent4"/>
            </w:tcBorders>
          </w:tcPr>
          <w:p w14:paraId="4FD1D9A8" w14:textId="7FE24F04" w:rsidR="003154DE" w:rsidRDefault="00DF071E" w:rsidP="003154DE">
            <w:pPr>
              <w:pStyle w:val="Tabletext"/>
              <w:rPr>
                <w:rFonts w:ascii="Arial Nova" w:hAnsi="Arial Nova"/>
              </w:rPr>
            </w:pPr>
            <w:r>
              <w:rPr>
                <w:rFonts w:ascii="Arial Nova" w:hAnsi="Arial Nova"/>
              </w:rPr>
              <w:t>11</w:t>
            </w:r>
            <w:r w:rsidR="004C6257">
              <w:rPr>
                <w:rFonts w:ascii="Arial Nova" w:hAnsi="Arial Nova"/>
              </w:rPr>
              <w:t>2</w:t>
            </w:r>
          </w:p>
        </w:tc>
        <w:tc>
          <w:tcPr>
            <w:tcW w:w="5953" w:type="dxa"/>
            <w:tcBorders>
              <w:top w:val="single" w:sz="4" w:space="0" w:color="100249" w:themeColor="accent4"/>
              <w:bottom w:val="single" w:sz="4" w:space="0" w:color="100249" w:themeColor="accent4"/>
            </w:tcBorders>
          </w:tcPr>
          <w:p w14:paraId="4097D341" w14:textId="3FB076AB" w:rsidR="003154DE" w:rsidRDefault="00BC610A" w:rsidP="003154DE">
            <w:pPr>
              <w:pStyle w:val="Tabletext"/>
              <w:rPr>
                <w:rFonts w:ascii="Arial Nova" w:hAnsi="Arial Nova"/>
                <w:bCs/>
              </w:rPr>
            </w:pPr>
            <w:r>
              <w:rPr>
                <w:rFonts w:ascii="Arial Nova" w:hAnsi="Arial Nova"/>
                <w:bCs/>
              </w:rPr>
              <w:t>Notes under Municipal emergency management plan</w:t>
            </w:r>
            <w:r w:rsidR="00CC4B81">
              <w:rPr>
                <w:rFonts w:ascii="Arial Nova" w:hAnsi="Arial Nova"/>
                <w:bCs/>
              </w:rPr>
              <w:t>.</w:t>
            </w:r>
          </w:p>
        </w:tc>
        <w:tc>
          <w:tcPr>
            <w:tcW w:w="5954" w:type="dxa"/>
            <w:tcBorders>
              <w:top w:val="single" w:sz="4" w:space="0" w:color="100249" w:themeColor="accent4"/>
              <w:bottom w:val="single" w:sz="4" w:space="0" w:color="100249" w:themeColor="accent4"/>
            </w:tcBorders>
          </w:tcPr>
          <w:p w14:paraId="1B903A8F" w14:textId="772D52E0" w:rsidR="003154DE" w:rsidRDefault="00BC610A" w:rsidP="003154DE">
            <w:pPr>
              <w:pStyle w:val="Tabletext"/>
              <w:rPr>
                <w:rFonts w:ascii="Arial Nova" w:hAnsi="Arial Nova"/>
              </w:rPr>
            </w:pPr>
            <w:r>
              <w:rPr>
                <w:rFonts w:ascii="Arial Nova" w:hAnsi="Arial Nova"/>
              </w:rPr>
              <w:t>Added new sentence: “</w:t>
            </w:r>
            <w:r w:rsidRPr="00BC610A">
              <w:rPr>
                <w:rFonts w:ascii="Arial Nova" w:hAnsi="Arial Nova"/>
              </w:rPr>
              <w:t>This would include any similar provisions under the Emergency Management Act 2013</w:t>
            </w:r>
            <w:r w:rsidR="00C660C7">
              <w:rPr>
                <w:rFonts w:ascii="Arial Nova" w:hAnsi="Arial Nova"/>
              </w:rPr>
              <w:t>.</w:t>
            </w:r>
            <w:r>
              <w:rPr>
                <w:rFonts w:ascii="Arial Nova" w:hAnsi="Arial Nova"/>
              </w:rPr>
              <w:t>”</w:t>
            </w:r>
          </w:p>
        </w:tc>
      </w:tr>
      <w:tr w:rsidR="00F46011" w:rsidRPr="000B0A8E" w14:paraId="0380D12B" w14:textId="77777777" w:rsidTr="00F37D24">
        <w:tc>
          <w:tcPr>
            <w:tcW w:w="15451" w:type="dxa"/>
            <w:gridSpan w:val="4"/>
            <w:tcBorders>
              <w:top w:val="single" w:sz="4" w:space="0" w:color="100249" w:themeColor="accent4"/>
              <w:bottom w:val="single" w:sz="4" w:space="0" w:color="100249" w:themeColor="accent4"/>
            </w:tcBorders>
          </w:tcPr>
          <w:p w14:paraId="0AE80E7F" w14:textId="78FB7D56" w:rsidR="00F46011" w:rsidRDefault="00F46011" w:rsidP="003154DE">
            <w:pPr>
              <w:pStyle w:val="Tabletext"/>
              <w:rPr>
                <w:rFonts w:ascii="Arial Nova" w:hAnsi="Arial Nova"/>
              </w:rPr>
            </w:pPr>
            <w:r w:rsidRPr="00F46011">
              <w:rPr>
                <w:rFonts w:ascii="Arial Nova" w:hAnsi="Arial Nova"/>
                <w:b/>
                <w:bCs/>
              </w:rPr>
              <w:t>Section 3 – Performance reporting template</w:t>
            </w:r>
          </w:p>
        </w:tc>
      </w:tr>
      <w:tr w:rsidR="00F46011" w:rsidRPr="000B0A8E" w14:paraId="14ABBE10" w14:textId="77777777" w:rsidTr="004F1A47">
        <w:tc>
          <w:tcPr>
            <w:tcW w:w="2386" w:type="dxa"/>
            <w:tcBorders>
              <w:top w:val="single" w:sz="4" w:space="0" w:color="100249" w:themeColor="accent4"/>
              <w:bottom w:val="single" w:sz="4" w:space="0" w:color="100249" w:themeColor="accent4"/>
            </w:tcBorders>
          </w:tcPr>
          <w:p w14:paraId="2512C7C1" w14:textId="77777777" w:rsidR="00F46011" w:rsidRDefault="00F46011" w:rsidP="003154DE">
            <w:pPr>
              <w:pStyle w:val="Tabletext"/>
              <w:rPr>
                <w:rFonts w:ascii="Arial Nova" w:hAnsi="Arial Nova"/>
              </w:rPr>
            </w:pPr>
          </w:p>
        </w:tc>
        <w:tc>
          <w:tcPr>
            <w:tcW w:w="1158" w:type="dxa"/>
            <w:tcBorders>
              <w:top w:val="single" w:sz="4" w:space="0" w:color="100249" w:themeColor="accent4"/>
              <w:bottom w:val="single" w:sz="4" w:space="0" w:color="100249" w:themeColor="accent4"/>
            </w:tcBorders>
          </w:tcPr>
          <w:p w14:paraId="5C85F873" w14:textId="77777777" w:rsidR="00F46011" w:rsidRDefault="00F46011" w:rsidP="003154DE">
            <w:pPr>
              <w:pStyle w:val="Tabletext"/>
              <w:rPr>
                <w:rFonts w:ascii="Arial Nova" w:hAnsi="Arial Nova"/>
              </w:rPr>
            </w:pPr>
          </w:p>
        </w:tc>
        <w:tc>
          <w:tcPr>
            <w:tcW w:w="5953" w:type="dxa"/>
            <w:tcBorders>
              <w:top w:val="single" w:sz="4" w:space="0" w:color="100249" w:themeColor="accent4"/>
              <w:bottom w:val="single" w:sz="4" w:space="0" w:color="100249" w:themeColor="accent4"/>
            </w:tcBorders>
          </w:tcPr>
          <w:p w14:paraId="1A993C9B" w14:textId="53BA3DB3" w:rsidR="00F46011" w:rsidRDefault="00F46011" w:rsidP="003154DE">
            <w:pPr>
              <w:pStyle w:val="Tabletext"/>
              <w:rPr>
                <w:rFonts w:ascii="Arial Nova" w:hAnsi="Arial Nova"/>
                <w:bCs/>
              </w:rPr>
            </w:pPr>
            <w:r>
              <w:rPr>
                <w:rFonts w:ascii="Arial Nova" w:hAnsi="Arial Nova"/>
                <w:bCs/>
              </w:rPr>
              <w:t>Removed</w:t>
            </w:r>
          </w:p>
        </w:tc>
        <w:tc>
          <w:tcPr>
            <w:tcW w:w="5954" w:type="dxa"/>
            <w:tcBorders>
              <w:top w:val="single" w:sz="4" w:space="0" w:color="100249" w:themeColor="accent4"/>
              <w:bottom w:val="single" w:sz="4" w:space="0" w:color="100249" w:themeColor="accent4"/>
            </w:tcBorders>
          </w:tcPr>
          <w:p w14:paraId="03B6BE36" w14:textId="74AEBD7B" w:rsidR="00F46011" w:rsidRDefault="00F46011" w:rsidP="003154DE">
            <w:pPr>
              <w:pStyle w:val="Tabletext"/>
              <w:rPr>
                <w:rFonts w:ascii="Arial Nova" w:hAnsi="Arial Nova"/>
              </w:rPr>
            </w:pPr>
            <w:r>
              <w:rPr>
                <w:rFonts w:ascii="Arial Nova" w:hAnsi="Arial Nova"/>
              </w:rPr>
              <w:t xml:space="preserve">Content being included in new </w:t>
            </w:r>
            <w:r w:rsidR="005C4156">
              <w:rPr>
                <w:rFonts w:ascii="Arial Nova" w:hAnsi="Arial Nova"/>
              </w:rPr>
              <w:t>Better Practice Guide on Loading performance data</w:t>
            </w:r>
          </w:p>
        </w:tc>
      </w:tr>
      <w:tr w:rsidR="003154DE" w:rsidRPr="000B0A8E" w14:paraId="291DE42D" w14:textId="77777777" w:rsidTr="00F20650">
        <w:tc>
          <w:tcPr>
            <w:tcW w:w="15451" w:type="dxa"/>
            <w:gridSpan w:val="4"/>
            <w:tcBorders>
              <w:top w:val="single" w:sz="4" w:space="0" w:color="100249" w:themeColor="accent4"/>
              <w:bottom w:val="single" w:sz="4" w:space="0" w:color="100249" w:themeColor="accent4"/>
            </w:tcBorders>
          </w:tcPr>
          <w:p w14:paraId="3BAE4F1D" w14:textId="059A3C95" w:rsidR="003154DE" w:rsidRPr="000B0A8E" w:rsidRDefault="003154DE" w:rsidP="003154DE">
            <w:pPr>
              <w:pStyle w:val="Tabletext"/>
              <w:rPr>
                <w:rFonts w:ascii="Arial Nova" w:hAnsi="Arial Nova"/>
                <w:b/>
                <w:bCs/>
              </w:rPr>
            </w:pPr>
            <w:r w:rsidRPr="000B0A8E">
              <w:rPr>
                <w:rFonts w:ascii="Arial Nova" w:hAnsi="Arial Nova"/>
                <w:b/>
                <w:bCs/>
              </w:rPr>
              <w:t>Appendix B: Expected Range per Indicator</w:t>
            </w:r>
          </w:p>
        </w:tc>
      </w:tr>
      <w:tr w:rsidR="003154DE" w:rsidRPr="000B0A8E" w14:paraId="030AF7C1" w14:textId="77777777" w:rsidTr="004F1A47">
        <w:tc>
          <w:tcPr>
            <w:tcW w:w="2386" w:type="dxa"/>
            <w:tcBorders>
              <w:top w:val="single" w:sz="4" w:space="0" w:color="100249" w:themeColor="accent4"/>
              <w:bottom w:val="single" w:sz="4" w:space="0" w:color="100249" w:themeColor="accent4"/>
            </w:tcBorders>
          </w:tcPr>
          <w:p w14:paraId="1FDA4978" w14:textId="3A112EDB" w:rsidR="003154DE" w:rsidRPr="000B0A8E" w:rsidRDefault="003154DE" w:rsidP="003154DE">
            <w:pPr>
              <w:pStyle w:val="Tabletext"/>
              <w:rPr>
                <w:rFonts w:ascii="Arial Nova" w:hAnsi="Arial Nova"/>
              </w:rPr>
            </w:pPr>
            <w:r w:rsidRPr="000B0A8E">
              <w:rPr>
                <w:rFonts w:ascii="Arial Nova" w:hAnsi="Arial Nova"/>
              </w:rPr>
              <w:t>Animal Management</w:t>
            </w:r>
          </w:p>
        </w:tc>
        <w:tc>
          <w:tcPr>
            <w:tcW w:w="1158" w:type="dxa"/>
            <w:tcBorders>
              <w:top w:val="single" w:sz="4" w:space="0" w:color="100249" w:themeColor="accent4"/>
              <w:bottom w:val="single" w:sz="4" w:space="0" w:color="100249" w:themeColor="accent4"/>
            </w:tcBorders>
          </w:tcPr>
          <w:p w14:paraId="14415484" w14:textId="34743F66" w:rsidR="003154DE" w:rsidRPr="000B0A8E" w:rsidRDefault="003154DE" w:rsidP="003154DE">
            <w:pPr>
              <w:pStyle w:val="Tabletext"/>
              <w:rPr>
                <w:rFonts w:ascii="Arial Nova" w:hAnsi="Arial Nova"/>
              </w:rPr>
            </w:pPr>
            <w:r w:rsidRPr="000B0A8E">
              <w:rPr>
                <w:rFonts w:ascii="Arial Nova" w:hAnsi="Arial Nova"/>
              </w:rPr>
              <w:t>1</w:t>
            </w:r>
            <w:r w:rsidR="00F53D14">
              <w:rPr>
                <w:rFonts w:ascii="Arial Nova" w:hAnsi="Arial Nova"/>
              </w:rPr>
              <w:t>48</w:t>
            </w:r>
          </w:p>
        </w:tc>
        <w:tc>
          <w:tcPr>
            <w:tcW w:w="5953" w:type="dxa"/>
            <w:tcBorders>
              <w:top w:val="single" w:sz="4" w:space="0" w:color="100249" w:themeColor="accent4"/>
              <w:bottom w:val="single" w:sz="4" w:space="0" w:color="100249" w:themeColor="accent4"/>
            </w:tcBorders>
          </w:tcPr>
          <w:p w14:paraId="29541037" w14:textId="18620C6C" w:rsidR="003154DE" w:rsidRPr="000B0A8E" w:rsidRDefault="003154DE" w:rsidP="003154DE">
            <w:pPr>
              <w:pStyle w:val="Tabletext"/>
              <w:rPr>
                <w:rFonts w:ascii="Arial Nova" w:hAnsi="Arial Nova"/>
              </w:rPr>
            </w:pPr>
            <w:r w:rsidRPr="000B0A8E">
              <w:rPr>
                <w:rFonts w:ascii="Arial Nova" w:hAnsi="Arial Nova"/>
              </w:rPr>
              <w:t>Animal management prosecutions 50% to 200%</w:t>
            </w:r>
          </w:p>
        </w:tc>
        <w:tc>
          <w:tcPr>
            <w:tcW w:w="5954" w:type="dxa"/>
            <w:tcBorders>
              <w:top w:val="single" w:sz="4" w:space="0" w:color="100249" w:themeColor="accent4"/>
              <w:bottom w:val="single" w:sz="4" w:space="0" w:color="100249" w:themeColor="accent4"/>
            </w:tcBorders>
          </w:tcPr>
          <w:p w14:paraId="18FED3AB" w14:textId="3D0CBB5B" w:rsidR="003154DE" w:rsidRPr="000B0A8E" w:rsidRDefault="003154DE" w:rsidP="003154DE">
            <w:pPr>
              <w:pStyle w:val="Tabletext"/>
              <w:rPr>
                <w:rFonts w:ascii="Arial Nova" w:hAnsi="Arial Nova"/>
              </w:rPr>
            </w:pPr>
            <w:r w:rsidRPr="000B0A8E">
              <w:rPr>
                <w:rFonts w:ascii="Arial Nova" w:hAnsi="Arial Nova"/>
              </w:rPr>
              <w:t>Animal management prosecutions 0% to 200%</w:t>
            </w:r>
          </w:p>
        </w:tc>
      </w:tr>
      <w:tr w:rsidR="003154DE" w:rsidRPr="000B0A8E" w14:paraId="119E0A45" w14:textId="77777777" w:rsidTr="004F1A47">
        <w:tc>
          <w:tcPr>
            <w:tcW w:w="2386" w:type="dxa"/>
            <w:tcBorders>
              <w:top w:val="single" w:sz="4" w:space="0" w:color="100249" w:themeColor="accent4"/>
              <w:bottom w:val="single" w:sz="4" w:space="0" w:color="100249" w:themeColor="accent4"/>
            </w:tcBorders>
          </w:tcPr>
          <w:p w14:paraId="7AC7679D" w14:textId="49383DC6" w:rsidR="003154DE" w:rsidRPr="000B0A8E" w:rsidRDefault="003154DE" w:rsidP="003154DE">
            <w:pPr>
              <w:pStyle w:val="Tabletext"/>
              <w:rPr>
                <w:rFonts w:ascii="Arial Nova" w:hAnsi="Arial Nova"/>
              </w:rPr>
            </w:pPr>
            <w:r w:rsidRPr="000B0A8E">
              <w:rPr>
                <w:rFonts w:ascii="Arial Nova" w:hAnsi="Arial Nova"/>
              </w:rPr>
              <w:t>Statutory Planning</w:t>
            </w:r>
          </w:p>
        </w:tc>
        <w:tc>
          <w:tcPr>
            <w:tcW w:w="1158" w:type="dxa"/>
            <w:tcBorders>
              <w:top w:val="single" w:sz="4" w:space="0" w:color="100249" w:themeColor="accent4"/>
              <w:bottom w:val="single" w:sz="4" w:space="0" w:color="100249" w:themeColor="accent4"/>
            </w:tcBorders>
          </w:tcPr>
          <w:p w14:paraId="4EDEE6FF" w14:textId="391229C4" w:rsidR="003154DE" w:rsidRPr="000B0A8E" w:rsidRDefault="003154DE" w:rsidP="003154DE">
            <w:pPr>
              <w:pStyle w:val="Tabletext"/>
              <w:rPr>
                <w:rFonts w:ascii="Arial Nova" w:hAnsi="Arial Nova"/>
              </w:rPr>
            </w:pPr>
            <w:r w:rsidRPr="000B0A8E">
              <w:rPr>
                <w:rFonts w:ascii="Arial Nova" w:hAnsi="Arial Nova"/>
              </w:rPr>
              <w:t>1</w:t>
            </w:r>
            <w:r w:rsidR="00F53D14">
              <w:rPr>
                <w:rFonts w:ascii="Arial Nova" w:hAnsi="Arial Nova"/>
              </w:rPr>
              <w:t>49</w:t>
            </w:r>
          </w:p>
        </w:tc>
        <w:tc>
          <w:tcPr>
            <w:tcW w:w="5953" w:type="dxa"/>
            <w:tcBorders>
              <w:top w:val="single" w:sz="4" w:space="0" w:color="100249" w:themeColor="accent4"/>
              <w:bottom w:val="single" w:sz="4" w:space="0" w:color="100249" w:themeColor="accent4"/>
            </w:tcBorders>
          </w:tcPr>
          <w:p w14:paraId="5850B34E" w14:textId="1CCE9724" w:rsidR="003154DE" w:rsidRPr="000B0A8E" w:rsidRDefault="003154DE" w:rsidP="003154DE">
            <w:pPr>
              <w:pStyle w:val="Tabletext"/>
              <w:rPr>
                <w:rFonts w:ascii="Arial Nova" w:hAnsi="Arial Nova"/>
              </w:rPr>
            </w:pPr>
            <w:r w:rsidRPr="000B0A8E">
              <w:rPr>
                <w:rFonts w:ascii="Arial Nova" w:hAnsi="Arial Nova"/>
              </w:rPr>
              <w:t>Council planning decisions upheld at VCAT 30% to 100%</w:t>
            </w:r>
          </w:p>
        </w:tc>
        <w:tc>
          <w:tcPr>
            <w:tcW w:w="5954" w:type="dxa"/>
            <w:tcBorders>
              <w:top w:val="single" w:sz="4" w:space="0" w:color="100249" w:themeColor="accent4"/>
              <w:bottom w:val="single" w:sz="4" w:space="0" w:color="100249" w:themeColor="accent4"/>
            </w:tcBorders>
          </w:tcPr>
          <w:p w14:paraId="2AFB9C0B" w14:textId="332544A0" w:rsidR="003154DE" w:rsidRPr="000B0A8E" w:rsidRDefault="003154DE" w:rsidP="003154DE">
            <w:pPr>
              <w:pStyle w:val="Tabletext"/>
              <w:rPr>
                <w:rFonts w:ascii="Arial Nova" w:hAnsi="Arial Nova"/>
              </w:rPr>
            </w:pPr>
            <w:r w:rsidRPr="000B0A8E">
              <w:rPr>
                <w:rFonts w:ascii="Arial Nova" w:hAnsi="Arial Nova"/>
              </w:rPr>
              <w:t>Council planning decisions upheld at VCAT 0% to 100%</w:t>
            </w:r>
          </w:p>
        </w:tc>
      </w:tr>
    </w:tbl>
    <w:p w14:paraId="4B86AA85" w14:textId="2C6CF88E" w:rsidR="004371F6" w:rsidRPr="00FD080B" w:rsidRDefault="003E6C9A" w:rsidP="00070516">
      <w:pPr>
        <w:pStyle w:val="Heading2"/>
        <w:rPr>
          <w:rFonts w:ascii="Arial Nova" w:hAnsi="Arial Nova"/>
        </w:rPr>
      </w:pPr>
      <w:r>
        <w:rPr>
          <w:rFonts w:ascii="Arial Nova" w:hAnsi="Arial Nova"/>
          <w:color w:val="100249" w:themeColor="accent4"/>
        </w:rPr>
        <w:t>Editorial changes</w:t>
      </w:r>
    </w:p>
    <w:p w14:paraId="46FB5D0D" w14:textId="731456A3" w:rsidR="00C12B7E" w:rsidRPr="0061661B" w:rsidRDefault="0061661B" w:rsidP="0061661B">
      <w:pPr>
        <w:rPr>
          <w:rFonts w:ascii="Arial Nova" w:hAnsi="Arial Nova"/>
        </w:rPr>
      </w:pPr>
      <w:r w:rsidRPr="0061661B">
        <w:rPr>
          <w:rFonts w:ascii="Arial Nova" w:hAnsi="Arial Nova"/>
          <w:sz w:val="20"/>
          <w:szCs w:val="24"/>
          <w:lang w:eastAsia="en-AU"/>
        </w:rPr>
        <w:t>In addition to the above changes, minor layout and presentation changes were made to the document</w:t>
      </w:r>
      <w:r w:rsidR="007D589D" w:rsidRPr="0061661B">
        <w:rPr>
          <w:rFonts w:ascii="Arial Nova" w:hAnsi="Arial Nova"/>
        </w:rPr>
        <w:t xml:space="preserve">. </w:t>
      </w:r>
      <w:bookmarkStart w:id="0" w:name="_Toc39495222"/>
    </w:p>
    <w:p w14:paraId="035ABFD0" w14:textId="77777777" w:rsidR="0061661B" w:rsidRPr="005770B9" w:rsidRDefault="0061661B" w:rsidP="0061661B">
      <w:pPr>
        <w:pStyle w:val="BodyText"/>
        <w:spacing w:before="120" w:after="120"/>
        <w:jc w:val="left"/>
        <w:rPr>
          <w:rFonts w:ascii="Arial Nova" w:hAnsi="Arial Nova"/>
          <w:b/>
          <w:sz w:val="24"/>
          <w:szCs w:val="24"/>
          <w:u w:val="single"/>
        </w:rPr>
      </w:pPr>
      <w:r w:rsidRPr="005770B9">
        <w:rPr>
          <w:rFonts w:ascii="Arial Nova" w:hAnsi="Arial Nova"/>
          <w:b/>
          <w:sz w:val="24"/>
          <w:szCs w:val="24"/>
          <w:u w:val="single"/>
        </w:rPr>
        <w:t>Reporting Template</w:t>
      </w:r>
    </w:p>
    <w:tbl>
      <w:tblPr>
        <w:tblStyle w:val="ListTable3-Accent1"/>
        <w:tblW w:w="0" w:type="auto"/>
        <w:tblLook w:val="04A0" w:firstRow="1" w:lastRow="0" w:firstColumn="1" w:lastColumn="0" w:noHBand="0" w:noVBand="1"/>
      </w:tblPr>
      <w:tblGrid>
        <w:gridCol w:w="2405"/>
        <w:gridCol w:w="11771"/>
      </w:tblGrid>
      <w:tr w:rsidR="0061661B" w:rsidRPr="00393A95" w14:paraId="4F7D5909" w14:textId="77777777" w:rsidTr="006166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4B7D3C58" w14:textId="77777777" w:rsidR="0061661B" w:rsidRPr="00393A95" w:rsidRDefault="0061661B" w:rsidP="00704499">
            <w:pPr>
              <w:pStyle w:val="BodyText"/>
              <w:spacing w:before="120" w:after="120"/>
              <w:jc w:val="left"/>
              <w:rPr>
                <w:rFonts w:ascii="Arial Nova" w:hAnsi="Arial Nova"/>
                <w:sz w:val="20"/>
                <w:szCs w:val="24"/>
              </w:rPr>
            </w:pPr>
            <w:r>
              <w:rPr>
                <w:rFonts w:ascii="Arial Nova" w:hAnsi="Arial Nova"/>
                <w:sz w:val="20"/>
                <w:szCs w:val="24"/>
              </w:rPr>
              <w:t>Section</w:t>
            </w:r>
          </w:p>
        </w:tc>
        <w:tc>
          <w:tcPr>
            <w:tcW w:w="11771" w:type="dxa"/>
          </w:tcPr>
          <w:p w14:paraId="1E80D523" w14:textId="77777777" w:rsidR="0061661B" w:rsidRPr="00393A95" w:rsidRDefault="0061661B" w:rsidP="00704499">
            <w:pPr>
              <w:pStyle w:val="BodyText"/>
              <w:spacing w:before="120" w:after="120"/>
              <w:jc w:val="left"/>
              <w:cnfStyle w:val="100000000000" w:firstRow="1" w:lastRow="0" w:firstColumn="0" w:lastColumn="0" w:oddVBand="0" w:evenVBand="0" w:oddHBand="0" w:evenHBand="0" w:firstRowFirstColumn="0" w:firstRowLastColumn="0" w:lastRowFirstColumn="0" w:lastRowLastColumn="0"/>
              <w:rPr>
                <w:rFonts w:ascii="Arial Nova" w:hAnsi="Arial Nova"/>
                <w:sz w:val="20"/>
                <w:szCs w:val="24"/>
              </w:rPr>
            </w:pPr>
            <w:r w:rsidRPr="00393A95">
              <w:rPr>
                <w:rFonts w:ascii="Arial Nova" w:hAnsi="Arial Nova"/>
                <w:sz w:val="20"/>
                <w:szCs w:val="24"/>
              </w:rPr>
              <w:t>Overview of changes</w:t>
            </w:r>
          </w:p>
        </w:tc>
      </w:tr>
      <w:tr w:rsidR="0061661B" w:rsidRPr="00393A95" w14:paraId="2B419360" w14:textId="77777777" w:rsidTr="00616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6CD8663" w14:textId="77777777" w:rsidR="0061661B" w:rsidRPr="00393A95"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Note tab</w:t>
            </w:r>
          </w:p>
        </w:tc>
        <w:tc>
          <w:tcPr>
            <w:tcW w:w="11771" w:type="dxa"/>
          </w:tcPr>
          <w:p w14:paraId="65A94ED1" w14:textId="77777777" w:rsidR="0061661B" w:rsidRPr="00BE3754" w:rsidRDefault="0061661B" w:rsidP="0061661B">
            <w:pPr>
              <w:pStyle w:val="BodyText"/>
              <w:numPr>
                <w:ilvl w:val="0"/>
                <w:numId w:val="34"/>
              </w:numPr>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Pr>
                <w:rFonts w:ascii="Arial Nova" w:hAnsi="Arial Nova"/>
                <w:sz w:val="20"/>
                <w:szCs w:val="24"/>
              </w:rPr>
              <w:t>Version details</w:t>
            </w:r>
          </w:p>
        </w:tc>
      </w:tr>
      <w:tr w:rsidR="0061661B" w:rsidRPr="00393A95" w14:paraId="076F8415" w14:textId="77777777" w:rsidTr="0061661B">
        <w:tc>
          <w:tcPr>
            <w:cnfStyle w:val="001000000000" w:firstRow="0" w:lastRow="0" w:firstColumn="1" w:lastColumn="0" w:oddVBand="0" w:evenVBand="0" w:oddHBand="0" w:evenHBand="0" w:firstRowFirstColumn="0" w:firstRowLastColumn="0" w:lastRowFirstColumn="0" w:lastRowLastColumn="0"/>
            <w:tcW w:w="2405" w:type="dxa"/>
          </w:tcPr>
          <w:p w14:paraId="0DBF8F7D" w14:textId="77777777" w:rsidR="0061661B" w:rsidRPr="00393A95"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Data Input 1 – Operational Control</w:t>
            </w:r>
          </w:p>
        </w:tc>
        <w:tc>
          <w:tcPr>
            <w:tcW w:w="11771" w:type="dxa"/>
          </w:tcPr>
          <w:p w14:paraId="08F05813" w14:textId="77777777" w:rsidR="0061661B" w:rsidRPr="00393A95" w:rsidRDefault="0061661B" w:rsidP="00704499">
            <w:pPr>
              <w:pStyle w:val="BodyText"/>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Nil.</w:t>
            </w:r>
            <w:r w:rsidRPr="00393A95">
              <w:rPr>
                <w:rFonts w:ascii="Arial Nova" w:hAnsi="Arial Nova"/>
                <w:sz w:val="20"/>
                <w:szCs w:val="24"/>
              </w:rPr>
              <w:t xml:space="preserve"> </w:t>
            </w:r>
          </w:p>
        </w:tc>
      </w:tr>
      <w:tr w:rsidR="0061661B" w:rsidRPr="00393A95" w14:paraId="1E25B32F" w14:textId="77777777" w:rsidTr="00616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C2ACF6D" w14:textId="77777777" w:rsidR="0061661B" w:rsidRPr="00E92E82" w:rsidRDefault="0061661B" w:rsidP="001B50EA">
            <w:pPr>
              <w:pStyle w:val="BodyText"/>
              <w:spacing w:before="120" w:after="120"/>
              <w:ind w:left="360"/>
              <w:jc w:val="left"/>
              <w:rPr>
                <w:rFonts w:ascii="Arial Nova" w:hAnsi="Arial Nova"/>
                <w:sz w:val="20"/>
                <w:szCs w:val="24"/>
              </w:rPr>
            </w:pPr>
            <w:r w:rsidRPr="00E92E82">
              <w:rPr>
                <w:rFonts w:ascii="Arial Nova" w:hAnsi="Arial Nova"/>
                <w:sz w:val="20"/>
                <w:szCs w:val="24"/>
              </w:rPr>
              <w:t>Data Input 2 – Service Performance</w:t>
            </w:r>
          </w:p>
        </w:tc>
        <w:tc>
          <w:tcPr>
            <w:tcW w:w="11771" w:type="dxa"/>
          </w:tcPr>
          <w:p w14:paraId="71647278" w14:textId="77777777" w:rsidR="0061661B" w:rsidRPr="00E92E82" w:rsidRDefault="0061661B" w:rsidP="00704499">
            <w:pPr>
              <w:pStyle w:val="BodyText"/>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sidRPr="00E92E82">
              <w:rPr>
                <w:rFonts w:ascii="Arial Nova" w:hAnsi="Arial Nova"/>
                <w:sz w:val="20"/>
                <w:szCs w:val="24"/>
              </w:rPr>
              <w:t>Updated with:</w:t>
            </w:r>
          </w:p>
          <w:p w14:paraId="358858AF" w14:textId="77777777" w:rsidR="0061661B" w:rsidRPr="00E92E82" w:rsidRDefault="0061661B" w:rsidP="0061661B">
            <w:pPr>
              <w:pStyle w:val="BodyText"/>
              <w:numPr>
                <w:ilvl w:val="0"/>
                <w:numId w:val="36"/>
              </w:numPr>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sidRPr="00E92E82">
              <w:rPr>
                <w:rFonts w:ascii="Arial Nova" w:hAnsi="Arial Nova"/>
                <w:sz w:val="20"/>
                <w:szCs w:val="24"/>
              </w:rPr>
              <w:t xml:space="preserve">Refresh of data entry warning </w:t>
            </w:r>
            <w:proofErr w:type="gramStart"/>
            <w:r w:rsidRPr="00E92E82">
              <w:rPr>
                <w:rFonts w:ascii="Arial Nova" w:hAnsi="Arial Nova"/>
                <w:sz w:val="20"/>
                <w:szCs w:val="24"/>
              </w:rPr>
              <w:t>messages;</w:t>
            </w:r>
            <w:proofErr w:type="gramEnd"/>
          </w:p>
          <w:p w14:paraId="0F05636C" w14:textId="77777777" w:rsidR="0061661B" w:rsidRPr="00E92E82" w:rsidRDefault="0061661B" w:rsidP="0061661B">
            <w:pPr>
              <w:pStyle w:val="BodyText"/>
              <w:numPr>
                <w:ilvl w:val="0"/>
                <w:numId w:val="36"/>
              </w:numPr>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sidRPr="00E92E82">
              <w:rPr>
                <w:rFonts w:ascii="Arial Nova" w:hAnsi="Arial Nova"/>
                <w:sz w:val="20"/>
                <w:szCs w:val="24"/>
              </w:rPr>
              <w:t>Guidance reference to Indicator Workbook.</w:t>
            </w:r>
          </w:p>
          <w:p w14:paraId="217ABC1C" w14:textId="6FC75A6B" w:rsidR="005C3A6C" w:rsidRPr="00E92E82" w:rsidRDefault="005C3A6C" w:rsidP="0061661B">
            <w:pPr>
              <w:pStyle w:val="BodyText"/>
              <w:numPr>
                <w:ilvl w:val="0"/>
                <w:numId w:val="36"/>
              </w:numPr>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sidRPr="00E92E82">
              <w:rPr>
                <w:rFonts w:ascii="Arial Nova" w:hAnsi="Arial Nova"/>
                <w:sz w:val="20"/>
                <w:szCs w:val="24"/>
              </w:rPr>
              <w:t>Updated detail</w:t>
            </w:r>
            <w:r w:rsidR="00544413" w:rsidRPr="00E92E82">
              <w:rPr>
                <w:rFonts w:ascii="Arial Nova" w:hAnsi="Arial Nova"/>
                <w:sz w:val="20"/>
                <w:szCs w:val="24"/>
              </w:rPr>
              <w:t>s</w:t>
            </w:r>
            <w:r w:rsidRPr="00E92E82">
              <w:rPr>
                <w:rFonts w:ascii="Arial Nova" w:hAnsi="Arial Nova"/>
                <w:sz w:val="20"/>
                <w:szCs w:val="24"/>
              </w:rPr>
              <w:t xml:space="preserve"> for G1 </w:t>
            </w:r>
            <w:r w:rsidR="00544413" w:rsidRPr="00E92E82">
              <w:rPr>
                <w:rFonts w:ascii="Arial Nova" w:hAnsi="Arial Nova"/>
                <w:sz w:val="20"/>
                <w:szCs w:val="24"/>
              </w:rPr>
              <w:t>and G3</w:t>
            </w:r>
            <w:r w:rsidR="00E92E82" w:rsidRPr="00E92E82">
              <w:rPr>
                <w:rFonts w:ascii="Arial Nova" w:hAnsi="Arial Nova"/>
                <w:sz w:val="20"/>
                <w:szCs w:val="24"/>
              </w:rPr>
              <w:t xml:space="preserve"> </w:t>
            </w:r>
            <w:r w:rsidRPr="00E92E82">
              <w:rPr>
                <w:rFonts w:ascii="Arial Nova" w:hAnsi="Arial Nova"/>
                <w:sz w:val="20"/>
                <w:szCs w:val="24"/>
              </w:rPr>
              <w:t xml:space="preserve">to align with </w:t>
            </w:r>
            <w:r w:rsidR="00F04F33" w:rsidRPr="00E92E82">
              <w:rPr>
                <w:rFonts w:ascii="Arial Nova" w:hAnsi="Arial Nova"/>
                <w:sz w:val="20"/>
                <w:szCs w:val="24"/>
              </w:rPr>
              <w:t>2020 Regulations.</w:t>
            </w:r>
          </w:p>
          <w:p w14:paraId="4ABF0B6A" w14:textId="4DE4A86A" w:rsidR="00544413" w:rsidRPr="00E92E82" w:rsidRDefault="00544413" w:rsidP="00E92E82">
            <w:pPr>
              <w:pStyle w:val="BodyText"/>
              <w:spacing w:before="120" w:after="120"/>
              <w:ind w:left="7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p>
        </w:tc>
      </w:tr>
      <w:tr w:rsidR="0061661B" w:rsidRPr="00393A95" w14:paraId="1624463D" w14:textId="77777777" w:rsidTr="0061661B">
        <w:tc>
          <w:tcPr>
            <w:cnfStyle w:val="001000000000" w:firstRow="0" w:lastRow="0" w:firstColumn="1" w:lastColumn="0" w:oddVBand="0" w:evenVBand="0" w:oddHBand="0" w:evenHBand="0" w:firstRowFirstColumn="0" w:firstRowLastColumn="0" w:lastRowFirstColumn="0" w:lastRowLastColumn="0"/>
            <w:tcW w:w="2405" w:type="dxa"/>
          </w:tcPr>
          <w:p w14:paraId="2757C51A" w14:textId="77777777" w:rsidR="0061661B" w:rsidRPr="00393A95"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lastRenderedPageBreak/>
              <w:t>Data Input 3 – Financial Performance</w:t>
            </w:r>
          </w:p>
        </w:tc>
        <w:tc>
          <w:tcPr>
            <w:tcW w:w="11771" w:type="dxa"/>
          </w:tcPr>
          <w:p w14:paraId="4DA55C74" w14:textId="27C8E68F" w:rsidR="00E92E82" w:rsidRDefault="00DB6CB8" w:rsidP="00704499">
            <w:pPr>
              <w:pStyle w:val="BodyText"/>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 xml:space="preserve">Under </w:t>
            </w:r>
            <w:r w:rsidRPr="004F0973">
              <w:rPr>
                <w:rFonts w:ascii="Arial Nova" w:hAnsi="Arial Nova"/>
                <w:b/>
                <w:bCs/>
                <w:sz w:val="20"/>
                <w:szCs w:val="24"/>
              </w:rPr>
              <w:t>Expenses</w:t>
            </w:r>
            <w:r>
              <w:rPr>
                <w:rFonts w:ascii="Arial Nova" w:hAnsi="Arial Nova"/>
                <w:sz w:val="20"/>
                <w:szCs w:val="24"/>
              </w:rPr>
              <w:t xml:space="preserve"> a</w:t>
            </w:r>
            <w:r w:rsidR="000F57AA">
              <w:rPr>
                <w:rFonts w:ascii="Arial Nova" w:hAnsi="Arial Nova"/>
                <w:sz w:val="20"/>
                <w:szCs w:val="24"/>
              </w:rPr>
              <w:t xml:space="preserve">dded new line items: </w:t>
            </w:r>
            <w:r w:rsidRPr="00917E1D">
              <w:rPr>
                <w:rFonts w:ascii="Arial Nova" w:hAnsi="Arial Nova"/>
                <w:b/>
                <w:bCs/>
                <w:sz w:val="20"/>
                <w:szCs w:val="24"/>
              </w:rPr>
              <w:t>Total other compr</w:t>
            </w:r>
            <w:r w:rsidR="0013646B" w:rsidRPr="00917E1D">
              <w:rPr>
                <w:rFonts w:ascii="Arial Nova" w:hAnsi="Arial Nova"/>
                <w:b/>
                <w:bCs/>
                <w:sz w:val="20"/>
                <w:szCs w:val="24"/>
              </w:rPr>
              <w:t>ehensive income</w:t>
            </w:r>
            <w:r w:rsidR="0013646B">
              <w:rPr>
                <w:rFonts w:ascii="Arial Nova" w:hAnsi="Arial Nova"/>
                <w:sz w:val="20"/>
                <w:szCs w:val="24"/>
              </w:rPr>
              <w:t xml:space="preserve"> and </w:t>
            </w:r>
            <w:r w:rsidR="0013646B" w:rsidRPr="00917E1D">
              <w:rPr>
                <w:rFonts w:ascii="Arial Nova" w:hAnsi="Arial Nova"/>
                <w:b/>
                <w:bCs/>
                <w:sz w:val="20"/>
                <w:szCs w:val="24"/>
              </w:rPr>
              <w:t>TOTAL Comprehensive result</w:t>
            </w:r>
            <w:r w:rsidR="0013646B">
              <w:rPr>
                <w:rFonts w:ascii="Arial Nova" w:hAnsi="Arial Nova"/>
                <w:sz w:val="20"/>
                <w:szCs w:val="24"/>
              </w:rPr>
              <w:t xml:space="preserve"> based on changes to the Model Accounts.</w:t>
            </w:r>
          </w:p>
          <w:p w14:paraId="350CBF8E" w14:textId="0FA8E176" w:rsidR="0013646B" w:rsidRDefault="00E616E9" w:rsidP="00704499">
            <w:pPr>
              <w:pStyle w:val="BodyText"/>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 xml:space="preserve">Under </w:t>
            </w:r>
            <w:r w:rsidRPr="005D3A3C">
              <w:rPr>
                <w:rFonts w:ascii="Arial Nova" w:hAnsi="Arial Nova"/>
                <w:b/>
                <w:bCs/>
                <w:sz w:val="20"/>
                <w:szCs w:val="24"/>
              </w:rPr>
              <w:t>Current liabilities</w:t>
            </w:r>
            <w:r>
              <w:rPr>
                <w:rFonts w:ascii="Arial Nova" w:hAnsi="Arial Nova"/>
                <w:sz w:val="20"/>
                <w:szCs w:val="24"/>
              </w:rPr>
              <w:t xml:space="preserve"> added new line item: </w:t>
            </w:r>
            <w:r w:rsidRPr="00917E1D">
              <w:rPr>
                <w:rFonts w:ascii="Arial Nova" w:hAnsi="Arial Nova"/>
                <w:b/>
                <w:bCs/>
                <w:sz w:val="20"/>
                <w:szCs w:val="24"/>
              </w:rPr>
              <w:t>Unearned income / revenue</w:t>
            </w:r>
          </w:p>
          <w:p w14:paraId="6D3144AB" w14:textId="7D4C2304" w:rsidR="0061661B" w:rsidRPr="001B05D7" w:rsidRDefault="0061661B" w:rsidP="00704499">
            <w:pPr>
              <w:pStyle w:val="BodyText"/>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sidRPr="00393A95">
              <w:rPr>
                <w:rFonts w:ascii="Arial Nova" w:hAnsi="Arial Nova"/>
                <w:sz w:val="20"/>
                <w:szCs w:val="24"/>
              </w:rPr>
              <w:t>Updated with</w:t>
            </w:r>
            <w:r>
              <w:rPr>
                <w:rFonts w:ascii="Arial Nova" w:hAnsi="Arial Nova"/>
                <w:sz w:val="20"/>
                <w:szCs w:val="24"/>
              </w:rPr>
              <w:t xml:space="preserve"> guidance reference to Indicator </w:t>
            </w:r>
            <w:r w:rsidR="005A5B10">
              <w:rPr>
                <w:rFonts w:ascii="Arial Nova" w:hAnsi="Arial Nova"/>
                <w:sz w:val="20"/>
                <w:szCs w:val="24"/>
              </w:rPr>
              <w:t>Guide</w:t>
            </w:r>
            <w:r w:rsidRPr="00393A95">
              <w:rPr>
                <w:rFonts w:ascii="Arial Nova" w:hAnsi="Arial Nova"/>
                <w:sz w:val="20"/>
                <w:szCs w:val="24"/>
              </w:rPr>
              <w:t>.</w:t>
            </w:r>
          </w:p>
        </w:tc>
      </w:tr>
      <w:tr w:rsidR="0061661B" w:rsidRPr="00393A95" w14:paraId="0D683CFF" w14:textId="77777777" w:rsidTr="00616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8A75E37" w14:textId="77777777" w:rsidR="0061661B" w:rsidRPr="00393A95"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Data Input 4 - Comments</w:t>
            </w:r>
          </w:p>
        </w:tc>
        <w:tc>
          <w:tcPr>
            <w:tcW w:w="11771" w:type="dxa"/>
          </w:tcPr>
          <w:p w14:paraId="17D62578" w14:textId="3244A144" w:rsidR="0061661B" w:rsidRPr="001B05D7" w:rsidRDefault="0061661B" w:rsidP="00704499">
            <w:pPr>
              <w:pStyle w:val="BodyText"/>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sidRPr="00393A95">
              <w:rPr>
                <w:rFonts w:ascii="Arial Nova" w:hAnsi="Arial Nova"/>
                <w:sz w:val="20"/>
                <w:szCs w:val="24"/>
              </w:rPr>
              <w:t>Updated with</w:t>
            </w:r>
            <w:r>
              <w:rPr>
                <w:rFonts w:ascii="Arial Nova" w:hAnsi="Arial Nova"/>
                <w:sz w:val="20"/>
                <w:szCs w:val="24"/>
              </w:rPr>
              <w:t xml:space="preserve"> guidance reference to </w:t>
            </w:r>
            <w:r w:rsidR="005D3A3C">
              <w:rPr>
                <w:rFonts w:ascii="Arial Nova" w:hAnsi="Arial Nova"/>
                <w:sz w:val="20"/>
                <w:szCs w:val="24"/>
              </w:rPr>
              <w:t xml:space="preserve">Indicator </w:t>
            </w:r>
            <w:r w:rsidR="005A5B10">
              <w:rPr>
                <w:rFonts w:ascii="Arial Nova" w:hAnsi="Arial Nova"/>
                <w:sz w:val="20"/>
                <w:szCs w:val="24"/>
              </w:rPr>
              <w:t>Guide</w:t>
            </w:r>
            <w:r>
              <w:rPr>
                <w:rFonts w:ascii="Arial Nova" w:hAnsi="Arial Nova"/>
                <w:sz w:val="20"/>
                <w:szCs w:val="24"/>
              </w:rPr>
              <w:t>;</w:t>
            </w:r>
          </w:p>
        </w:tc>
      </w:tr>
      <w:tr w:rsidR="0061661B" w:rsidRPr="00393A95" w14:paraId="35022972" w14:textId="77777777" w:rsidTr="0061661B">
        <w:tc>
          <w:tcPr>
            <w:cnfStyle w:val="001000000000" w:firstRow="0" w:lastRow="0" w:firstColumn="1" w:lastColumn="0" w:oddVBand="0" w:evenVBand="0" w:oddHBand="0" w:evenHBand="0" w:firstRowFirstColumn="0" w:firstRowLastColumn="0" w:lastRowFirstColumn="0" w:lastRowLastColumn="0"/>
            <w:tcW w:w="2405" w:type="dxa"/>
          </w:tcPr>
          <w:p w14:paraId="72F8B24A" w14:textId="77777777" w:rsidR="0061661B" w:rsidRPr="00393A95"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 xml:space="preserve">Data Input 5 – Governance and Management checklist </w:t>
            </w:r>
          </w:p>
        </w:tc>
        <w:tc>
          <w:tcPr>
            <w:tcW w:w="11771" w:type="dxa"/>
          </w:tcPr>
          <w:p w14:paraId="49DCAECD" w14:textId="77777777" w:rsidR="0061661B" w:rsidRPr="00393A95" w:rsidRDefault="0061661B" w:rsidP="00704499">
            <w:pPr>
              <w:pStyle w:val="BodyText"/>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sidRPr="00393A95">
              <w:rPr>
                <w:rFonts w:ascii="Arial Nova" w:hAnsi="Arial Nova"/>
                <w:sz w:val="20"/>
                <w:szCs w:val="24"/>
              </w:rPr>
              <w:t>Updated</w:t>
            </w:r>
            <w:r>
              <w:rPr>
                <w:rFonts w:ascii="Arial Nova" w:hAnsi="Arial Nova"/>
                <w:sz w:val="20"/>
                <w:szCs w:val="24"/>
              </w:rPr>
              <w:t>:</w:t>
            </w:r>
          </w:p>
          <w:p w14:paraId="322ADA4C" w14:textId="09D3F3B3" w:rsidR="0061661B" w:rsidRDefault="0061661B" w:rsidP="0061661B">
            <w:pPr>
              <w:pStyle w:val="BodyText"/>
              <w:numPr>
                <w:ilvl w:val="0"/>
                <w:numId w:val="36"/>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 xml:space="preserve">To reflect Local Government Act 2020 </w:t>
            </w:r>
            <w:proofErr w:type="gramStart"/>
            <w:r>
              <w:rPr>
                <w:rFonts w:ascii="Arial Nova" w:hAnsi="Arial Nova"/>
                <w:sz w:val="20"/>
                <w:szCs w:val="24"/>
              </w:rPr>
              <w:t>requirements;</w:t>
            </w:r>
            <w:proofErr w:type="gramEnd"/>
          </w:p>
          <w:p w14:paraId="310557B3" w14:textId="458B8579" w:rsidR="0061661B" w:rsidRPr="002F09A7" w:rsidRDefault="0061661B" w:rsidP="0061661B">
            <w:pPr>
              <w:pStyle w:val="BodyText"/>
              <w:numPr>
                <w:ilvl w:val="0"/>
                <w:numId w:val="36"/>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With g</w:t>
            </w:r>
            <w:r w:rsidRPr="002F09A7">
              <w:rPr>
                <w:rFonts w:ascii="Arial Nova" w:hAnsi="Arial Nova"/>
                <w:sz w:val="20"/>
                <w:szCs w:val="24"/>
              </w:rPr>
              <w:t xml:space="preserve">uidance reference to Indicator </w:t>
            </w:r>
            <w:r w:rsidR="008633F4">
              <w:rPr>
                <w:rFonts w:ascii="Arial Nova" w:hAnsi="Arial Nova"/>
                <w:sz w:val="20"/>
                <w:szCs w:val="24"/>
              </w:rPr>
              <w:t>Guide</w:t>
            </w:r>
            <w:r w:rsidRPr="002F09A7">
              <w:rPr>
                <w:rFonts w:ascii="Arial Nova" w:hAnsi="Arial Nova"/>
                <w:sz w:val="20"/>
                <w:szCs w:val="24"/>
              </w:rPr>
              <w:t>.</w:t>
            </w:r>
          </w:p>
        </w:tc>
      </w:tr>
      <w:tr w:rsidR="0061661B" w:rsidRPr="00393A95" w14:paraId="09C5BD22" w14:textId="77777777" w:rsidTr="00616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EFCD5D4" w14:textId="77777777" w:rsidR="0061661B" w:rsidRPr="00393A95"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Data Input 6 – Workforce Data</w:t>
            </w:r>
          </w:p>
        </w:tc>
        <w:tc>
          <w:tcPr>
            <w:tcW w:w="11771" w:type="dxa"/>
          </w:tcPr>
          <w:p w14:paraId="1050E09E" w14:textId="536B52AB" w:rsidR="0061661B" w:rsidRPr="00826524" w:rsidRDefault="008633F4" w:rsidP="008633F4">
            <w:pPr>
              <w:pStyle w:val="BodyText"/>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Pr>
                <w:rFonts w:ascii="Arial Nova" w:hAnsi="Arial Nova"/>
                <w:sz w:val="20"/>
                <w:szCs w:val="24"/>
              </w:rPr>
              <w:t>Nil.</w:t>
            </w:r>
            <w:r w:rsidR="0061661B" w:rsidRPr="00826524">
              <w:rPr>
                <w:rFonts w:ascii="Arial Nova" w:hAnsi="Arial Nova"/>
                <w:sz w:val="20"/>
                <w:szCs w:val="24"/>
              </w:rPr>
              <w:t xml:space="preserve"> </w:t>
            </w:r>
          </w:p>
        </w:tc>
      </w:tr>
      <w:tr w:rsidR="0061661B" w:rsidRPr="00393A95" w14:paraId="597155D7" w14:textId="77777777" w:rsidTr="0061661B">
        <w:tc>
          <w:tcPr>
            <w:cnfStyle w:val="001000000000" w:firstRow="0" w:lastRow="0" w:firstColumn="1" w:lastColumn="0" w:oddVBand="0" w:evenVBand="0" w:oddHBand="0" w:evenHBand="0" w:firstRowFirstColumn="0" w:firstRowLastColumn="0" w:lastRowFirstColumn="0" w:lastRowLastColumn="0"/>
            <w:tcW w:w="2405" w:type="dxa"/>
          </w:tcPr>
          <w:p w14:paraId="01F56984" w14:textId="77777777" w:rsidR="0061661B"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Export 1 – Performance Indicators</w:t>
            </w:r>
          </w:p>
        </w:tc>
        <w:tc>
          <w:tcPr>
            <w:tcW w:w="11771" w:type="dxa"/>
          </w:tcPr>
          <w:p w14:paraId="3EDDAE37" w14:textId="77777777" w:rsidR="0061661B" w:rsidRPr="00393A95" w:rsidRDefault="0061661B" w:rsidP="00DE1CBB">
            <w:pPr>
              <w:pStyle w:val="BodyText"/>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Nil.</w:t>
            </w:r>
          </w:p>
        </w:tc>
      </w:tr>
      <w:tr w:rsidR="0061661B" w:rsidRPr="00393A95" w14:paraId="359C52E8" w14:textId="77777777" w:rsidTr="00616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F6EC20" w14:textId="77777777" w:rsidR="0061661B"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Export 2 – Gov ad Mgt Checklist</w:t>
            </w:r>
          </w:p>
        </w:tc>
        <w:tc>
          <w:tcPr>
            <w:tcW w:w="11771" w:type="dxa"/>
          </w:tcPr>
          <w:p w14:paraId="7ACD6B5A" w14:textId="77777777" w:rsidR="0061661B" w:rsidRDefault="0061661B" w:rsidP="00704499">
            <w:pPr>
              <w:pStyle w:val="BodyText"/>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Pr>
                <w:rFonts w:ascii="Arial Nova" w:hAnsi="Arial Nova"/>
                <w:sz w:val="20"/>
                <w:szCs w:val="24"/>
              </w:rPr>
              <w:t>Updated as per changes to Input 5.</w:t>
            </w:r>
          </w:p>
        </w:tc>
      </w:tr>
      <w:tr w:rsidR="0061661B" w:rsidRPr="00393A95" w14:paraId="731988A6" w14:textId="77777777" w:rsidTr="0061661B">
        <w:tc>
          <w:tcPr>
            <w:cnfStyle w:val="001000000000" w:firstRow="0" w:lastRow="0" w:firstColumn="1" w:lastColumn="0" w:oddVBand="0" w:evenVBand="0" w:oddHBand="0" w:evenHBand="0" w:firstRowFirstColumn="0" w:firstRowLastColumn="0" w:lastRowFirstColumn="0" w:lastRowLastColumn="0"/>
            <w:tcW w:w="2405" w:type="dxa"/>
          </w:tcPr>
          <w:p w14:paraId="492567D2" w14:textId="77777777" w:rsidR="0061661B"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Export 3 – Staff FTE and Fin Stat</w:t>
            </w:r>
          </w:p>
        </w:tc>
        <w:tc>
          <w:tcPr>
            <w:tcW w:w="11771" w:type="dxa"/>
          </w:tcPr>
          <w:p w14:paraId="3B0CBF74" w14:textId="7AB9C01B" w:rsidR="0061661B" w:rsidRPr="00C01853" w:rsidRDefault="00DE1CBB" w:rsidP="00704499">
            <w:pPr>
              <w:pStyle w:val="BodyText"/>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Nil.</w:t>
            </w:r>
          </w:p>
        </w:tc>
      </w:tr>
      <w:tr w:rsidR="0061661B" w:rsidRPr="00393A95" w14:paraId="14DB62A8" w14:textId="77777777" w:rsidTr="00616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59C3B65" w14:textId="77777777" w:rsidR="0061661B"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Output 1 – Report of Operations</w:t>
            </w:r>
          </w:p>
        </w:tc>
        <w:tc>
          <w:tcPr>
            <w:tcW w:w="11771" w:type="dxa"/>
          </w:tcPr>
          <w:p w14:paraId="0FED1215" w14:textId="5136BCB9" w:rsidR="0061661B" w:rsidRPr="00132E47" w:rsidRDefault="0034259F" w:rsidP="0061661B">
            <w:pPr>
              <w:pStyle w:val="BodyText"/>
              <w:numPr>
                <w:ilvl w:val="0"/>
                <w:numId w:val="39"/>
              </w:numPr>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Pr>
                <w:rFonts w:ascii="Arial Nova" w:hAnsi="Arial Nova"/>
                <w:sz w:val="20"/>
                <w:szCs w:val="24"/>
              </w:rPr>
              <w:t>Refreshed layout</w:t>
            </w:r>
            <w:r w:rsidR="0061661B">
              <w:rPr>
                <w:rFonts w:ascii="Arial Nova" w:hAnsi="Arial Nova"/>
                <w:sz w:val="20"/>
                <w:szCs w:val="24"/>
              </w:rPr>
              <w:t>.</w:t>
            </w:r>
          </w:p>
        </w:tc>
      </w:tr>
      <w:tr w:rsidR="0061661B" w:rsidRPr="00393A95" w14:paraId="3D6B0887" w14:textId="77777777" w:rsidTr="0061661B">
        <w:tc>
          <w:tcPr>
            <w:cnfStyle w:val="001000000000" w:firstRow="0" w:lastRow="0" w:firstColumn="1" w:lastColumn="0" w:oddVBand="0" w:evenVBand="0" w:oddHBand="0" w:evenHBand="0" w:firstRowFirstColumn="0" w:firstRowLastColumn="0" w:lastRowFirstColumn="0" w:lastRowLastColumn="0"/>
            <w:tcW w:w="2405" w:type="dxa"/>
          </w:tcPr>
          <w:p w14:paraId="3F649542" w14:textId="77777777" w:rsidR="0061661B"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lastRenderedPageBreak/>
              <w:t>Output 2 – Performance Statement</w:t>
            </w:r>
          </w:p>
        </w:tc>
        <w:tc>
          <w:tcPr>
            <w:tcW w:w="11771" w:type="dxa"/>
          </w:tcPr>
          <w:p w14:paraId="035A61EA" w14:textId="1979ED41" w:rsidR="0061661B" w:rsidRDefault="004F0973" w:rsidP="0061661B">
            <w:pPr>
              <w:pStyle w:val="BodyText"/>
              <w:numPr>
                <w:ilvl w:val="0"/>
                <w:numId w:val="39"/>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Refreshed layout</w:t>
            </w:r>
            <w:r w:rsidR="0061661B">
              <w:rPr>
                <w:rFonts w:ascii="Arial Nova" w:hAnsi="Arial Nova"/>
                <w:sz w:val="20"/>
                <w:szCs w:val="24"/>
              </w:rPr>
              <w:t>.</w:t>
            </w:r>
          </w:p>
        </w:tc>
      </w:tr>
      <w:tr w:rsidR="0061661B" w:rsidRPr="00393A95" w14:paraId="61A69615" w14:textId="77777777" w:rsidTr="00616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E32F790" w14:textId="77777777" w:rsidR="0061661B"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Optional Select</w:t>
            </w:r>
          </w:p>
        </w:tc>
        <w:tc>
          <w:tcPr>
            <w:tcW w:w="11771" w:type="dxa"/>
          </w:tcPr>
          <w:p w14:paraId="145024F5" w14:textId="77777777" w:rsidR="0061661B" w:rsidRDefault="0061661B" w:rsidP="00704499">
            <w:pPr>
              <w:pStyle w:val="BodyText"/>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Pr>
                <w:rFonts w:ascii="Arial Nova" w:hAnsi="Arial Nova"/>
                <w:sz w:val="20"/>
                <w:szCs w:val="24"/>
              </w:rPr>
              <w:t>Nil.</w:t>
            </w:r>
          </w:p>
        </w:tc>
      </w:tr>
      <w:tr w:rsidR="0061661B" w:rsidRPr="00393A95" w14:paraId="63857BDF" w14:textId="77777777" w:rsidTr="0061661B">
        <w:tc>
          <w:tcPr>
            <w:cnfStyle w:val="001000000000" w:firstRow="0" w:lastRow="0" w:firstColumn="1" w:lastColumn="0" w:oddVBand="0" w:evenVBand="0" w:oddHBand="0" w:evenHBand="0" w:firstRowFirstColumn="0" w:firstRowLastColumn="0" w:lastRowFirstColumn="0" w:lastRowLastColumn="0"/>
            <w:tcW w:w="2405" w:type="dxa"/>
          </w:tcPr>
          <w:p w14:paraId="4ED87D9E" w14:textId="77777777" w:rsidR="0061661B"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Optional Input</w:t>
            </w:r>
          </w:p>
        </w:tc>
        <w:tc>
          <w:tcPr>
            <w:tcW w:w="11771" w:type="dxa"/>
          </w:tcPr>
          <w:p w14:paraId="6257F601" w14:textId="14F985AB" w:rsidR="0061661B" w:rsidRDefault="00803169" w:rsidP="00704499">
            <w:pPr>
              <w:pStyle w:val="BodyText"/>
              <w:spacing w:before="120" w:after="120"/>
              <w:jc w:val="left"/>
              <w:cnfStyle w:val="000000000000" w:firstRow="0" w:lastRow="0" w:firstColumn="0" w:lastColumn="0" w:oddVBand="0" w:evenVBand="0" w:oddHBand="0" w:evenHBand="0" w:firstRowFirstColumn="0" w:firstRowLastColumn="0" w:lastRowFirstColumn="0" w:lastRowLastColumn="0"/>
              <w:rPr>
                <w:rFonts w:ascii="Arial Nova" w:hAnsi="Arial Nova"/>
                <w:sz w:val="20"/>
                <w:szCs w:val="24"/>
              </w:rPr>
            </w:pPr>
            <w:r>
              <w:rPr>
                <w:rFonts w:ascii="Arial Nova" w:hAnsi="Arial Nova"/>
                <w:sz w:val="20"/>
                <w:szCs w:val="24"/>
              </w:rPr>
              <w:t>Updated references to Indicator guide</w:t>
            </w:r>
          </w:p>
        </w:tc>
      </w:tr>
      <w:tr w:rsidR="0061661B" w:rsidRPr="00393A95" w14:paraId="2848C2EA" w14:textId="77777777" w:rsidTr="00616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EE0F5A" w14:textId="77777777" w:rsidR="0061661B" w:rsidRDefault="0061661B" w:rsidP="001B50EA">
            <w:pPr>
              <w:pStyle w:val="BodyText"/>
              <w:spacing w:before="120" w:after="120"/>
              <w:ind w:left="360"/>
              <w:jc w:val="left"/>
              <w:rPr>
                <w:rFonts w:ascii="Arial Nova" w:hAnsi="Arial Nova"/>
                <w:sz w:val="20"/>
                <w:szCs w:val="24"/>
              </w:rPr>
            </w:pPr>
            <w:r>
              <w:rPr>
                <w:rFonts w:ascii="Arial Nova" w:hAnsi="Arial Nova"/>
                <w:sz w:val="20"/>
                <w:szCs w:val="24"/>
              </w:rPr>
              <w:t>Optional Output</w:t>
            </w:r>
          </w:p>
        </w:tc>
        <w:tc>
          <w:tcPr>
            <w:tcW w:w="11771" w:type="dxa"/>
          </w:tcPr>
          <w:p w14:paraId="51CFB467" w14:textId="77777777" w:rsidR="0061661B" w:rsidRDefault="0061661B" w:rsidP="00704499">
            <w:pPr>
              <w:pStyle w:val="BodyText"/>
              <w:spacing w:before="120" w:after="120"/>
              <w:jc w:val="left"/>
              <w:cnfStyle w:val="000000100000" w:firstRow="0" w:lastRow="0" w:firstColumn="0" w:lastColumn="0" w:oddVBand="0" w:evenVBand="0" w:oddHBand="1" w:evenHBand="0" w:firstRowFirstColumn="0" w:firstRowLastColumn="0" w:lastRowFirstColumn="0" w:lastRowLastColumn="0"/>
              <w:rPr>
                <w:rFonts w:ascii="Arial Nova" w:hAnsi="Arial Nova"/>
                <w:sz w:val="20"/>
                <w:szCs w:val="24"/>
              </w:rPr>
            </w:pPr>
            <w:r>
              <w:rPr>
                <w:rFonts w:ascii="Arial Nova" w:hAnsi="Arial Nova"/>
                <w:sz w:val="20"/>
                <w:szCs w:val="24"/>
              </w:rPr>
              <w:t xml:space="preserve">Nil. </w:t>
            </w:r>
          </w:p>
        </w:tc>
      </w:tr>
    </w:tbl>
    <w:p w14:paraId="7B84B48A" w14:textId="77777777" w:rsidR="00050AF8" w:rsidRPr="00FD080B" w:rsidRDefault="00050AF8" w:rsidP="00050AF8">
      <w:pPr>
        <w:pStyle w:val="Heading2"/>
        <w:rPr>
          <w:rFonts w:ascii="Arial Nova" w:hAnsi="Arial Nova"/>
        </w:rPr>
      </w:pPr>
      <w:r>
        <w:rPr>
          <w:rFonts w:ascii="Arial Nova" w:hAnsi="Arial Nova"/>
          <w:color w:val="100249" w:themeColor="accent4"/>
        </w:rPr>
        <w:t>Editorial changes</w:t>
      </w:r>
    </w:p>
    <w:p w14:paraId="0A6A4947" w14:textId="15DEA0A1" w:rsidR="0061661B" w:rsidRPr="00050AF8" w:rsidRDefault="005D3A3C" w:rsidP="00050AF8">
      <w:pPr>
        <w:rPr>
          <w:rFonts w:ascii="Arial Nova" w:hAnsi="Arial Nova"/>
          <w:sz w:val="20"/>
          <w:szCs w:val="24"/>
          <w:lang w:eastAsia="en-AU"/>
        </w:rPr>
      </w:pPr>
      <w:r w:rsidRPr="00050AF8">
        <w:rPr>
          <w:rFonts w:ascii="Arial Nova" w:hAnsi="Arial Nova"/>
          <w:sz w:val="20"/>
          <w:szCs w:val="24"/>
          <w:lang w:eastAsia="en-AU"/>
        </w:rPr>
        <w:t xml:space="preserve">Other features of the template have been updated to reflect the current financial year, previous </w:t>
      </w:r>
      <w:proofErr w:type="gramStart"/>
      <w:r w:rsidRPr="00050AF8">
        <w:rPr>
          <w:rFonts w:ascii="Arial Nova" w:hAnsi="Arial Nova"/>
          <w:sz w:val="20"/>
          <w:szCs w:val="24"/>
          <w:lang w:eastAsia="en-AU"/>
        </w:rPr>
        <w:t>years</w:t>
      </w:r>
      <w:proofErr w:type="gramEnd"/>
      <w:r w:rsidRPr="00050AF8">
        <w:rPr>
          <w:rFonts w:ascii="Arial Nova" w:hAnsi="Arial Nova"/>
          <w:sz w:val="20"/>
          <w:szCs w:val="24"/>
          <w:lang w:eastAsia="en-AU"/>
        </w:rPr>
        <w:t xml:space="preserve"> and forecast years</w:t>
      </w:r>
      <w:r w:rsidR="00050AF8">
        <w:rPr>
          <w:rFonts w:ascii="Arial Nova" w:hAnsi="Arial Nova"/>
          <w:sz w:val="20"/>
          <w:szCs w:val="24"/>
          <w:lang w:eastAsia="en-AU"/>
        </w:rPr>
        <w:t xml:space="preserve">, and to facilitate the performance of the template. </w:t>
      </w:r>
      <w:r w:rsidRPr="00050AF8">
        <w:rPr>
          <w:rFonts w:ascii="Arial Nova" w:hAnsi="Arial Nova"/>
          <w:sz w:val="20"/>
          <w:szCs w:val="24"/>
          <w:lang w:eastAsia="en-AU"/>
        </w:rPr>
        <w:t xml:space="preserve"> </w:t>
      </w:r>
    </w:p>
    <w:p w14:paraId="475AB955" w14:textId="50EE4E0B" w:rsidR="0061661B" w:rsidRDefault="0061661B" w:rsidP="00C12B7E">
      <w:pPr>
        <w:pBdr>
          <w:bottom w:val="single" w:sz="4" w:space="1" w:color="auto"/>
        </w:pBdr>
        <w:rPr>
          <w:rFonts w:ascii="Arial Nova" w:hAnsi="Arial Nova"/>
        </w:rPr>
      </w:pPr>
    </w:p>
    <w:p w14:paraId="6134D1DD" w14:textId="4263EB45" w:rsidR="0061661B" w:rsidRDefault="0061661B" w:rsidP="00C12B7E">
      <w:pPr>
        <w:pBdr>
          <w:bottom w:val="single" w:sz="4" w:space="1" w:color="auto"/>
        </w:pBdr>
        <w:rPr>
          <w:rFonts w:ascii="Arial Nova" w:hAnsi="Arial Nova"/>
        </w:rPr>
      </w:pPr>
    </w:p>
    <w:p w14:paraId="14F365DB" w14:textId="77777777" w:rsidR="0061661B" w:rsidRDefault="0061661B" w:rsidP="00C12B7E">
      <w:pPr>
        <w:pBdr>
          <w:bottom w:val="single" w:sz="4" w:space="1" w:color="auto"/>
        </w:pBdr>
        <w:rPr>
          <w:rFonts w:ascii="Arial Nova" w:hAnsi="Arial Nova"/>
        </w:rPr>
      </w:pPr>
    </w:p>
    <w:p w14:paraId="48AD5653" w14:textId="77777777" w:rsidR="0061661B" w:rsidRDefault="0061661B" w:rsidP="00C12B7E">
      <w:pPr>
        <w:pBdr>
          <w:bottom w:val="single" w:sz="4" w:space="1" w:color="auto"/>
        </w:pBdr>
        <w:rPr>
          <w:rFonts w:ascii="Arial Nova" w:hAnsi="Arial Nova"/>
        </w:rPr>
      </w:pPr>
    </w:p>
    <w:p w14:paraId="66FCEAE0" w14:textId="77777777" w:rsidR="0061661B" w:rsidRDefault="0061661B" w:rsidP="00C12B7E">
      <w:pPr>
        <w:pBdr>
          <w:bottom w:val="single" w:sz="4" w:space="1" w:color="auto"/>
        </w:pBdr>
        <w:rPr>
          <w:rFonts w:ascii="Arial Nova" w:hAnsi="Arial Nova"/>
        </w:rPr>
      </w:pPr>
    </w:p>
    <w:p w14:paraId="3E54FC66" w14:textId="3CD58931" w:rsidR="004371F6" w:rsidRPr="00C12B7E" w:rsidRDefault="0086526A" w:rsidP="00C12B7E">
      <w:pPr>
        <w:pBdr>
          <w:bottom w:val="single" w:sz="4" w:space="1" w:color="auto"/>
        </w:pBdr>
        <w:rPr>
          <w:rFonts w:ascii="Arial Nova" w:hAnsi="Arial Nova"/>
        </w:rPr>
      </w:pPr>
      <w:r w:rsidRPr="00FD080B">
        <w:rPr>
          <w:noProof/>
        </w:rPr>
        <mc:AlternateContent>
          <mc:Choice Requires="wps">
            <w:drawing>
              <wp:anchor distT="0" distB="0" distL="114300" distR="114300" simplePos="0" relativeHeight="251658752" behindDoc="0" locked="1" layoutInCell="1" allowOverlap="1" wp14:anchorId="5D63B9C2" wp14:editId="55DA261C">
                <wp:simplePos x="0" y="0"/>
                <wp:positionH relativeFrom="column">
                  <wp:posOffset>0</wp:posOffset>
                </wp:positionH>
                <wp:positionV relativeFrom="margin">
                  <wp:align>bottom</wp:align>
                </wp:positionV>
                <wp:extent cx="9194400" cy="1886400"/>
                <wp:effectExtent l="0" t="0" r="6985" b="0"/>
                <wp:wrapNone/>
                <wp:docPr id="123" name="Text Box 123"/>
                <wp:cNvGraphicFramePr/>
                <a:graphic xmlns:a="http://schemas.openxmlformats.org/drawingml/2006/main">
                  <a:graphicData uri="http://schemas.microsoft.com/office/word/2010/wordprocessingShape">
                    <wps:wsp>
                      <wps:cNvSpPr txBox="1"/>
                      <wps:spPr>
                        <a:xfrm>
                          <a:off x="0" y="0"/>
                          <a:ext cx="9194400" cy="1886400"/>
                        </a:xfrm>
                        <a:prstGeom prst="rect">
                          <a:avLst/>
                        </a:prstGeom>
                        <a:solidFill>
                          <a:schemeClr val="lt1"/>
                        </a:solidFill>
                        <a:ln w="6350">
                          <a:noFill/>
                        </a:ln>
                      </wps:spPr>
                      <wps:txbx>
                        <w:txbxContent>
                          <w:p w14:paraId="18863A2B" w14:textId="184B319F" w:rsidR="003E6C9A" w:rsidRPr="00E02831" w:rsidRDefault="003E6C9A" w:rsidP="0086526A">
                            <w:r w:rsidRPr="00E02831">
                              <w:t xml:space="preserve">Authorised by </w:t>
                            </w:r>
                            <w:r w:rsidR="00AE2BCD">
                              <w:t>Local Government Victoria</w:t>
                            </w:r>
                            <w:r w:rsidRPr="00E02831">
                              <w:t xml:space="preserve"> </w:t>
                            </w:r>
                            <w:r w:rsidRPr="00E02831">
                              <w:br/>
                              <w:t xml:space="preserve">Department of Jobs, </w:t>
                            </w:r>
                            <w:r w:rsidRPr="005E284D">
                              <w:rPr>
                                <w:lang w:val="en-US"/>
                              </w:rPr>
                              <w:t>Precincts and Regions</w:t>
                            </w:r>
                            <w:r w:rsidRPr="00E02831">
                              <w:br/>
                              <w:t>1 Spring Street Melbourne Victoria 3000</w:t>
                            </w:r>
                            <w:r w:rsidRPr="00E02831">
                              <w:br/>
                              <w:t>Telephone (03) 9651 9999</w:t>
                            </w:r>
                          </w:p>
                          <w:p w14:paraId="70723F30" w14:textId="5D443A22" w:rsidR="003E6C9A" w:rsidRPr="00E02831" w:rsidRDefault="003E6C9A" w:rsidP="0086526A">
                            <w:r w:rsidRPr="00E02831">
                              <w:t xml:space="preserve">© Copyright State of Victoria, </w:t>
                            </w:r>
                            <w:r w:rsidRPr="00E02831">
                              <w:br/>
                              <w:t xml:space="preserve">Department of Jobs, </w:t>
                            </w:r>
                            <w:r w:rsidRPr="005E284D">
                              <w:rPr>
                                <w:lang w:val="en-US"/>
                              </w:rPr>
                              <w:t>Precincts and Regions</w:t>
                            </w:r>
                            <w:r w:rsidRPr="00E02831">
                              <w:t xml:space="preserve"> 20</w:t>
                            </w:r>
                            <w:r w:rsidR="00AE2BCD">
                              <w:t>2</w:t>
                            </w:r>
                            <w:r w:rsidR="00050AF8">
                              <w:t>2</w:t>
                            </w:r>
                          </w:p>
                          <w:p w14:paraId="69EEFDC9" w14:textId="77777777" w:rsidR="003E6C9A" w:rsidRPr="00E02831" w:rsidRDefault="003E6C9A" w:rsidP="0086526A">
                            <w:r w:rsidRPr="00E02831">
                              <w:t>Except for any logos, emblems, trademarks, artwork and photography this document is made available under the terms of the Creative Commons Attribution 3.0 Australia license.</w:t>
                            </w:r>
                          </w:p>
                          <w:p w14:paraId="108AF0D9" w14:textId="77777777" w:rsidR="003E6C9A" w:rsidRPr="00E02831" w:rsidRDefault="003E6C9A" w:rsidP="0086526A">
                            <w:r w:rsidRPr="00E02831">
                              <w:t xml:space="preserve">This document is also available in an accessible format at </w:t>
                            </w:r>
                            <w:hyperlink r:id="rId11" w:history="1">
                              <w:r w:rsidRPr="004F10C7">
                                <w:rPr>
                                  <w:rStyle w:val="Hyperlink"/>
                                </w:rPr>
                                <w:t>djpr.vic.gov.au</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3B9C2" id="_x0000_t202" coordsize="21600,21600" o:spt="202" path="m,l,21600r21600,l21600,xe">
                <v:stroke joinstyle="miter"/>
                <v:path gradientshapeok="t" o:connecttype="rect"/>
              </v:shapetype>
              <v:shape id="Text Box 123" o:spid="_x0000_s1026" type="#_x0000_t202" style="position:absolute;margin-left:0;margin-top:0;width:723.95pt;height:148.55pt;z-index:25165875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" fillcolor="white [3201]" stroked="f" strokeweight=".5pt">
                <v:textbox inset="0,0,0,0">
                  <w:txbxContent>
                    <w:p w14:paraId="18863A2B" w14:textId="184B319F" w:rsidR="003E6C9A" w:rsidRPr="00E02831" w:rsidRDefault="003E6C9A" w:rsidP="0086526A">
                      <w:r w:rsidRPr="00E02831">
                        <w:t xml:space="preserve">Authorised by </w:t>
                      </w:r>
                      <w:r w:rsidR="00AE2BCD">
                        <w:t>Local Government Victoria</w:t>
                      </w:r>
                      <w:r w:rsidRPr="00E02831">
                        <w:t xml:space="preserve"> </w:t>
                      </w:r>
                      <w:r w:rsidRPr="00E02831">
                        <w:br/>
                        <w:t xml:space="preserve">Department of Jobs, </w:t>
                      </w:r>
                      <w:r w:rsidRPr="005E284D">
                        <w:rPr>
                          <w:lang w:val="en-US"/>
                        </w:rPr>
                        <w:t>Precincts and Regions</w:t>
                      </w:r>
                      <w:r w:rsidRPr="00E02831">
                        <w:br/>
                        <w:t>1 Spring Street Melbourne Victoria 3000</w:t>
                      </w:r>
                      <w:r w:rsidRPr="00E02831">
                        <w:br/>
                        <w:t>Telephone (03) 9651 9999</w:t>
                      </w:r>
                    </w:p>
                    <w:p w14:paraId="70723F30" w14:textId="5D443A22" w:rsidR="003E6C9A" w:rsidRPr="00E02831" w:rsidRDefault="003E6C9A" w:rsidP="0086526A">
                      <w:r w:rsidRPr="00E02831">
                        <w:t xml:space="preserve">© Copyright State of Victoria, </w:t>
                      </w:r>
                      <w:r w:rsidRPr="00E02831">
                        <w:br/>
                        <w:t xml:space="preserve">Department of Jobs, </w:t>
                      </w:r>
                      <w:r w:rsidRPr="005E284D">
                        <w:rPr>
                          <w:lang w:val="en-US"/>
                        </w:rPr>
                        <w:t>Precincts and Regions</w:t>
                      </w:r>
                      <w:r w:rsidRPr="00E02831">
                        <w:t xml:space="preserve"> 20</w:t>
                      </w:r>
                      <w:r w:rsidR="00AE2BCD">
                        <w:t>2</w:t>
                      </w:r>
                      <w:r w:rsidR="00050AF8">
                        <w:t>2</w:t>
                      </w:r>
                    </w:p>
                    <w:p w14:paraId="69EEFDC9" w14:textId="77777777" w:rsidR="003E6C9A" w:rsidRPr="00E02831" w:rsidRDefault="003E6C9A" w:rsidP="0086526A">
                      <w:r w:rsidRPr="00E02831">
                        <w:t xml:space="preserve">Except for any logos, emblems, trademarks, </w:t>
                      </w:r>
                      <w:proofErr w:type="gramStart"/>
                      <w:r w:rsidRPr="00E02831">
                        <w:t>artwork</w:t>
                      </w:r>
                      <w:proofErr w:type="gramEnd"/>
                      <w:r w:rsidRPr="00E02831">
                        <w:t xml:space="preserve"> and photography this document is made available under the terms of the Creative Commons Attribution 3.0 Australia license.</w:t>
                      </w:r>
                    </w:p>
                    <w:p w14:paraId="108AF0D9" w14:textId="77777777" w:rsidR="003E6C9A" w:rsidRPr="00E02831" w:rsidRDefault="003E6C9A" w:rsidP="0086526A">
                      <w:r w:rsidRPr="00E02831">
                        <w:t xml:space="preserve">This document is also available in an accessible format at </w:t>
                      </w:r>
                      <w:hyperlink r:id="rId12" w:history="1">
                        <w:r w:rsidRPr="004F10C7">
                          <w:rPr>
                            <w:rStyle w:val="Hyperlink"/>
                          </w:rPr>
                          <w:t>djpr.vic.gov.au</w:t>
                        </w:r>
                      </w:hyperlink>
                    </w:p>
                  </w:txbxContent>
                </v:textbox>
                <w10:wrap anchory="margin"/>
                <w10:anchorlock/>
              </v:shape>
            </w:pict>
          </mc:Fallback>
        </mc:AlternateContent>
      </w:r>
      <w:bookmarkEnd w:id="0"/>
    </w:p>
    <w:sectPr w:rsidR="004371F6" w:rsidRPr="00C12B7E" w:rsidSect="003513EE">
      <w:headerReference w:type="default" r:id="rId13"/>
      <w:footerReference w:type="default" r:id="rId14"/>
      <w:headerReference w:type="first" r:id="rId15"/>
      <w:footerReference w:type="first" r:id="rId16"/>
      <w:type w:val="oddPage"/>
      <w:pgSz w:w="16838" w:h="11906" w:orient="landscape" w:code="9"/>
      <w:pgMar w:top="1134" w:right="1134" w:bottom="1134" w:left="1134"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CBDF" w14:textId="77777777" w:rsidR="00A6712E" w:rsidRDefault="00A6712E" w:rsidP="00D96C1E">
      <w:r>
        <w:separator/>
      </w:r>
    </w:p>
    <w:p w14:paraId="789E07F8" w14:textId="77777777" w:rsidR="00A6712E" w:rsidRDefault="00A6712E" w:rsidP="00D96C1E"/>
  </w:endnote>
  <w:endnote w:type="continuationSeparator" w:id="0">
    <w:p w14:paraId="0584451A" w14:textId="77777777" w:rsidR="00A6712E" w:rsidRDefault="00A6712E" w:rsidP="00D96C1E">
      <w:r>
        <w:continuationSeparator/>
      </w:r>
    </w:p>
    <w:p w14:paraId="3E5BB9E2" w14:textId="77777777" w:rsidR="00A6712E" w:rsidRDefault="00A6712E" w:rsidP="00D96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667A" w14:textId="7DE77A01" w:rsidR="00825C8A" w:rsidRDefault="006D0EF5" w:rsidP="00825C8A">
    <w:pPr>
      <w:pStyle w:val="Footer"/>
      <w:tabs>
        <w:tab w:val="clear" w:pos="14570"/>
        <w:tab w:val="left" w:pos="11805"/>
      </w:tabs>
    </w:pPr>
    <w:r>
      <w:rPr>
        <w:noProof/>
      </w:rPr>
      <mc:AlternateContent>
        <mc:Choice Requires="wps">
          <w:drawing>
            <wp:anchor distT="0" distB="0" distL="114300" distR="114300" simplePos="0" relativeHeight="251683840" behindDoc="0" locked="0" layoutInCell="0" allowOverlap="1" wp14:anchorId="34407DE3" wp14:editId="461EE9E6">
              <wp:simplePos x="0" y="0"/>
              <wp:positionH relativeFrom="page">
                <wp:posOffset>0</wp:posOffset>
              </wp:positionH>
              <wp:positionV relativeFrom="page">
                <wp:posOffset>7096125</wp:posOffset>
              </wp:positionV>
              <wp:extent cx="10692130" cy="273050"/>
              <wp:effectExtent l="0" t="0" r="0" b="12700"/>
              <wp:wrapNone/>
              <wp:docPr id="1" name="MSIPCMb70142db8ff4e41ce93ccef8"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D6FAF" w14:textId="0623AD0D" w:rsidR="006D0EF5" w:rsidRPr="006D0EF5" w:rsidRDefault="006D0EF5" w:rsidP="006D0EF5">
                          <w:pPr>
                            <w:spacing w:before="0" w:after="0"/>
                            <w:jc w:val="center"/>
                            <w:rPr>
                              <w:rFonts w:ascii="Calibri" w:hAnsi="Calibri" w:cs="Calibri"/>
                              <w:color w:val="000000"/>
                              <w:sz w:val="24"/>
                            </w:rPr>
                          </w:pPr>
                          <w:r w:rsidRPr="006D0E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407DE3" id="_x0000_t202" coordsize="21600,21600" o:spt="202" path="m,l,21600r21600,l21600,xe">
              <v:stroke joinstyle="miter"/>
              <v:path gradientshapeok="t" o:connecttype="rect"/>
            </v:shapetype>
            <v:shape id="MSIPCMb70142db8ff4e41ce93ccef8" o:spid="_x0000_s1028" type="#_x0000_t202" alt="{&quot;HashCode&quot;:-1264680268,&quot;Height&quot;:595.0,&quot;Width&quot;:841.0,&quot;Placement&quot;:&quot;Footer&quot;,&quot;Index&quot;:&quot;Primary&quot;,&quot;Section&quot;:1,&quot;Top&quot;:0.0,&quot;Left&quot;:0.0}" style="position:absolute;margin-left:0;margin-top:558.75pt;width:841.9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" o:allowincell="f" filled="f" stroked="f" strokeweight=".5pt">
              <v:textbox inset=",0,,0">
                <w:txbxContent>
                  <w:p w14:paraId="094D6FAF" w14:textId="0623AD0D" w:rsidR="006D0EF5" w:rsidRPr="006D0EF5" w:rsidRDefault="006D0EF5" w:rsidP="006D0EF5">
                    <w:pPr>
                      <w:spacing w:before="0" w:after="0"/>
                      <w:jc w:val="center"/>
                      <w:rPr>
                        <w:rFonts w:ascii="Calibri" w:hAnsi="Calibri" w:cs="Calibri"/>
                        <w:color w:val="000000"/>
                        <w:sz w:val="24"/>
                      </w:rPr>
                    </w:pPr>
                    <w:r w:rsidRPr="006D0EF5">
                      <w:rPr>
                        <w:rFonts w:ascii="Calibri" w:hAnsi="Calibri" w:cs="Calibri"/>
                        <w:color w:val="000000"/>
                        <w:sz w:val="24"/>
                      </w:rPr>
                      <w:t>OFFICIAL</w:t>
                    </w:r>
                  </w:p>
                </w:txbxContent>
              </v:textbox>
              <w10:wrap anchorx="page" anchory="page"/>
            </v:shape>
          </w:pict>
        </mc:Fallback>
      </mc:AlternateContent>
    </w:r>
    <w:r w:rsidR="00825C8A">
      <w:tab/>
    </w:r>
  </w:p>
  <w:p w14:paraId="3ACC9D34" w14:textId="322C2DDE" w:rsidR="00825C8A" w:rsidRDefault="00825C8A" w:rsidP="00825C8A">
    <w:pPr>
      <w:pStyle w:val="Footer"/>
      <w:tabs>
        <w:tab w:val="clear" w:pos="14570"/>
        <w:tab w:val="left" w:pos="118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387"/>
      <w:gridCol w:w="4111"/>
    </w:tblGrid>
    <w:tr w:rsidR="00A554EE" w:rsidRPr="00FB0DEA" w14:paraId="52E36117" w14:textId="77777777" w:rsidTr="00A554EE">
      <w:trPr>
        <w:jc w:val="center"/>
      </w:trPr>
      <w:tc>
        <w:tcPr>
          <w:tcW w:w="3402" w:type="dxa"/>
          <w:vAlign w:val="center"/>
        </w:tcPr>
        <w:p w14:paraId="499BFE8C" w14:textId="37BEFC52" w:rsidR="00A554EE" w:rsidRPr="005723C8" w:rsidRDefault="006D0EF5" w:rsidP="00A554EE">
          <w:pPr>
            <w:pStyle w:val="Footer"/>
            <w:tabs>
              <w:tab w:val="clear" w:pos="14570"/>
            </w:tabs>
            <w:spacing w:before="0"/>
          </w:pPr>
          <w:r>
            <w:rPr>
              <w:noProof/>
            </w:rPr>
            <mc:AlternateContent>
              <mc:Choice Requires="wps">
                <w:drawing>
                  <wp:anchor distT="0" distB="0" distL="114300" distR="114300" simplePos="0" relativeHeight="251684864" behindDoc="0" locked="0" layoutInCell="0" allowOverlap="1" wp14:anchorId="34E2B998" wp14:editId="0B353E69">
                    <wp:simplePos x="0" y="0"/>
                    <wp:positionH relativeFrom="page">
                      <wp:posOffset>0</wp:posOffset>
                    </wp:positionH>
                    <wp:positionV relativeFrom="page">
                      <wp:posOffset>7096125</wp:posOffset>
                    </wp:positionV>
                    <wp:extent cx="10692130" cy="273050"/>
                    <wp:effectExtent l="0" t="0" r="0" b="12700"/>
                    <wp:wrapNone/>
                    <wp:docPr id="2" name="MSIPCMa08140ee8d6d807cd89aa60b" descr="{&quot;HashCode&quot;:-1264680268,&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91CDC" w14:textId="1D84445A" w:rsidR="006D0EF5" w:rsidRPr="006D0EF5" w:rsidRDefault="006D0EF5" w:rsidP="006D0EF5">
                                <w:pPr>
                                  <w:spacing w:before="0" w:after="0"/>
                                  <w:jc w:val="center"/>
                                  <w:rPr>
                                    <w:rFonts w:ascii="Calibri" w:hAnsi="Calibri" w:cs="Calibri"/>
                                    <w:color w:val="000000"/>
                                    <w:sz w:val="24"/>
                                  </w:rPr>
                                </w:pPr>
                                <w:r w:rsidRPr="006D0E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E2B998" id="_x0000_t202" coordsize="21600,21600" o:spt="202" path="m,l,21600r21600,l21600,xe">
                    <v:stroke joinstyle="miter"/>
                    <v:path gradientshapeok="t" o:connecttype="rect"/>
                  </v:shapetype>
                  <v:shape id="MSIPCMa08140ee8d6d807cd89aa60b" o:spid="_x0000_s1030" type="#_x0000_t202" alt="{&quot;HashCode&quot;:-1264680268,&quot;Height&quot;:595.0,&quot;Width&quot;:841.0,&quot;Placement&quot;:&quot;Footer&quot;,&quot;Index&quot;:&quot;FirstPage&quot;,&quot;Section&quot;:1,&quot;Top&quot;:0.0,&quot;Left&quot;:0.0}" style="position:absolute;margin-left:0;margin-top:558.75pt;width:841.9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" o:allowincell="f" filled="f" stroked="f" strokeweight=".5pt">
                    <v:textbox inset=",0,,0">
                      <w:txbxContent>
                        <w:p w14:paraId="7C291CDC" w14:textId="1D84445A" w:rsidR="006D0EF5" w:rsidRPr="006D0EF5" w:rsidRDefault="006D0EF5" w:rsidP="006D0EF5">
                          <w:pPr>
                            <w:spacing w:before="0" w:after="0"/>
                            <w:jc w:val="center"/>
                            <w:rPr>
                              <w:rFonts w:ascii="Calibri" w:hAnsi="Calibri" w:cs="Calibri"/>
                              <w:color w:val="000000"/>
                              <w:sz w:val="24"/>
                            </w:rPr>
                          </w:pPr>
                          <w:r w:rsidRPr="006D0EF5">
                            <w:rPr>
                              <w:rFonts w:ascii="Calibri" w:hAnsi="Calibri" w:cs="Calibri"/>
                              <w:color w:val="000000"/>
                              <w:sz w:val="24"/>
                            </w:rPr>
                            <w:t>OFFICIAL</w:t>
                          </w:r>
                        </w:p>
                      </w:txbxContent>
                    </v:textbox>
                    <w10:wrap anchorx="page" anchory="page"/>
                  </v:shape>
                </w:pict>
              </mc:Fallback>
            </mc:AlternateContent>
          </w:r>
        </w:p>
      </w:tc>
      <w:tc>
        <w:tcPr>
          <w:tcW w:w="5387" w:type="dxa"/>
          <w:vAlign w:val="center"/>
        </w:tcPr>
        <w:p w14:paraId="00811FB9" w14:textId="640BDFB5" w:rsidR="00A554EE" w:rsidRPr="005723C8" w:rsidRDefault="00A554EE" w:rsidP="00A554EE">
          <w:pPr>
            <w:pStyle w:val="Footer"/>
            <w:tabs>
              <w:tab w:val="clear" w:pos="14570"/>
            </w:tabs>
            <w:spacing w:before="0"/>
            <w:jc w:val="center"/>
            <w:rPr>
              <w:rStyle w:val="PageNumber"/>
            </w:rPr>
          </w:pPr>
        </w:p>
      </w:tc>
      <w:tc>
        <w:tcPr>
          <w:tcW w:w="4111" w:type="dxa"/>
        </w:tcPr>
        <w:p w14:paraId="74AAAE08" w14:textId="22E5C6E4" w:rsidR="00A554EE" w:rsidRPr="00FB0DEA" w:rsidRDefault="00A554EE" w:rsidP="00A554EE">
          <w:pPr>
            <w:pStyle w:val="Footer"/>
            <w:tabs>
              <w:tab w:val="clear" w:pos="14570"/>
            </w:tabs>
            <w:spacing w:before="0"/>
            <w:jc w:val="right"/>
          </w:pPr>
        </w:p>
      </w:tc>
    </w:tr>
    <w:tr w:rsidR="00A554EE" w:rsidRPr="00FB0DEA" w14:paraId="2664590E" w14:textId="77777777" w:rsidTr="00A554EE">
      <w:trPr>
        <w:jc w:val="center"/>
      </w:trPr>
      <w:tc>
        <w:tcPr>
          <w:tcW w:w="3402" w:type="dxa"/>
          <w:vAlign w:val="center"/>
        </w:tcPr>
        <w:p w14:paraId="09AA3094" w14:textId="77777777" w:rsidR="00A554EE" w:rsidRDefault="00A554EE" w:rsidP="00A554EE">
          <w:pPr>
            <w:pStyle w:val="Footer"/>
            <w:tabs>
              <w:tab w:val="clear" w:pos="14570"/>
            </w:tabs>
            <w:spacing w:before="0"/>
          </w:pPr>
        </w:p>
      </w:tc>
      <w:tc>
        <w:tcPr>
          <w:tcW w:w="5387" w:type="dxa"/>
          <w:vAlign w:val="center"/>
        </w:tcPr>
        <w:p w14:paraId="611653A3" w14:textId="77777777" w:rsidR="00A554EE" w:rsidRPr="005723C8" w:rsidRDefault="00A554EE" w:rsidP="00A554EE">
          <w:pPr>
            <w:pStyle w:val="Footer"/>
            <w:tabs>
              <w:tab w:val="clear" w:pos="14570"/>
            </w:tabs>
            <w:spacing w:before="0"/>
            <w:jc w:val="center"/>
            <w:rPr>
              <w:rStyle w:val="PageNumber"/>
            </w:rPr>
          </w:pPr>
        </w:p>
      </w:tc>
      <w:tc>
        <w:tcPr>
          <w:tcW w:w="4111" w:type="dxa"/>
        </w:tcPr>
        <w:p w14:paraId="3093850F" w14:textId="77777777" w:rsidR="00A554EE" w:rsidRPr="00EE5398" w:rsidRDefault="00A554EE" w:rsidP="00A554EE">
          <w:pPr>
            <w:pStyle w:val="Footer"/>
            <w:tabs>
              <w:tab w:val="clear" w:pos="14570"/>
            </w:tabs>
            <w:spacing w:before="0"/>
            <w:jc w:val="right"/>
            <w:rPr>
              <w:noProof/>
              <w:lang w:val="en-GB" w:eastAsia="en-GB"/>
            </w:rPr>
          </w:pPr>
        </w:p>
      </w:tc>
    </w:tr>
  </w:tbl>
  <w:p w14:paraId="2D290CCA" w14:textId="77777777" w:rsidR="00BA7718" w:rsidRDefault="00BA7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723B" w14:textId="77777777" w:rsidR="00A6712E" w:rsidRDefault="00A6712E" w:rsidP="00D96C1E">
      <w:r>
        <w:separator/>
      </w:r>
    </w:p>
    <w:p w14:paraId="1F5E2D8F" w14:textId="77777777" w:rsidR="00A6712E" w:rsidRDefault="00A6712E" w:rsidP="00D96C1E"/>
  </w:footnote>
  <w:footnote w:type="continuationSeparator" w:id="0">
    <w:p w14:paraId="43319228" w14:textId="77777777" w:rsidR="00A6712E" w:rsidRDefault="00A6712E" w:rsidP="00D96C1E">
      <w:r>
        <w:continuationSeparator/>
      </w:r>
    </w:p>
    <w:p w14:paraId="5FC0E584" w14:textId="77777777" w:rsidR="00A6712E" w:rsidRDefault="00A6712E" w:rsidP="00D96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C892" w14:textId="111861AB" w:rsidR="003E6C9A" w:rsidRDefault="006D0EF5" w:rsidP="00334843">
    <w:pPr>
      <w:pStyle w:val="Header"/>
    </w:pPr>
    <w:r>
      <w:rPr>
        <w:noProof/>
      </w:rPr>
      <mc:AlternateContent>
        <mc:Choice Requires="wps">
          <w:drawing>
            <wp:anchor distT="0" distB="0" distL="114300" distR="114300" simplePos="0" relativeHeight="251685888" behindDoc="0" locked="0" layoutInCell="0" allowOverlap="1" wp14:anchorId="6F679BFC" wp14:editId="5603089A">
              <wp:simplePos x="0" y="0"/>
              <wp:positionH relativeFrom="page">
                <wp:posOffset>0</wp:posOffset>
              </wp:positionH>
              <wp:positionV relativeFrom="page">
                <wp:posOffset>190500</wp:posOffset>
              </wp:positionV>
              <wp:extent cx="10692130" cy="273050"/>
              <wp:effectExtent l="0" t="0" r="0" b="12700"/>
              <wp:wrapNone/>
              <wp:docPr id="3" name="MSIPCMf8f54338b383c7c8d1c96542" descr="{&quot;HashCode&quot;:-1288817837,&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AF53A" w14:textId="587D260B" w:rsidR="006D0EF5" w:rsidRPr="006D0EF5" w:rsidRDefault="006D0EF5" w:rsidP="006D0EF5">
                          <w:pPr>
                            <w:spacing w:before="0" w:after="0"/>
                            <w:jc w:val="center"/>
                            <w:rPr>
                              <w:rFonts w:ascii="Calibri" w:hAnsi="Calibri" w:cs="Calibri"/>
                              <w:color w:val="000000"/>
                              <w:sz w:val="24"/>
                            </w:rPr>
                          </w:pPr>
                          <w:r w:rsidRPr="006D0E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679BFC" id="_x0000_t202" coordsize="21600,21600" o:spt="202" path="m,l,21600r21600,l21600,xe">
              <v:stroke joinstyle="miter"/>
              <v:path gradientshapeok="t" o:connecttype="rect"/>
            </v:shapetype>
            <v:shape id="MSIPCMf8f54338b383c7c8d1c96542" o:spid="_x0000_s1027" type="#_x0000_t202" alt="{&quot;HashCode&quot;:-1288817837,&quot;Height&quot;:595.0,&quot;Width&quot;:841.0,&quot;Placement&quot;:&quot;Header&quot;,&quot;Index&quot;:&quot;Primary&quot;,&quot;Section&quot;:1,&quot;Top&quot;:0.0,&quot;Left&quot;:0.0}" style="position:absolute;margin-left:0;margin-top:15pt;width:841.9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FKZNhuwAgAASAUAAA4AAAAA&#10;AAAAAAAAAAAALgIAAGRycy9lMm9Eb2MueG1sUEsBAi0AFAAGAAgAAAAhAD3eKUzcAAAABwEAAA8A&#10;AAAAAAAAAAAAAAAACgUAAGRycy9kb3ducmV2LnhtbFBLBQYAAAAABAAEAPMAAAATBgAAAAA=&#10;" o:allowincell="f" filled="f" stroked="f" strokeweight=".5pt">
              <v:textbox inset=",0,,0">
                <w:txbxContent>
                  <w:p w14:paraId="3B9AF53A" w14:textId="587D260B" w:rsidR="006D0EF5" w:rsidRPr="006D0EF5" w:rsidRDefault="006D0EF5" w:rsidP="006D0EF5">
                    <w:pPr>
                      <w:spacing w:before="0" w:after="0"/>
                      <w:jc w:val="center"/>
                      <w:rPr>
                        <w:rFonts w:ascii="Calibri" w:hAnsi="Calibri" w:cs="Calibri"/>
                        <w:color w:val="000000"/>
                        <w:sz w:val="24"/>
                      </w:rPr>
                    </w:pPr>
                    <w:r w:rsidRPr="006D0EF5">
                      <w:rPr>
                        <w:rFonts w:ascii="Calibri" w:hAnsi="Calibri" w:cs="Calibri"/>
                        <w:color w:val="000000"/>
                        <w:sz w:val="24"/>
                      </w:rPr>
                      <w:t>OFFICIAL</w:t>
                    </w:r>
                  </w:p>
                </w:txbxContent>
              </v:textbox>
              <w10:wrap anchorx="page" anchory="page"/>
            </v:shape>
          </w:pict>
        </mc:Fallback>
      </mc:AlternateContent>
    </w:r>
    <w:r w:rsidR="003E6C9A">
      <w:rPr>
        <w:noProof/>
      </w:rPr>
      <w:drawing>
        <wp:anchor distT="0" distB="0" distL="114300" distR="114300" simplePos="0" relativeHeight="251682816" behindDoc="1" locked="1" layoutInCell="1" allowOverlap="1" wp14:anchorId="2BC00080" wp14:editId="7FDFFB73">
          <wp:simplePos x="0" y="0"/>
          <wp:positionH relativeFrom="page">
            <wp:align>center</wp:align>
          </wp:positionH>
          <wp:positionV relativeFrom="page">
            <wp:posOffset>180340</wp:posOffset>
          </wp:positionV>
          <wp:extent cx="10407600" cy="320400"/>
          <wp:effectExtent l="0" t="0" r="0" b="381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Landscape follower.png"/>
                  <pic:cNvPicPr/>
                </pic:nvPicPr>
                <pic:blipFill rotWithShape="1">
                  <a:blip r:embed="rId1">
                    <a:extLst>
                      <a:ext uri="{28A0092B-C50C-407E-A947-70E740481C1C}">
                        <a14:useLocalDpi xmlns:a14="http://schemas.microsoft.com/office/drawing/2010/main" val="0"/>
                      </a:ext>
                    </a:extLst>
                  </a:blip>
                  <a:srcRect t="29257" b="1"/>
                  <a:stretch/>
                </pic:blipFill>
                <pic:spPr bwMode="auto">
                  <a:xfrm>
                    <a:off x="0" y="0"/>
                    <a:ext cx="10407600" cy="32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DDCF" w14:textId="08AF7D34" w:rsidR="003E6C9A" w:rsidRDefault="006D0EF5" w:rsidP="00334843">
    <w:pPr>
      <w:pStyle w:val="Header"/>
    </w:pPr>
    <w:r>
      <w:rPr>
        <w:noProof/>
      </w:rPr>
      <mc:AlternateContent>
        <mc:Choice Requires="wps">
          <w:drawing>
            <wp:anchor distT="0" distB="0" distL="114300" distR="114300" simplePos="0" relativeHeight="251686912" behindDoc="0" locked="0" layoutInCell="0" allowOverlap="1" wp14:anchorId="4F62FC6C" wp14:editId="7A952091">
              <wp:simplePos x="0" y="0"/>
              <wp:positionH relativeFrom="page">
                <wp:posOffset>0</wp:posOffset>
              </wp:positionH>
              <wp:positionV relativeFrom="page">
                <wp:posOffset>190500</wp:posOffset>
              </wp:positionV>
              <wp:extent cx="10692130" cy="273050"/>
              <wp:effectExtent l="0" t="0" r="0" b="12700"/>
              <wp:wrapNone/>
              <wp:docPr id="4" name="MSIPCMd7c64577ab96a936752cf2b5" descr="{&quot;HashCode&quot;:-1288817837,&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1B3969" w14:textId="4A2CC844" w:rsidR="006D0EF5" w:rsidRPr="006D0EF5" w:rsidRDefault="006D0EF5" w:rsidP="006D0EF5">
                          <w:pPr>
                            <w:spacing w:before="0" w:after="0"/>
                            <w:jc w:val="center"/>
                            <w:rPr>
                              <w:rFonts w:ascii="Calibri" w:hAnsi="Calibri" w:cs="Calibri"/>
                              <w:color w:val="000000"/>
                              <w:sz w:val="24"/>
                            </w:rPr>
                          </w:pPr>
                          <w:r w:rsidRPr="006D0E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62FC6C" id="_x0000_t202" coordsize="21600,21600" o:spt="202" path="m,l,21600r21600,l21600,xe">
              <v:stroke joinstyle="miter"/>
              <v:path gradientshapeok="t" o:connecttype="rect"/>
            </v:shapetype>
            <v:shape id="MSIPCMd7c64577ab96a936752cf2b5" o:spid="_x0000_s1029" type="#_x0000_t202" alt="{&quot;HashCode&quot;:-1288817837,&quot;Height&quot;:595.0,&quot;Width&quot;:841.0,&quot;Placement&quot;:&quot;Header&quot;,&quot;Index&quot;:&quot;FirstPage&quot;,&quot;Section&quot;:1,&quot;Top&quot;:0.0,&quot;Left&quot;:0.0}" style="position:absolute;margin-left:0;margin-top:15pt;width:841.9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" o:allowincell="f" filled="f" stroked="f" strokeweight=".5pt">
              <v:textbox inset=",0,,0">
                <w:txbxContent>
                  <w:p w14:paraId="611B3969" w14:textId="4A2CC844" w:rsidR="006D0EF5" w:rsidRPr="006D0EF5" w:rsidRDefault="006D0EF5" w:rsidP="006D0EF5">
                    <w:pPr>
                      <w:spacing w:before="0" w:after="0"/>
                      <w:jc w:val="center"/>
                      <w:rPr>
                        <w:rFonts w:ascii="Calibri" w:hAnsi="Calibri" w:cs="Calibri"/>
                        <w:color w:val="000000"/>
                        <w:sz w:val="24"/>
                      </w:rPr>
                    </w:pPr>
                    <w:r w:rsidRPr="006D0EF5">
                      <w:rPr>
                        <w:rFonts w:ascii="Calibri" w:hAnsi="Calibri" w:cs="Calibri"/>
                        <w:color w:val="000000"/>
                        <w:sz w:val="24"/>
                      </w:rPr>
                      <w:t>OFFICIAL</w:t>
                    </w:r>
                  </w:p>
                </w:txbxContent>
              </v:textbox>
              <w10:wrap anchorx="page" anchory="page"/>
            </v:shape>
          </w:pict>
        </mc:Fallback>
      </mc:AlternateContent>
    </w:r>
    <w:r w:rsidR="003E6C9A">
      <w:rPr>
        <w:noProof/>
      </w:rPr>
      <w:drawing>
        <wp:anchor distT="0" distB="0" distL="114300" distR="114300" simplePos="0" relativeHeight="251676672" behindDoc="1" locked="1" layoutInCell="1" allowOverlap="1" wp14:anchorId="4EBE5985" wp14:editId="777D2F23">
          <wp:simplePos x="0" y="0"/>
          <wp:positionH relativeFrom="page">
            <wp:align>center</wp:align>
          </wp:positionH>
          <wp:positionV relativeFrom="page">
            <wp:posOffset>180340</wp:posOffset>
          </wp:positionV>
          <wp:extent cx="10407600" cy="320400"/>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Landscape follower.png"/>
                  <pic:cNvPicPr/>
                </pic:nvPicPr>
                <pic:blipFill rotWithShape="1">
                  <a:blip r:embed="rId1">
                    <a:extLst>
                      <a:ext uri="{28A0092B-C50C-407E-A947-70E740481C1C}">
                        <a14:useLocalDpi xmlns:a14="http://schemas.microsoft.com/office/drawing/2010/main" val="0"/>
                      </a:ext>
                    </a:extLst>
                  </a:blip>
                  <a:srcRect t="29257" b="1"/>
                  <a:stretch/>
                </pic:blipFill>
                <pic:spPr bwMode="auto">
                  <a:xfrm>
                    <a:off x="0" y="0"/>
                    <a:ext cx="10407600" cy="32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98DE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C74F06"/>
    <w:multiLevelType w:val="hybridMultilevel"/>
    <w:tmpl w:val="9DB82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F93A08"/>
    <w:multiLevelType w:val="hybridMultilevel"/>
    <w:tmpl w:val="90A0E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12112B"/>
    <w:multiLevelType w:val="hybridMultilevel"/>
    <w:tmpl w:val="4D24B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7640D2"/>
    <w:multiLevelType w:val="hybridMultilevel"/>
    <w:tmpl w:val="00ECD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F10827"/>
    <w:multiLevelType w:val="hybridMultilevel"/>
    <w:tmpl w:val="D4160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BC7266"/>
    <w:multiLevelType w:val="hybridMultilevel"/>
    <w:tmpl w:val="14D0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0E56EF"/>
    <w:multiLevelType w:val="hybridMultilevel"/>
    <w:tmpl w:val="C688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E26B10"/>
    <w:multiLevelType w:val="hybridMultilevel"/>
    <w:tmpl w:val="82A8C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0542F2"/>
    <w:multiLevelType w:val="multilevel"/>
    <w:tmpl w:val="6B50392C"/>
    <w:lvl w:ilvl="0">
      <w:start w:val="1"/>
      <w:numFmt w:val="decimal"/>
      <w:pStyle w:val="Heading1"/>
      <w:lvlText w:val="%1"/>
      <w:lvlJc w:val="left"/>
      <w:pPr>
        <w:ind w:left="9221"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A35A05"/>
    <w:multiLevelType w:val="hybridMultilevel"/>
    <w:tmpl w:val="7FB0F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9"/>
  </w:num>
  <w:num w:numId="3">
    <w:abstractNumId w:val="29"/>
  </w:num>
  <w:num w:numId="4">
    <w:abstractNumId w:val="29"/>
  </w:num>
  <w:num w:numId="5">
    <w:abstractNumId w:val="29"/>
  </w:num>
  <w:num w:numId="6">
    <w:abstractNumId w:val="25"/>
  </w:num>
  <w:num w:numId="7">
    <w:abstractNumId w:val="34"/>
  </w:num>
  <w:num w:numId="8">
    <w:abstractNumId w:val="31"/>
  </w:num>
  <w:num w:numId="9">
    <w:abstractNumId w:val="14"/>
  </w:num>
  <w:num w:numId="10">
    <w:abstractNumId w:val="11"/>
  </w:num>
  <w:num w:numId="11">
    <w:abstractNumId w:val="12"/>
  </w:num>
  <w:num w:numId="12">
    <w:abstractNumId w:val="24"/>
  </w:num>
  <w:num w:numId="13">
    <w:abstractNumId w:val="21"/>
  </w:num>
  <w:num w:numId="14">
    <w:abstractNumId w:val="23"/>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10"/>
  </w:num>
  <w:num w:numId="26">
    <w:abstractNumId w:val="17"/>
  </w:num>
  <w:num w:numId="27">
    <w:abstractNumId w:val="18"/>
  </w:num>
  <w:num w:numId="28">
    <w:abstractNumId w:val="26"/>
  </w:num>
  <w:num w:numId="29">
    <w:abstractNumId w:val="33"/>
  </w:num>
  <w:num w:numId="30">
    <w:abstractNumId w:val="27"/>
  </w:num>
  <w:num w:numId="31">
    <w:abstractNumId w:val="30"/>
  </w:num>
  <w:num w:numId="32">
    <w:abstractNumId w:val="22"/>
  </w:num>
  <w:num w:numId="33">
    <w:abstractNumId w:val="13"/>
  </w:num>
  <w:num w:numId="34">
    <w:abstractNumId w:val="15"/>
  </w:num>
  <w:num w:numId="35">
    <w:abstractNumId w:val="16"/>
  </w:num>
  <w:num w:numId="36">
    <w:abstractNumId w:val="32"/>
  </w:num>
  <w:num w:numId="37">
    <w:abstractNumId w:val="19"/>
  </w:num>
  <w:num w:numId="38">
    <w:abstractNumId w:val="2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0B"/>
    <w:rsid w:val="0000762E"/>
    <w:rsid w:val="00013416"/>
    <w:rsid w:val="00020136"/>
    <w:rsid w:val="00034053"/>
    <w:rsid w:val="0004322F"/>
    <w:rsid w:val="00043BBD"/>
    <w:rsid w:val="00044DC5"/>
    <w:rsid w:val="00050AF8"/>
    <w:rsid w:val="00060302"/>
    <w:rsid w:val="000636CE"/>
    <w:rsid w:val="000664EC"/>
    <w:rsid w:val="00070516"/>
    <w:rsid w:val="000734C7"/>
    <w:rsid w:val="00077247"/>
    <w:rsid w:val="000809CD"/>
    <w:rsid w:val="00083F3A"/>
    <w:rsid w:val="000954B0"/>
    <w:rsid w:val="000A7588"/>
    <w:rsid w:val="000B0A8E"/>
    <w:rsid w:val="000B2BD7"/>
    <w:rsid w:val="000B5CE2"/>
    <w:rsid w:val="000B7105"/>
    <w:rsid w:val="000C35CF"/>
    <w:rsid w:val="000D1056"/>
    <w:rsid w:val="000D79D9"/>
    <w:rsid w:val="000E39A7"/>
    <w:rsid w:val="000F0296"/>
    <w:rsid w:val="000F57AA"/>
    <w:rsid w:val="000F70AC"/>
    <w:rsid w:val="000F7643"/>
    <w:rsid w:val="00106B24"/>
    <w:rsid w:val="001266CB"/>
    <w:rsid w:val="00133F06"/>
    <w:rsid w:val="00135B6F"/>
    <w:rsid w:val="0013646B"/>
    <w:rsid w:val="001410ED"/>
    <w:rsid w:val="001417FE"/>
    <w:rsid w:val="001432BC"/>
    <w:rsid w:val="001441F4"/>
    <w:rsid w:val="00151982"/>
    <w:rsid w:val="00152EB9"/>
    <w:rsid w:val="001575E7"/>
    <w:rsid w:val="00162799"/>
    <w:rsid w:val="00162CEF"/>
    <w:rsid w:val="00164024"/>
    <w:rsid w:val="00164461"/>
    <w:rsid w:val="00164987"/>
    <w:rsid w:val="00166869"/>
    <w:rsid w:val="00167CD4"/>
    <w:rsid w:val="00174A34"/>
    <w:rsid w:val="001767BF"/>
    <w:rsid w:val="001774D2"/>
    <w:rsid w:val="00181199"/>
    <w:rsid w:val="001858C2"/>
    <w:rsid w:val="00186B61"/>
    <w:rsid w:val="00187CBA"/>
    <w:rsid w:val="00190A16"/>
    <w:rsid w:val="00194BB1"/>
    <w:rsid w:val="00195F54"/>
    <w:rsid w:val="001968E6"/>
    <w:rsid w:val="001A653B"/>
    <w:rsid w:val="001B212D"/>
    <w:rsid w:val="001B50EA"/>
    <w:rsid w:val="001C4BEC"/>
    <w:rsid w:val="001F0A49"/>
    <w:rsid w:val="001F3D55"/>
    <w:rsid w:val="001F76F6"/>
    <w:rsid w:val="001F7FE5"/>
    <w:rsid w:val="0021262D"/>
    <w:rsid w:val="00213285"/>
    <w:rsid w:val="00214165"/>
    <w:rsid w:val="0022061D"/>
    <w:rsid w:val="00230227"/>
    <w:rsid w:val="00232B1D"/>
    <w:rsid w:val="00232EB9"/>
    <w:rsid w:val="00240644"/>
    <w:rsid w:val="00245FEB"/>
    <w:rsid w:val="00247333"/>
    <w:rsid w:val="002541E8"/>
    <w:rsid w:val="00261060"/>
    <w:rsid w:val="00270CB2"/>
    <w:rsid w:val="002723E2"/>
    <w:rsid w:val="00275C41"/>
    <w:rsid w:val="00277A1E"/>
    <w:rsid w:val="002848F0"/>
    <w:rsid w:val="00292254"/>
    <w:rsid w:val="00294079"/>
    <w:rsid w:val="00294DCD"/>
    <w:rsid w:val="002A56CF"/>
    <w:rsid w:val="002A72B2"/>
    <w:rsid w:val="002B0A79"/>
    <w:rsid w:val="002B38ED"/>
    <w:rsid w:val="002B5841"/>
    <w:rsid w:val="002C2F1F"/>
    <w:rsid w:val="002D1F76"/>
    <w:rsid w:val="002D42AB"/>
    <w:rsid w:val="002E04F8"/>
    <w:rsid w:val="002E3C2C"/>
    <w:rsid w:val="002F3616"/>
    <w:rsid w:val="002F427F"/>
    <w:rsid w:val="00300D80"/>
    <w:rsid w:val="00303202"/>
    <w:rsid w:val="00311E13"/>
    <w:rsid w:val="003154DE"/>
    <w:rsid w:val="003219ED"/>
    <w:rsid w:val="00322AE7"/>
    <w:rsid w:val="00334843"/>
    <w:rsid w:val="0034259F"/>
    <w:rsid w:val="0034620F"/>
    <w:rsid w:val="0034654C"/>
    <w:rsid w:val="003513EE"/>
    <w:rsid w:val="00353D57"/>
    <w:rsid w:val="003603BD"/>
    <w:rsid w:val="003628E3"/>
    <w:rsid w:val="00362B32"/>
    <w:rsid w:val="00375F08"/>
    <w:rsid w:val="0038297E"/>
    <w:rsid w:val="00391A43"/>
    <w:rsid w:val="003A5D57"/>
    <w:rsid w:val="003B0708"/>
    <w:rsid w:val="003B093E"/>
    <w:rsid w:val="003B31C0"/>
    <w:rsid w:val="003B37BD"/>
    <w:rsid w:val="003B4F2D"/>
    <w:rsid w:val="003B5094"/>
    <w:rsid w:val="003D44AD"/>
    <w:rsid w:val="003E55B0"/>
    <w:rsid w:val="003E690A"/>
    <w:rsid w:val="003E6C9A"/>
    <w:rsid w:val="003E746F"/>
    <w:rsid w:val="00412227"/>
    <w:rsid w:val="00420712"/>
    <w:rsid w:val="00421E8D"/>
    <w:rsid w:val="00422F1C"/>
    <w:rsid w:val="00431CED"/>
    <w:rsid w:val="00435FCF"/>
    <w:rsid w:val="004368D2"/>
    <w:rsid w:val="004371F6"/>
    <w:rsid w:val="00440DF0"/>
    <w:rsid w:val="00441335"/>
    <w:rsid w:val="004464C4"/>
    <w:rsid w:val="004477B6"/>
    <w:rsid w:val="00456170"/>
    <w:rsid w:val="004602BE"/>
    <w:rsid w:val="004621A0"/>
    <w:rsid w:val="00463BC8"/>
    <w:rsid w:val="0047003A"/>
    <w:rsid w:val="00480525"/>
    <w:rsid w:val="004A147F"/>
    <w:rsid w:val="004B3C74"/>
    <w:rsid w:val="004B3FC2"/>
    <w:rsid w:val="004C4953"/>
    <w:rsid w:val="004C5942"/>
    <w:rsid w:val="004C6257"/>
    <w:rsid w:val="004C6854"/>
    <w:rsid w:val="004D653B"/>
    <w:rsid w:val="004E2416"/>
    <w:rsid w:val="004E4C95"/>
    <w:rsid w:val="004F0973"/>
    <w:rsid w:val="004F10C7"/>
    <w:rsid w:val="004F1E91"/>
    <w:rsid w:val="004F4660"/>
    <w:rsid w:val="005001F0"/>
    <w:rsid w:val="00506A93"/>
    <w:rsid w:val="005104E6"/>
    <w:rsid w:val="005110C8"/>
    <w:rsid w:val="005163FE"/>
    <w:rsid w:val="0052210D"/>
    <w:rsid w:val="005257C6"/>
    <w:rsid w:val="005276EB"/>
    <w:rsid w:val="0053442A"/>
    <w:rsid w:val="00535D6A"/>
    <w:rsid w:val="00537F3D"/>
    <w:rsid w:val="00544413"/>
    <w:rsid w:val="00552A3B"/>
    <w:rsid w:val="00554DF5"/>
    <w:rsid w:val="00555FB6"/>
    <w:rsid w:val="005656A1"/>
    <w:rsid w:val="00571AFF"/>
    <w:rsid w:val="005723C8"/>
    <w:rsid w:val="00585115"/>
    <w:rsid w:val="005862DD"/>
    <w:rsid w:val="00591895"/>
    <w:rsid w:val="0059681E"/>
    <w:rsid w:val="005A5B10"/>
    <w:rsid w:val="005A6D9F"/>
    <w:rsid w:val="005B0813"/>
    <w:rsid w:val="005C3A6C"/>
    <w:rsid w:val="005C4156"/>
    <w:rsid w:val="005D3A3C"/>
    <w:rsid w:val="005D4B13"/>
    <w:rsid w:val="005E278C"/>
    <w:rsid w:val="005E284D"/>
    <w:rsid w:val="005F655D"/>
    <w:rsid w:val="005F66C6"/>
    <w:rsid w:val="005F6CE7"/>
    <w:rsid w:val="00604D7C"/>
    <w:rsid w:val="0060555E"/>
    <w:rsid w:val="00606B6E"/>
    <w:rsid w:val="00607F8D"/>
    <w:rsid w:val="00612388"/>
    <w:rsid w:val="00612759"/>
    <w:rsid w:val="006133A9"/>
    <w:rsid w:val="0061661B"/>
    <w:rsid w:val="006202B7"/>
    <w:rsid w:val="00625114"/>
    <w:rsid w:val="00627D7A"/>
    <w:rsid w:val="0063403C"/>
    <w:rsid w:val="00642988"/>
    <w:rsid w:val="00644924"/>
    <w:rsid w:val="0064636E"/>
    <w:rsid w:val="00654A67"/>
    <w:rsid w:val="0065612D"/>
    <w:rsid w:val="006635AC"/>
    <w:rsid w:val="006664B6"/>
    <w:rsid w:val="00671449"/>
    <w:rsid w:val="00677E57"/>
    <w:rsid w:val="00687148"/>
    <w:rsid w:val="00687E64"/>
    <w:rsid w:val="006905F9"/>
    <w:rsid w:val="006937EA"/>
    <w:rsid w:val="00696044"/>
    <w:rsid w:val="00696640"/>
    <w:rsid w:val="006A2FFA"/>
    <w:rsid w:val="006A4825"/>
    <w:rsid w:val="006A6607"/>
    <w:rsid w:val="006B778A"/>
    <w:rsid w:val="006C0F74"/>
    <w:rsid w:val="006C7DEC"/>
    <w:rsid w:val="006D0EF5"/>
    <w:rsid w:val="006D7CEA"/>
    <w:rsid w:val="006E6885"/>
    <w:rsid w:val="006F01F2"/>
    <w:rsid w:val="006F0E7E"/>
    <w:rsid w:val="006F0ECE"/>
    <w:rsid w:val="006F1AA2"/>
    <w:rsid w:val="006F6135"/>
    <w:rsid w:val="006F6E52"/>
    <w:rsid w:val="00700B64"/>
    <w:rsid w:val="00704AF9"/>
    <w:rsid w:val="00707F05"/>
    <w:rsid w:val="00710763"/>
    <w:rsid w:val="00720471"/>
    <w:rsid w:val="00720991"/>
    <w:rsid w:val="0072425B"/>
    <w:rsid w:val="00724531"/>
    <w:rsid w:val="00730369"/>
    <w:rsid w:val="00734911"/>
    <w:rsid w:val="00740629"/>
    <w:rsid w:val="007431E7"/>
    <w:rsid w:val="007444DD"/>
    <w:rsid w:val="00747C75"/>
    <w:rsid w:val="007646AA"/>
    <w:rsid w:val="00770803"/>
    <w:rsid w:val="00771777"/>
    <w:rsid w:val="00782C92"/>
    <w:rsid w:val="007B15C4"/>
    <w:rsid w:val="007B4719"/>
    <w:rsid w:val="007C1287"/>
    <w:rsid w:val="007D40B8"/>
    <w:rsid w:val="007D589D"/>
    <w:rsid w:val="007E01B3"/>
    <w:rsid w:val="008025A7"/>
    <w:rsid w:val="008027EC"/>
    <w:rsid w:val="00803169"/>
    <w:rsid w:val="00805E7C"/>
    <w:rsid w:val="00814984"/>
    <w:rsid w:val="008151D9"/>
    <w:rsid w:val="00817B40"/>
    <w:rsid w:val="00821D06"/>
    <w:rsid w:val="00825C8A"/>
    <w:rsid w:val="008265D4"/>
    <w:rsid w:val="00830467"/>
    <w:rsid w:val="00854053"/>
    <w:rsid w:val="00855D60"/>
    <w:rsid w:val="008571B4"/>
    <w:rsid w:val="008633F4"/>
    <w:rsid w:val="00864B2F"/>
    <w:rsid w:val="0086526A"/>
    <w:rsid w:val="0087121B"/>
    <w:rsid w:val="0087295E"/>
    <w:rsid w:val="008730BD"/>
    <w:rsid w:val="00892F06"/>
    <w:rsid w:val="008C1DD2"/>
    <w:rsid w:val="008D4FA4"/>
    <w:rsid w:val="008D72D6"/>
    <w:rsid w:val="008E34C0"/>
    <w:rsid w:val="008E45EE"/>
    <w:rsid w:val="008E4A82"/>
    <w:rsid w:val="008F6252"/>
    <w:rsid w:val="00902901"/>
    <w:rsid w:val="00907F21"/>
    <w:rsid w:val="0091132B"/>
    <w:rsid w:val="00911736"/>
    <w:rsid w:val="0091268F"/>
    <w:rsid w:val="00913117"/>
    <w:rsid w:val="00914E64"/>
    <w:rsid w:val="00917E1D"/>
    <w:rsid w:val="00921A00"/>
    <w:rsid w:val="0092448E"/>
    <w:rsid w:val="009304B4"/>
    <w:rsid w:val="0093205D"/>
    <w:rsid w:val="009414C9"/>
    <w:rsid w:val="00942086"/>
    <w:rsid w:val="009431CD"/>
    <w:rsid w:val="009453DB"/>
    <w:rsid w:val="00961C45"/>
    <w:rsid w:val="00961E35"/>
    <w:rsid w:val="00965A99"/>
    <w:rsid w:val="00965E6E"/>
    <w:rsid w:val="00974135"/>
    <w:rsid w:val="009749A5"/>
    <w:rsid w:val="00975F0E"/>
    <w:rsid w:val="00983FCB"/>
    <w:rsid w:val="009842B3"/>
    <w:rsid w:val="009960AA"/>
    <w:rsid w:val="009A5906"/>
    <w:rsid w:val="009B079D"/>
    <w:rsid w:val="009C2EAA"/>
    <w:rsid w:val="009D44FC"/>
    <w:rsid w:val="009E0B3D"/>
    <w:rsid w:val="009E2D7A"/>
    <w:rsid w:val="009E52E6"/>
    <w:rsid w:val="009E692C"/>
    <w:rsid w:val="00A013D3"/>
    <w:rsid w:val="00A0687D"/>
    <w:rsid w:val="00A11752"/>
    <w:rsid w:val="00A11AAD"/>
    <w:rsid w:val="00A1590C"/>
    <w:rsid w:val="00A17119"/>
    <w:rsid w:val="00A22F97"/>
    <w:rsid w:val="00A34096"/>
    <w:rsid w:val="00A35698"/>
    <w:rsid w:val="00A40738"/>
    <w:rsid w:val="00A41A0F"/>
    <w:rsid w:val="00A465E3"/>
    <w:rsid w:val="00A52815"/>
    <w:rsid w:val="00A529EA"/>
    <w:rsid w:val="00A53B5F"/>
    <w:rsid w:val="00A554EE"/>
    <w:rsid w:val="00A6196F"/>
    <w:rsid w:val="00A6712E"/>
    <w:rsid w:val="00A91891"/>
    <w:rsid w:val="00A94CD5"/>
    <w:rsid w:val="00AA44D7"/>
    <w:rsid w:val="00AB1D65"/>
    <w:rsid w:val="00AB2E25"/>
    <w:rsid w:val="00AC0218"/>
    <w:rsid w:val="00AC442B"/>
    <w:rsid w:val="00AD211E"/>
    <w:rsid w:val="00AD7309"/>
    <w:rsid w:val="00AD76D9"/>
    <w:rsid w:val="00AE2BCD"/>
    <w:rsid w:val="00AE6543"/>
    <w:rsid w:val="00AE6758"/>
    <w:rsid w:val="00AF152C"/>
    <w:rsid w:val="00AF4DFF"/>
    <w:rsid w:val="00B025CF"/>
    <w:rsid w:val="00B14DDB"/>
    <w:rsid w:val="00B33D08"/>
    <w:rsid w:val="00B349EC"/>
    <w:rsid w:val="00B5046E"/>
    <w:rsid w:val="00B56AC5"/>
    <w:rsid w:val="00B62A2A"/>
    <w:rsid w:val="00B63B43"/>
    <w:rsid w:val="00B640BF"/>
    <w:rsid w:val="00B71016"/>
    <w:rsid w:val="00B83FEC"/>
    <w:rsid w:val="00B863CD"/>
    <w:rsid w:val="00B938A7"/>
    <w:rsid w:val="00B93FD6"/>
    <w:rsid w:val="00B961C1"/>
    <w:rsid w:val="00B96A8C"/>
    <w:rsid w:val="00B97001"/>
    <w:rsid w:val="00B973EE"/>
    <w:rsid w:val="00BA390F"/>
    <w:rsid w:val="00BA70A6"/>
    <w:rsid w:val="00BA7718"/>
    <w:rsid w:val="00BB7154"/>
    <w:rsid w:val="00BC4ABE"/>
    <w:rsid w:val="00BC4B89"/>
    <w:rsid w:val="00BC593C"/>
    <w:rsid w:val="00BC610A"/>
    <w:rsid w:val="00BD3DC1"/>
    <w:rsid w:val="00BE131F"/>
    <w:rsid w:val="00BF2BA6"/>
    <w:rsid w:val="00BF533D"/>
    <w:rsid w:val="00C003C2"/>
    <w:rsid w:val="00C03B6E"/>
    <w:rsid w:val="00C122E4"/>
    <w:rsid w:val="00C12B7E"/>
    <w:rsid w:val="00C1556C"/>
    <w:rsid w:val="00C224E2"/>
    <w:rsid w:val="00C55DC3"/>
    <w:rsid w:val="00C61F44"/>
    <w:rsid w:val="00C63BDC"/>
    <w:rsid w:val="00C660C7"/>
    <w:rsid w:val="00C73282"/>
    <w:rsid w:val="00C80E10"/>
    <w:rsid w:val="00C829C6"/>
    <w:rsid w:val="00C83E7A"/>
    <w:rsid w:val="00CA59D5"/>
    <w:rsid w:val="00CB4A0F"/>
    <w:rsid w:val="00CB73CA"/>
    <w:rsid w:val="00CC4B81"/>
    <w:rsid w:val="00CC72D9"/>
    <w:rsid w:val="00CD1E36"/>
    <w:rsid w:val="00CD488B"/>
    <w:rsid w:val="00CD7E6A"/>
    <w:rsid w:val="00CE520B"/>
    <w:rsid w:val="00CE77DD"/>
    <w:rsid w:val="00CF3770"/>
    <w:rsid w:val="00CF6EB4"/>
    <w:rsid w:val="00D120F8"/>
    <w:rsid w:val="00D308D4"/>
    <w:rsid w:val="00D651F4"/>
    <w:rsid w:val="00D729FA"/>
    <w:rsid w:val="00D76844"/>
    <w:rsid w:val="00D8542D"/>
    <w:rsid w:val="00D85E63"/>
    <w:rsid w:val="00D966F5"/>
    <w:rsid w:val="00D96C1E"/>
    <w:rsid w:val="00D97507"/>
    <w:rsid w:val="00DA0941"/>
    <w:rsid w:val="00DA6EFC"/>
    <w:rsid w:val="00DB0D69"/>
    <w:rsid w:val="00DB0DED"/>
    <w:rsid w:val="00DB1E27"/>
    <w:rsid w:val="00DB26D5"/>
    <w:rsid w:val="00DB6CB8"/>
    <w:rsid w:val="00DC4912"/>
    <w:rsid w:val="00DD6894"/>
    <w:rsid w:val="00DE1CBB"/>
    <w:rsid w:val="00DE220A"/>
    <w:rsid w:val="00DE5D59"/>
    <w:rsid w:val="00DE623C"/>
    <w:rsid w:val="00DF071E"/>
    <w:rsid w:val="00DF6190"/>
    <w:rsid w:val="00DF7534"/>
    <w:rsid w:val="00E017A7"/>
    <w:rsid w:val="00E02831"/>
    <w:rsid w:val="00E030E9"/>
    <w:rsid w:val="00E06D21"/>
    <w:rsid w:val="00E10C62"/>
    <w:rsid w:val="00E2142B"/>
    <w:rsid w:val="00E22A18"/>
    <w:rsid w:val="00E25444"/>
    <w:rsid w:val="00E31E09"/>
    <w:rsid w:val="00E354A3"/>
    <w:rsid w:val="00E42772"/>
    <w:rsid w:val="00E43F01"/>
    <w:rsid w:val="00E45D83"/>
    <w:rsid w:val="00E5567F"/>
    <w:rsid w:val="00E57C8F"/>
    <w:rsid w:val="00E616E9"/>
    <w:rsid w:val="00E6185B"/>
    <w:rsid w:val="00E625D9"/>
    <w:rsid w:val="00E645E2"/>
    <w:rsid w:val="00E65DBC"/>
    <w:rsid w:val="00E72A0D"/>
    <w:rsid w:val="00E806E9"/>
    <w:rsid w:val="00E85CDC"/>
    <w:rsid w:val="00E92E82"/>
    <w:rsid w:val="00EA3D99"/>
    <w:rsid w:val="00EA7AA9"/>
    <w:rsid w:val="00EB0D7A"/>
    <w:rsid w:val="00EB1F33"/>
    <w:rsid w:val="00EB2544"/>
    <w:rsid w:val="00EB5CE6"/>
    <w:rsid w:val="00ED5C66"/>
    <w:rsid w:val="00ED7FC5"/>
    <w:rsid w:val="00EE00A0"/>
    <w:rsid w:val="00EE1BC7"/>
    <w:rsid w:val="00F04F33"/>
    <w:rsid w:val="00F06025"/>
    <w:rsid w:val="00F451D8"/>
    <w:rsid w:val="00F4526C"/>
    <w:rsid w:val="00F45D9E"/>
    <w:rsid w:val="00F46011"/>
    <w:rsid w:val="00F53D14"/>
    <w:rsid w:val="00F67529"/>
    <w:rsid w:val="00F732CD"/>
    <w:rsid w:val="00F824C0"/>
    <w:rsid w:val="00F82CEB"/>
    <w:rsid w:val="00F9423E"/>
    <w:rsid w:val="00F973F3"/>
    <w:rsid w:val="00FA2EDF"/>
    <w:rsid w:val="00FB0DEA"/>
    <w:rsid w:val="00FB11D1"/>
    <w:rsid w:val="00FB5F7E"/>
    <w:rsid w:val="00FD080B"/>
    <w:rsid w:val="00FE0570"/>
    <w:rsid w:val="00FE13BF"/>
    <w:rsid w:val="00FF03FE"/>
    <w:rsid w:val="00FF2D2B"/>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E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772"/>
    <w:pPr>
      <w:spacing w:before="120" w:line="240" w:lineRule="auto"/>
    </w:pPr>
    <w:rPr>
      <w:rFonts w:ascii="Arial" w:eastAsia="Times New Roman" w:hAnsi="Arial" w:cs="Times New Roman"/>
      <w:color w:val="53565A" w:themeColor="accent2"/>
      <w:sz w:val="18"/>
      <w:szCs w:val="20"/>
    </w:rPr>
  </w:style>
  <w:style w:type="paragraph" w:styleId="Heading1">
    <w:name w:val="heading 1"/>
    <w:basedOn w:val="Normal"/>
    <w:next w:val="Normal"/>
    <w:link w:val="Heading1Char"/>
    <w:uiPriority w:val="9"/>
    <w:qFormat/>
    <w:rsid w:val="001575E7"/>
    <w:pPr>
      <w:keepNext/>
      <w:keepLines/>
      <w:pageBreakBefore/>
      <w:numPr>
        <w:numId w:val="8"/>
      </w:numPr>
      <w:spacing w:before="520" w:after="480"/>
      <w:ind w:left="431" w:hanging="431"/>
      <w:outlineLvl w:val="0"/>
    </w:pPr>
    <w:rPr>
      <w:b/>
      <w:bCs/>
      <w:color w:val="100249" w:themeColor="accent4"/>
      <w:sz w:val="36"/>
      <w:szCs w:val="32"/>
    </w:rPr>
  </w:style>
  <w:style w:type="paragraph" w:styleId="Heading2">
    <w:name w:val="heading 2"/>
    <w:basedOn w:val="Normal"/>
    <w:next w:val="Normal"/>
    <w:link w:val="Heading2Char"/>
    <w:qFormat/>
    <w:rsid w:val="00E42772"/>
    <w:pPr>
      <w:keepNext/>
      <w:keepLines/>
      <w:spacing w:before="400"/>
      <w:outlineLvl w:val="1"/>
    </w:pPr>
    <w:rPr>
      <w:bCs/>
      <w:color w:val="62BB46" w:themeColor="accent3"/>
      <w:sz w:val="28"/>
      <w:szCs w:val="26"/>
    </w:rPr>
  </w:style>
  <w:style w:type="paragraph" w:styleId="Heading3">
    <w:name w:val="heading 3"/>
    <w:basedOn w:val="Normal"/>
    <w:next w:val="Normal"/>
    <w:link w:val="Heading3Char"/>
    <w:uiPriority w:val="9"/>
    <w:qFormat/>
    <w:rsid w:val="00164024"/>
    <w:pPr>
      <w:keepNext/>
      <w:keepLines/>
      <w:numPr>
        <w:ilvl w:val="2"/>
        <w:numId w:val="8"/>
      </w:numPr>
      <w:spacing w:before="320" w:after="160"/>
      <w:outlineLvl w:val="2"/>
    </w:pPr>
    <w:rPr>
      <w:b/>
      <w:bCs/>
      <w:color w:val="100249" w:themeColor="accent4"/>
      <w:sz w:val="22"/>
    </w:rPr>
  </w:style>
  <w:style w:type="paragraph" w:styleId="Heading4">
    <w:name w:val="heading 4"/>
    <w:basedOn w:val="Normal"/>
    <w:next w:val="Normal"/>
    <w:link w:val="Heading4Char"/>
    <w:uiPriority w:val="9"/>
    <w:unhideWhenUsed/>
    <w:rsid w:val="00164024"/>
    <w:pPr>
      <w:keepNext/>
      <w:keepLines/>
      <w:numPr>
        <w:ilvl w:val="3"/>
        <w:numId w:val="8"/>
      </w:numPr>
      <w:spacing w:before="280" w:after="0"/>
      <w:ind w:left="862" w:hanging="862"/>
      <w:outlineLvl w:val="3"/>
    </w:pPr>
    <w:rPr>
      <w:rFonts w:eastAsiaTheme="majorEastAsia" w:cstheme="majorBidi"/>
      <w:b/>
      <w:bCs/>
      <w:iCs/>
      <w:color w:val="100249" w:themeColor="accent4"/>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locked/>
    <w:rsid w:val="00DB0DED"/>
    <w:pPr>
      <w:keepNext/>
      <w:keepLines/>
      <w:numPr>
        <w:ilvl w:val="5"/>
        <w:numId w:val="8"/>
      </w:numPr>
      <w:spacing w:before="200" w:after="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E7"/>
    <w:rPr>
      <w:rFonts w:ascii="Arial" w:eastAsia="Times New Roman" w:hAnsi="Arial" w:cs="Times New Roman"/>
      <w:b/>
      <w:bCs/>
      <w:color w:val="100249" w:themeColor="accent4"/>
      <w:sz w:val="36"/>
      <w:szCs w:val="32"/>
    </w:rPr>
  </w:style>
  <w:style w:type="character" w:customStyle="1" w:styleId="Heading2Char">
    <w:name w:val="Heading 2 Char"/>
    <w:basedOn w:val="DefaultParagraphFont"/>
    <w:link w:val="Heading2"/>
    <w:uiPriority w:val="9"/>
    <w:rsid w:val="00E42772"/>
    <w:rPr>
      <w:rFonts w:ascii="Arial" w:eastAsia="Times New Roman" w:hAnsi="Arial" w:cs="Times New Roman"/>
      <w:bCs/>
      <w:color w:val="62BB46" w:themeColor="accent3"/>
      <w:sz w:val="28"/>
      <w:szCs w:val="26"/>
    </w:rPr>
  </w:style>
  <w:style w:type="character" w:customStyle="1" w:styleId="Heading3Char">
    <w:name w:val="Heading 3 Char"/>
    <w:basedOn w:val="DefaultParagraphFont"/>
    <w:link w:val="Heading3"/>
    <w:uiPriority w:val="9"/>
    <w:rsid w:val="00164024"/>
    <w:rPr>
      <w:rFonts w:ascii="Arial" w:eastAsia="Times New Roman" w:hAnsi="Arial" w:cs="Times New Roman"/>
      <w:b/>
      <w:bCs/>
      <w:color w:val="100249" w:themeColor="accent4"/>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FB0DEA"/>
    <w:pPr>
      <w:tabs>
        <w:tab w:val="right" w:pos="14570"/>
      </w:tabs>
    </w:pPr>
    <w:rPr>
      <w:color w:val="201547"/>
      <w:sz w:val="16"/>
      <w:szCs w:val="16"/>
    </w:rPr>
  </w:style>
  <w:style w:type="character" w:customStyle="1" w:styleId="FooterChar">
    <w:name w:val="Footer Char"/>
    <w:basedOn w:val="DefaultParagraphFont"/>
    <w:link w:val="Footer"/>
    <w:uiPriority w:val="99"/>
    <w:rsid w:val="00FB0DEA"/>
    <w:rPr>
      <w:rFonts w:ascii="Arial" w:eastAsia="Times New Roman" w:hAnsi="Arial" w:cs="Times New Roman"/>
      <w:color w:val="201547"/>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164024"/>
    <w:rPr>
      <w:color w:val="201547" w:themeColor="text2"/>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164024"/>
    <w:rPr>
      <w:rFonts w:ascii="Arial" w:eastAsiaTheme="majorEastAsia" w:hAnsi="Arial" w:cstheme="majorBidi"/>
      <w:b/>
      <w:bCs/>
      <w:iCs/>
      <w:color w:val="100249" w:themeColor="accent4"/>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F0A23"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86526A"/>
    <w:pPr>
      <w:tabs>
        <w:tab w:val="left" w:pos="600"/>
        <w:tab w:val="left" w:leader="dot" w:pos="14175"/>
      </w:tabs>
      <w:spacing w:before="240" w:after="100"/>
    </w:pPr>
  </w:style>
  <w:style w:type="paragraph" w:styleId="TOC2">
    <w:name w:val="toc 2"/>
    <w:basedOn w:val="Normal"/>
    <w:next w:val="Normal"/>
    <w:autoRedefine/>
    <w:uiPriority w:val="39"/>
    <w:unhideWhenUsed/>
    <w:rsid w:val="00E42772"/>
    <w:pPr>
      <w:tabs>
        <w:tab w:val="left" w:pos="567"/>
        <w:tab w:val="left" w:pos="1134"/>
        <w:tab w:val="left" w:leader="dot" w:pos="14175"/>
      </w:tabs>
      <w:spacing w:after="100"/>
      <w:ind w:left="567"/>
    </w:pPr>
  </w:style>
  <w:style w:type="paragraph" w:styleId="TOC3">
    <w:name w:val="toc 3"/>
    <w:basedOn w:val="Normal"/>
    <w:next w:val="Normal"/>
    <w:autoRedefine/>
    <w:uiPriority w:val="39"/>
    <w:unhideWhenUsed/>
    <w:rsid w:val="00E42772"/>
    <w:pPr>
      <w:tabs>
        <w:tab w:val="left" w:pos="1134"/>
        <w:tab w:val="left" w:pos="1701"/>
        <w:tab w:val="left" w:leader="dot" w:pos="14175"/>
      </w:tabs>
      <w:spacing w:after="100"/>
      <w:ind w:left="1134"/>
    </w:pPr>
  </w:style>
  <w:style w:type="paragraph" w:customStyle="1" w:styleId="introparagraph">
    <w:name w:val="# intro paragraph"/>
    <w:basedOn w:val="Normal"/>
    <w:qFormat/>
    <w:rsid w:val="00E42772"/>
    <w:rPr>
      <w:sz w:val="28"/>
    </w:rPr>
  </w:style>
  <w:style w:type="paragraph" w:styleId="Title">
    <w:name w:val="Title"/>
    <w:basedOn w:val="Normal"/>
    <w:next w:val="Normal"/>
    <w:link w:val="TitleChar"/>
    <w:uiPriority w:val="10"/>
    <w:qFormat/>
    <w:rsid w:val="00687E64"/>
    <w:pPr>
      <w:spacing w:before="0" w:line="420" w:lineRule="exact"/>
    </w:pPr>
    <w:rPr>
      <w:noProof/>
      <w:color w:val="FFFFFF"/>
      <w:sz w:val="44"/>
      <w:lang w:val="en-GB" w:eastAsia="en-GB"/>
    </w:rPr>
  </w:style>
  <w:style w:type="character" w:customStyle="1" w:styleId="TitleChar">
    <w:name w:val="Title Char"/>
    <w:basedOn w:val="DefaultParagraphFont"/>
    <w:link w:val="Title"/>
    <w:uiPriority w:val="10"/>
    <w:rsid w:val="00687E64"/>
    <w:rPr>
      <w:rFonts w:ascii="Arial" w:eastAsia="Times New Roman" w:hAnsi="Arial" w:cs="Times New Roman"/>
      <w:noProof/>
      <w:color w:val="FFFFFF"/>
      <w:sz w:val="44"/>
      <w:szCs w:val="20"/>
      <w:lang w:val="en-GB" w:eastAsia="en-GB"/>
    </w:rPr>
  </w:style>
  <w:style w:type="paragraph" w:styleId="Subtitle">
    <w:name w:val="Subtitle"/>
    <w:basedOn w:val="Normal"/>
    <w:link w:val="SubtitleChar"/>
    <w:uiPriority w:val="11"/>
    <w:qFormat/>
    <w:rsid w:val="003B093E"/>
    <w:pPr>
      <w:spacing w:before="180"/>
    </w:pPr>
    <w:rPr>
      <w:caps/>
      <w:color w:val="FFFFFF"/>
      <w:sz w:val="32"/>
    </w:rPr>
  </w:style>
  <w:style w:type="character" w:customStyle="1" w:styleId="SubtitleChar">
    <w:name w:val="Subtitle Char"/>
    <w:basedOn w:val="DefaultParagraphFont"/>
    <w:link w:val="Subtitle"/>
    <w:uiPriority w:val="11"/>
    <w:rsid w:val="003B093E"/>
    <w:rPr>
      <w:rFonts w:ascii="Arial" w:eastAsia="Times New Roman" w:hAnsi="Arial" w:cs="Times New Roman"/>
      <w:caps/>
      <w:color w:val="FFFFFF"/>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CA59D5"/>
    <w:rPr>
      <w:b/>
      <w:bCs/>
    </w:rPr>
  </w:style>
  <w:style w:type="character" w:styleId="IntenseEmphasis">
    <w:name w:val="Intense Emphasis"/>
    <w:basedOn w:val="DefaultParagraphFont"/>
    <w:uiPriority w:val="21"/>
    <w:qFormat/>
    <w:locked/>
    <w:rsid w:val="001441F4"/>
    <w:rPr>
      <w:i/>
      <w:iCs/>
      <w:color w:val="78BF42"/>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customStyle="1" w:styleId="iinstructions">
    <w:name w:val="# iinstructions"/>
    <w:basedOn w:val="Normal"/>
    <w:link w:val="iinstructionsChar"/>
    <w:qFormat/>
    <w:locked/>
    <w:rsid w:val="00854053"/>
    <w:pPr>
      <w:spacing w:before="60" w:after="120"/>
    </w:pPr>
    <w:rPr>
      <w:color w:val="auto"/>
    </w:rPr>
  </w:style>
  <w:style w:type="character" w:customStyle="1" w:styleId="iinstructionsChar">
    <w:name w:val="# iinstructions Char"/>
    <w:basedOn w:val="DefaultParagraphFont"/>
    <w:link w:val="iinstructions"/>
    <w:rsid w:val="00854053"/>
    <w:rPr>
      <w:rFonts w:ascii="Arial" w:eastAsia="Times New Roman" w:hAnsi="Arial" w:cs="Times New Roman"/>
      <w:sz w:val="18"/>
      <w:szCs w:val="20"/>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DF7534"/>
    <w:rPr>
      <w:bCs/>
      <w:color w:val="FFFFFF" w:themeColor="background1"/>
      <w:sz w:val="44"/>
    </w:rPr>
  </w:style>
  <w:style w:type="paragraph" w:customStyle="1" w:styleId="Tabletitle">
    <w:name w:val="Table title"/>
    <w:basedOn w:val="Normal"/>
    <w:qFormat/>
    <w:rsid w:val="001575E7"/>
    <w:pPr>
      <w:spacing w:before="60" w:after="60"/>
    </w:pPr>
    <w:rPr>
      <w:color w:val="FFFFFF" w:themeColor="background1"/>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1575E7"/>
    <w:pPr>
      <w:spacing w:after="200"/>
    </w:pPr>
  </w:style>
  <w:style w:type="paragraph" w:customStyle="1" w:styleId="ListBullet1">
    <w:name w:val="List Bullet 1"/>
    <w:basedOn w:val="ListBullet"/>
    <w:qFormat/>
    <w:rsid w:val="001575E7"/>
  </w:style>
  <w:style w:type="paragraph" w:styleId="ListParagraph">
    <w:name w:val="List Paragraph"/>
    <w:basedOn w:val="Normal"/>
    <w:uiPriority w:val="34"/>
    <w:qFormat/>
    <w:locked/>
    <w:rsid w:val="003E6C9A"/>
    <w:pPr>
      <w:ind w:left="720"/>
      <w:contextualSpacing/>
    </w:pPr>
  </w:style>
  <w:style w:type="paragraph" w:customStyle="1" w:styleId="FooterOdd">
    <w:name w:val="Footer Odd"/>
    <w:next w:val="Footer"/>
    <w:rsid w:val="00BA7718"/>
    <w:pPr>
      <w:spacing w:after="0" w:line="200" w:lineRule="atLeast"/>
      <w:jc w:val="right"/>
    </w:pPr>
    <w:rPr>
      <w:rFonts w:eastAsia="Times New Roman" w:cs="Arial"/>
      <w:color w:val="000000" w:themeColor="text1"/>
      <w:spacing w:val="2"/>
      <w:sz w:val="16"/>
      <w:szCs w:val="20"/>
      <w:lang w:eastAsia="en-AU"/>
    </w:rPr>
  </w:style>
  <w:style w:type="paragraph" w:customStyle="1" w:styleId="FooterOddPageNumber">
    <w:name w:val="Footer Odd Page Number"/>
    <w:basedOn w:val="FooterOdd"/>
    <w:rsid w:val="00BA7718"/>
    <w:pPr>
      <w:ind w:right="28"/>
    </w:pPr>
    <w:rPr>
      <w:b/>
      <w:color w:val="201547" w:themeColor="accent1"/>
    </w:rPr>
  </w:style>
  <w:style w:type="table" w:customStyle="1" w:styleId="TableAsPlaceholder">
    <w:name w:val="Table As Placeholder"/>
    <w:basedOn w:val="TableNormal"/>
    <w:uiPriority w:val="99"/>
    <w:qFormat/>
    <w:rsid w:val="00BA7718"/>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locked/>
    <w:rsid w:val="0061661B"/>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61661B"/>
    <w:rPr>
      <w:rFonts w:ascii="Times New Roman" w:eastAsia="Times New Roman" w:hAnsi="Times New Roman" w:cs="Times New Roman"/>
      <w:sz w:val="26"/>
      <w:szCs w:val="20"/>
      <w:lang w:eastAsia="en-AU"/>
    </w:rPr>
  </w:style>
  <w:style w:type="table" w:styleId="GridTable4-Accent2">
    <w:name w:val="Grid Table 4 Accent 2"/>
    <w:basedOn w:val="TableNormal"/>
    <w:uiPriority w:val="49"/>
    <w:locked/>
    <w:rsid w:val="0061661B"/>
    <w:pPr>
      <w:spacing w:after="0" w:line="240" w:lineRule="auto"/>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insideV w:val="nil"/>
        </w:tcBorders>
        <w:shd w:val="clear" w:color="auto" w:fill="53565A" w:themeFill="accent2"/>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3-Accent1">
    <w:name w:val="List Table 3 Accent 1"/>
    <w:basedOn w:val="TableNormal"/>
    <w:uiPriority w:val="48"/>
    <w:locked/>
    <w:rsid w:val="0061661B"/>
    <w:pPr>
      <w:spacing w:after="0" w:line="240" w:lineRule="auto"/>
    </w:p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jpr.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jpr.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xhe7\Downloads\Report-A4-Landscape.dotx" TargetMode="External"/></Relationship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im_x0020_notes xmlns="97294fa0-7ac3-4fb8-b5f1-fec69ca7f6eb" xsi:nil="true"/>
    <File_x0020_Number xmlns="97294fa0-7ac3-4fb8-b5f1-fec69ca7f6eb" xsi:nil="true"/>
    <Year xmlns="97294fa0-7ac3-4fb8-b5f1-fec69ca7f6eb" xsi:nil="true"/>
    <Event_x0020_Date xmlns="97294fa0-7ac3-4fb8-b5f1-fec69ca7f6eb" xsi:nil="true"/>
    <Category1 xmlns="97294fa0-7ac3-4fb8-b5f1-fec69ca7f6eb">Capital works</Category1>
    <KpiDescription12 xmlns="97294fa0-7ac3-4fb8-b5f1-fec69ca7f6eb" xsi:nil="true"/>
    <Project xmlns="97294fa0-7ac3-4fb8-b5f1-fec69ca7f6eb" xsi:nil="true"/>
    <Region xmlns="97294fa0-7ac3-4fb8-b5f1-fec69ca7f6eb">All</Region>
    <Project_x0020_Stage xmlns="97294fa0-7ac3-4fb8-b5f1-fec69ca7f6eb" xsi:nil="true"/>
    <Group1 xmlns="97294fa0-7ac3-4fb8-b5f1-fec69ca7f6eb">Local Government and suburban development</Group1>
    <Date_x0020_Received xmlns="97294fa0-7ac3-4fb8-b5f1-fec69ca7f6eb" xsi:nil="true"/>
    <Event_x0020_Name xmlns="97294fa0-7ac3-4fb8-b5f1-fec69ca7f6eb" xsi:nil="true"/>
    <DELWP_x0020_Document_x0020_ID xmlns="97294fa0-7ac3-4fb8-b5f1-fec69ca7f6eb" xsi:nil="true"/>
    <Date_x0020_of_x0020_Original xmlns="97294fa0-7ac3-4fb8-b5f1-fec69ca7f6eb" xsi:nil="true"/>
    <Team xmlns="97294fa0-7ac3-4fb8-b5f1-fec69ca7f6eb">All</Team>
    <Department1 xmlns="97294fa0-7ac3-4fb8-b5f1-fec69ca7f6eb">Department of Jobs Precincts and Regions</Department1>
    <Unit xmlns="97294fa0-7ac3-4fb8-b5f1-fec69ca7f6eb">All</Unit>
    <Dissemination_x0020_Limiting_x0020_Marker xmlns="97294fa0-7ac3-4fb8-b5f1-fec69ca7f6eb">Official Use Only</Dissemination_x0020_Limiting_x0020_Marker>
    <FinancialYear xmlns="97294fa0-7ac3-4fb8-b5f1-fec69ca7f6eb" xsi:nil="true"/>
    <URL xmlns="http://schemas.microsoft.com/sharepoint/v3">
      <Url xsi:nil="true"/>
      <Description xsi:nil="true"/>
    </URL>
    <Review_x0020_Date xmlns="97294fa0-7ac3-4fb8-b5f1-fec69ca7f6eb" xsi:nil="true"/>
    <Country xmlns="97294fa0-7ac3-4fb8-b5f1-fec69ca7f6eb" xsi:nil="true"/>
    <TRIM_x0020_Container_x0020_Record_x0020_Number xmlns="97294fa0-7ac3-4fb8-b5f1-fec69ca7f6eb" xsi:nil="true"/>
    <Originating_x0020_Author xmlns="97294fa0-7ac3-4fb8-b5f1-fec69ca7f6eb" xsi:nil="true"/>
    <Non_x0020_DELWP_x0020_Region xmlns="97294fa0-7ac3-4fb8-b5f1-fec69ca7f6eb" xsi:nil="true"/>
    <Security_x0020_classification xmlns="97294fa0-7ac3-4fb8-b5f1-fec69ca7f6eb">Unclassified</Security_x0020_classification>
    <RoutingRuleDescription xmlns="http://schemas.microsoft.com/sharepoint/v3" xsi:nil="true"/>
    <Local_x0020_Government_x0020_Authority_x0020__x0028_LGA_x0029_ xmlns="97294fa0-7ac3-4fb8-b5f1-fec69ca7f6eb" xsi:nil="true"/>
    <Reference_x0020_Number xmlns="97294fa0-7ac3-4fb8-b5f1-fec69ca7f6eb" xsi:nil="true"/>
    <Policy_x0020_Area xmlns="97294fa0-7ac3-4fb8-b5f1-fec69ca7f6eb" xsi:nil="true"/>
    <Stakeholders-Delivery_x0020_Partners xmlns="97294fa0-7ac3-4fb8-b5f1-fec69ca7f6eb" xsi:nil="true"/>
    <Date1 xmlns="97294fa0-7ac3-4fb8-b5f1-fec69ca7f6eb" xsi:nil="true"/>
    <Branch xmlns="97294fa0-7ac3-4fb8-b5f1-fec69ca7f6eb">Local Government Victoria</Branch>
    <wic_System_Copyright xmlns="http://schemas.microsoft.com/sharepoint/v3/fields">State of Victoria</wic_System_Copyright>
    <CCSFP_x0020_Program xmlns="97294fa0-7ac3-4fb8-b5f1-fec69ca7f6eb" xsi:nil="true"/>
    <TRIM_x0020_Container_x0020_Title xmlns="97294fa0-7ac3-4fb8-b5f1-fec69ca7f6eb" xsi:nil="true"/>
    <Meeting_x0020_Template xmlns="97294fa0-7ac3-4fb8-b5f1-fec69ca7f6eb" xsi:nil="true"/>
    <KpiDescription1 xmlns="97294fa0-7ac3-4fb8-b5f1-fec69ca7f6eb" xsi:nil="true"/>
    <Resolution xmlns="97294fa0-7ac3-4fb8-b5f1-fec69ca7f6eb" xsi:nil="true"/>
    <LGI_x0020_Topic xmlns="97294fa0-7ac3-4fb8-b5f1-fec69ca7f6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LGV - Innovation and Performance" ma:contentTypeID="0x010100831AB7F96AEF13458F043989706E7E3E00523315F8C2379042993FED9FBDED4778" ma:contentTypeVersion="48" ma:contentTypeDescription="" ma:contentTypeScope="" ma:versionID="4227606d462f700d4d533f5aa83662e5">
  <xsd:schema xmlns:xsd="http://www.w3.org/2001/XMLSchema" xmlns:xs="http://www.w3.org/2001/XMLSchema" xmlns:p="http://schemas.microsoft.com/office/2006/metadata/properties" xmlns:ns1="http://schemas.microsoft.com/sharepoint/v3" xmlns:ns2="97294fa0-7ac3-4fb8-b5f1-fec69ca7f6eb" xmlns:ns3="http://schemas.microsoft.com/sharepoint/v3/fields" xmlns:ns4="7be4c3ab-4cbe-437f-bec2-943f9cac8f5d" targetNamespace="http://schemas.microsoft.com/office/2006/metadata/properties" ma:root="true" ma:fieldsID="3802110a71f53e3b1cfda4863a39457d" ns1:_="" ns2:_="" ns3:_="" ns4:_="">
    <xsd:import namespace="http://schemas.microsoft.com/sharepoint/v3"/>
    <xsd:import namespace="97294fa0-7ac3-4fb8-b5f1-fec69ca7f6eb"/>
    <xsd:import namespace="http://schemas.microsoft.com/sharepoint/v3/fields"/>
    <xsd:import namespace="7be4c3ab-4cbe-437f-bec2-943f9cac8f5d"/>
    <xsd:element name="properties">
      <xsd:complexType>
        <xsd:sequence>
          <xsd:element name="documentManagement">
            <xsd:complexType>
              <xsd:all>
                <xsd:element ref="ns1:RoutingRuleDescription" minOccurs="0"/>
                <xsd:element ref="ns2:DELWP_x0020_Document_x0020_ID" minOccurs="0"/>
                <xsd:element ref="ns2:Branch" minOccurs="0"/>
                <xsd:element ref="ns2:Group1" minOccurs="0"/>
                <xsd:element ref="ns2:Department1" minOccurs="0"/>
                <xsd:element ref="ns2:Unit" minOccurs="0"/>
                <xsd:element ref="ns2:Dissemination_x0020_Limiting_x0020_Marker" minOccurs="0"/>
                <xsd:element ref="ns2:Security_x0020_classification" minOccurs="0"/>
                <xsd:element ref="ns2:FinancialYear" minOccurs="0"/>
                <xsd:element ref="ns2:Year" minOccurs="0"/>
                <xsd:element ref="ns2:TRIM_x0020_Container_x0020_Record_x0020_Number" minOccurs="0"/>
                <xsd:element ref="ns2:TRIM_x0020_Container_x0020_Title" minOccurs="0"/>
                <xsd:element ref="ns2:Trim_x0020_notes" minOccurs="0"/>
                <xsd:element ref="ns2:Team" minOccurs="0"/>
                <xsd:element ref="ns2:Reference_x0020_Number" minOccurs="0"/>
                <xsd:element ref="ns2:Meeting_x0020_Template" minOccurs="0"/>
                <xsd:element ref="ns2:Date_x0020_Received" minOccurs="0"/>
                <xsd:element ref="ns2:Date_x0020_of_x0020_Original" minOccurs="0"/>
                <xsd:element ref="ns2:Originating_x0020_Author" minOccurs="0"/>
                <xsd:element ref="ns2:Local_x0020_Government_x0020_Authority_x0020__x0028_LGA_x0029_" minOccurs="0"/>
                <xsd:element ref="ns2:Event_x0020_Date" minOccurs="0"/>
                <xsd:element ref="ns2:Event_x0020_Name" minOccurs="0"/>
                <xsd:element ref="ns3:wic_System_Copyright" minOccurs="0"/>
                <xsd:element ref="ns2:File_x0020_Number" minOccurs="0"/>
                <xsd:element ref="ns2:Review_x0020_Date" minOccurs="0"/>
                <xsd:element ref="ns2:Country" minOccurs="0"/>
                <xsd:element ref="ns2:Non_x0020_DELWP_x0020_Region" minOccurs="0"/>
                <xsd:element ref="ns2:Resolution" minOccurs="0"/>
                <xsd:element ref="ns2:Stakeholders-Delivery_x0020_Partners" minOccurs="0"/>
                <xsd:element ref="ns2:Policy_x0020_Area" minOccurs="0"/>
                <xsd:element ref="ns2:Project_x0020_Stage" minOccurs="0"/>
                <xsd:element ref="ns2:Project" minOccurs="0"/>
                <xsd:element ref="ns2:Region" minOccurs="0"/>
                <xsd:element ref="ns2:CCSFP_x0020_Program" minOccurs="0"/>
                <xsd:element ref="ns2:LGI_x0020_Topic" minOccurs="0"/>
                <xsd:element ref="ns1:URL" minOccurs="0"/>
                <xsd:element ref="ns2:Category1" minOccurs="0"/>
                <xsd:element ref="ns2:Date1" minOccurs="0"/>
                <xsd:element ref="ns2:KpiDescription1" minOccurs="0"/>
                <xsd:element ref="ns2:KpiDescription12"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URL" ma:index="4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ELWP_x0020_Document_x0020_ID" ma:index="9" nillable="true" ma:displayName="DELWP Document ID" ma:hidden="true" ma:internalName="DELWP_x0020_Document_x0020_ID" ma:readOnly="false">
      <xsd:simpleType>
        <xsd:restriction base="dms:Text">
          <xsd:maxLength value="255"/>
        </xsd:restriction>
      </xsd:simpleType>
    </xsd:element>
    <xsd:element name="Branch" ma:index="10"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Governance and Programs"/>
          <xsd:enumeration value="Sector Performance and Development"/>
          <xsd:enumeration value="Sector Development"/>
        </xsd:restriction>
      </xsd:simpleType>
    </xsd:element>
    <xsd:element name="Group1" ma:index="11"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restriction>
      </xsd:simpleType>
    </xsd:element>
    <xsd:element name="Department1" ma:index="12"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Unit" ma:index="13" nillable="true" ma:displayName="Unit" ma:default="All"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Smart Planning"/>
          <xsd:enumeration value="Procurement"/>
          <xsd:enumeration value="Funding Program"/>
          <xsd:enumeration value="Funding Programs"/>
          <xsd:enumeration value="Strategy, Innovation and Engagement"/>
        </xsd:restriction>
      </xsd:simpleType>
    </xsd:element>
    <xsd:element name="Dissemination_x0020_Limiting_x0020_Marker" ma:index="14" nillable="true" ma:displayName="Dissemination Limiting Marker" ma:default="Official Use Only" ma:format="Dropdown" ma:internalName="Dissemination_x0020_Limiting_x0020_Marker" ma:readOnly="false">
      <xsd:simpleType>
        <xsd:restriction base="dms:Choice">
          <xsd:enumeration value="Official Use Only"/>
          <xsd:enumeration value="Unclassified"/>
          <xsd:enumeration value="None"/>
          <xsd:enumeration value="FOUO"/>
          <xsd:enumeration value="Cabinet-in-Confidence"/>
          <xsd:enumeration value="Sensitive"/>
          <xsd:enumeration value="Sensitive: Personal"/>
          <xsd:enumeration value="Sector Performance and Development"/>
        </xsd:restriction>
      </xsd:simpleType>
    </xsd:element>
    <xsd:element name="Security_x0020_classification" ma:index="15" nillable="true" ma:displayName="Security Classification" ma:default="Unclassified" ma:format="Dropdown" ma:internalName="Security_x0020_classification" ma:readOnly="false">
      <xsd:simpleType>
        <xsd:restriction base="dms:Choice">
          <xsd:enumeration value="Unclassified"/>
          <xsd:enumeration value="Public"/>
          <xsd:enumeration value="FOUO"/>
        </xsd:restriction>
      </xsd:simpleType>
    </xsd:element>
    <xsd:element name="FinancialYear" ma:index="16" nillable="true" ma:displayName="Financial Year" ma:internalName="FinancialYear">
      <xsd:complexType>
        <xsd:complexContent>
          <xsd:extension base="dms:MultiChoiceFillIn">
            <xsd:sequence>
              <xsd:element name="Value" maxOccurs="unbounded" minOccurs="0" nillable="true">
                <xsd:simpleType>
                  <xsd:union memberTypes="dms:Text">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union>
                </xsd:simpleType>
              </xsd:element>
            </xsd:sequence>
          </xsd:extension>
        </xsd:complexContent>
      </xsd:complexType>
    </xsd:element>
    <xsd:element name="Year" ma:index="17"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TRIM_x0020_Container_x0020_Record_x0020_Number" ma:index="18"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19" nillable="true" ma:displayName="TRIM Container Title" ma:internalName="TRIM_x0020_Container_x0020_Title" ma:readOnly="false">
      <xsd:simpleType>
        <xsd:restriction base="dms:Text">
          <xsd:maxLength value="255"/>
        </xsd:restriction>
      </xsd:simpleType>
    </xsd:element>
    <xsd:element name="Trim_x0020_notes" ma:index="20" nillable="true" ma:displayName="Trim notes" ma:internalName="Trim_x0020_notes" ma:readOnly="false">
      <xsd:simpleType>
        <xsd:restriction base="dms:Note">
          <xsd:maxLength value="255"/>
        </xsd:restriction>
      </xsd:simpleType>
    </xsd:element>
    <xsd:element name="Team" ma:index="21" nillable="true" ma:displayName="Team" ma:default="All" ma:format="Dropdown" ma:internalName="Team" ma:readOnly="false">
      <xsd:simpleType>
        <xsd:restriction base="dms:Choice">
          <xsd:enumeration value="All"/>
          <xsd:enumeration value="Funding Programs"/>
          <xsd:enumeration value="Governance and Legislation"/>
          <xsd:enumeration value="Policy and Legislation"/>
          <xsd:enumeration value="Policy and Strategy"/>
          <xsd:enumeration value="Portfolio Strategy"/>
          <xsd:enumeration value="Sourcing and Contracts"/>
          <xsd:enumeration value="Waterway Health"/>
          <xsd:enumeration value="Victoria Grants Commission"/>
          <xsd:enumeration value="Project Management Office"/>
          <xsd:enumeration value="Group Business Management"/>
          <xsd:enumeration value="Local Government Victoria"/>
          <xsd:enumeration value="Strategic Integration"/>
          <xsd:enumeration value="Local Infrastructure"/>
        </xsd:restriction>
      </xsd:simpleType>
    </xsd:element>
    <xsd:element name="Reference_x0020_Number" ma:index="22" nillable="true" ma:displayName="Reference Number" ma:internalName="Reference_x0020_Number">
      <xsd:simpleType>
        <xsd:restriction base="dms:Text">
          <xsd:maxLength value="255"/>
        </xsd:restriction>
      </xsd:simpleType>
    </xsd:element>
    <xsd:element name="Meeting_x0020_Template" ma:index="23" nillable="true" ma:displayName="Meeting Template" ma:format="Dropdown" ma:internalName="Meeting_x0020_Template">
      <xsd:simpleType>
        <xsd:restriction base="dms:Choice">
          <xsd:enumeration value="LGMAP"/>
          <xsd:enumeration value="LGPro"/>
          <xsd:enumeration value="MAV"/>
          <xsd:enumeration value="Meeting Templates"/>
          <xsd:enumeration value="VLGA"/>
        </xsd:restriction>
      </xsd:simpleType>
    </xsd:element>
    <xsd:element name="Date_x0020_Received" ma:index="24" nillable="true" ma:displayName="Date Received" ma:format="DateOnly" ma:internalName="Date_x0020_Received">
      <xsd:simpleType>
        <xsd:restriction base="dms:DateTime"/>
      </xsd:simpleType>
    </xsd:element>
    <xsd:element name="Date_x0020_of_x0020_Original" ma:index="25" nillable="true" ma:displayName="Date of Original" ma:format="DateOnly" ma:internalName="Date_x0020_of_x0020_Original" ma:readOnly="false">
      <xsd:simpleType>
        <xsd:restriction base="dms:DateTime"/>
      </xsd:simpleType>
    </xsd:element>
    <xsd:element name="Originating_x0020_Author" ma:index="26" nillable="true" ma:displayName="Originating Author" ma:internalName="Originating_x0020_Author" ma:readOnly="false">
      <xsd:simpleType>
        <xsd:restriction base="dms:Text">
          <xsd:maxLength value="255"/>
        </xsd:restriction>
      </xsd:simpleType>
    </xsd:element>
    <xsd:element name="Local_x0020_Government_x0020_Authority_x0020__x0028_LGA_x0029_" ma:index="27"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enumeration value="All LGAs"/>
          <xsd:enumeration value="All Non-Metro LGAs"/>
        </xsd:restriction>
      </xsd:simpleType>
    </xsd:element>
    <xsd:element name="Event_x0020_Date" ma:index="28" nillable="true" ma:displayName="Event Date" ma:format="DateOnly" ma:internalName="Event_x0020_Date" ma:readOnly="false">
      <xsd:simpleType>
        <xsd:restriction base="dms:DateTime"/>
      </xsd:simpleType>
    </xsd:element>
    <xsd:element name="Event_x0020_Name" ma:index="29" nillable="true" ma:displayName="Event Name" ma:internalName="Event_x0020_Name" ma:readOnly="false">
      <xsd:simpleType>
        <xsd:restriction base="dms:Text">
          <xsd:maxLength value="255"/>
        </xsd:restriction>
      </xsd:simpleType>
    </xsd:element>
    <xsd:element name="File_x0020_Number" ma:index="31" nillable="true" ma:displayName="File Number" ma:internalName="File_x0020_Number">
      <xsd:simpleType>
        <xsd:restriction base="dms:Text">
          <xsd:maxLength value="255"/>
        </xsd:restriction>
      </xsd:simpleType>
    </xsd:element>
    <xsd:element name="Review_x0020_Date" ma:index="32" nillable="true" ma:displayName="Review Date" ma:format="DateOnly" ma:internalName="Review_x0020_Date">
      <xsd:simpleType>
        <xsd:restriction base="dms:DateTime"/>
      </xsd:simpleType>
    </xsd:element>
    <xsd:element name="Country" ma:index="33" nillable="true" ma:displayName="Country" ma:internalName="Country">
      <xsd:simpleType>
        <xsd:restriction base="dms:Text">
          <xsd:maxLength value="255"/>
        </xsd:restriction>
      </xsd:simpleType>
    </xsd:element>
    <xsd:element name="Non_x0020_DELWP_x0020_Region" ma:index="34" nillable="true" ma:displayName="Non DELWP Region" ma:internalName="Non_x0020_DELWP_x0020_Region">
      <xsd:simpleType>
        <xsd:restriction base="dms:Text">
          <xsd:maxLength value="255"/>
        </xsd:restriction>
      </xsd:simpleType>
    </xsd:element>
    <xsd:element name="Resolution" ma:index="35" nillable="true" ma:displayName="Resolution" ma:internalName="Resolution" ma:readOnly="false">
      <xsd:simpleType>
        <xsd:restriction base="dms:Text">
          <xsd:maxLength value="255"/>
        </xsd:restriction>
      </xsd:simpleType>
    </xsd:element>
    <xsd:element name="Stakeholders-Delivery_x0020_Partners" ma:index="36" nillable="true" ma:displayName="LGV Stakeholders-Delivery Partners" ma:description="List containing individual stakeholders and delivery partner names that may be tagged for retrieval purposes, relevant to Local Government Victoria and managed by Inter- Governmental Relations" ma:list="{fd6acfcf-590b-4c99-bab7-fb4120d611ba}" ma:internalName="Stakeholders_x002d_Delivery_x0020_Partners" ma:readOnly="false" ma:showField="Title" ma:web="97294fa0-7ac3-4fb8-b5f1-fec69ca7f6eb">
      <xsd:simpleType>
        <xsd:restriction base="dms:Lookup"/>
      </xsd:simpleType>
    </xsd:element>
    <xsd:element name="Policy_x0020_Area" ma:index="37" nillable="true" ma:displayName="Policy Area" ma:list="{6d905eed-cd79-4daa-8247-e12acf6a4ca0}" ma:internalName="Policy_x0020_Area" ma:showField="Title" ma:web="97294fa0-7ac3-4fb8-b5f1-fec69ca7f6eb">
      <xsd:simpleType>
        <xsd:restriction base="dms:Lookup"/>
      </xsd:simpleType>
    </xsd:element>
    <xsd:element name="Project_x0020_Stage" ma:index="38" nillable="true" ma:displayName="Project Stage" ma:list="{af140a15-93d6-478c-a00f-e7d745df1995}" ma:internalName="Project_x0020_Stage" ma:readOnly="false" ma:showField="Title" ma:web="97294fa0-7ac3-4fb8-b5f1-fec69ca7f6eb">
      <xsd:simpleType>
        <xsd:restriction base="dms:Lookup"/>
      </xsd:simpleType>
    </xsd:element>
    <xsd:element name="Project" ma:index="39" nillable="true" ma:displayName="Project" ma:list="{511a8ee2-c403-42a0-944d-868aac6d377d}" ma:internalName="Project" ma:readOnly="false" ma:showField="Title" ma:web="97294fa0-7ac3-4fb8-b5f1-fec69ca7f6eb">
      <xsd:simpleType>
        <xsd:restriction base="dms:Lookup"/>
      </xsd:simpleType>
    </xsd:element>
    <xsd:element name="Region" ma:index="40" nillable="true" ma:displayName="Region" ma:default="All" ma:format="Dropdown" ma:internalName="Region" ma:readOnly="false">
      <xsd:simpleType>
        <xsd:restriction base="dms:Choice">
          <xsd:enumeration value="All"/>
          <xsd:enumeration value="Barwon South West"/>
          <xsd:enumeration value="Eastern Metropolitan"/>
          <xsd:enumeration value="Gippsland"/>
          <xsd:enumeration value="Grampians"/>
          <xsd:enumeration value="Hume"/>
          <xsd:enumeration value="Loddon Mallee"/>
          <xsd:enumeration value="North West Metropolitan"/>
          <xsd:enumeration value="Port Phillip"/>
          <xsd:enumeration value="Southern Metropolitan"/>
        </xsd:restriction>
      </xsd:simpleType>
    </xsd:element>
    <xsd:element name="CCSFP_x0020_Program" ma:index="41" nillable="true" ma:displayName="CCSFP Program" ma:format="Dropdown" ma:internalName="CCSFP_x0020_Program" ma:readOnly="false">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restriction>
      </xsd:simpleType>
    </xsd:element>
    <xsd:element name="LGI_x0020_Topic" ma:index="42" nillable="true" ma:displayName="LGI Topic" ma:format="Dropdown" ma:internalName="LGI_x0020_Topic">
      <xsd:simpleType>
        <xsd:restriction base="dms:Choice">
          <xsd:enumeration value="Collaborative Councils Sustainability Fund Partnership Program"/>
          <xsd:enumeration value="Rural Council transformation Program"/>
          <xsd:enumeration value="innovation (General)"/>
          <xsd:enumeration value="Rural Council transformation Program"/>
        </xsd:restriction>
      </xsd:simpleType>
    </xsd:element>
    <xsd:element name="Category1" ma:index="44" nillable="true" ma:displayName="Category" ma:default="Capital works" ma:format="Dropdown" ma:internalName="Category1" ma:readOnly="false">
      <xsd:simpleType>
        <xsd:restriction base="dms:Choice">
          <xsd:enumeration value="Capital works"/>
        </xsd:restriction>
      </xsd:simpleType>
    </xsd:element>
    <xsd:element name="Date1" ma:index="45" nillable="true" ma:displayName="Date" ma:format="DateOnly" ma:internalName="Date1">
      <xsd:simpleType>
        <xsd:restriction base="dms:DateTime"/>
      </xsd:simpleType>
    </xsd:element>
    <xsd:element name="KpiDescription1" ma:index="46" nillable="true" ma:displayName="KpiDescription" ma:internalName="KpiDescription1">
      <xsd:simpleType>
        <xsd:restriction base="dms:Text">
          <xsd:maxLength value="255"/>
        </xsd:restriction>
      </xsd:simpleType>
    </xsd:element>
    <xsd:element name="KpiDescription12" ma:index="47" nillable="true" ma:displayName="KpiDescription" ma:internalName="KpiDescription12">
      <xsd:simpleType>
        <xsd:restriction base="dms:Text">
          <xsd:maxLength value="255"/>
        </xsd:restrictio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0" nillable="true" ma:displayName="Copyright" ma:default="State of Victoria" ma:internalName="wic_System_Copyr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4c3ab-4cbe-437f-bec2-943f9cac8f5d"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AutoTags" ma:index="53" nillable="true" ma:displayName="Tags" ma:internalName="MediaServiceAutoTags"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F585-6083-4CAF-9F55-6FC4EC0F0494}">
  <ds:schemaRefs>
    <ds:schemaRef ds:uri="http://schemas.microsoft.com/sharepoint/v3/contenttype/forms"/>
  </ds:schemaRefs>
</ds:datastoreItem>
</file>

<file path=customXml/itemProps2.xml><?xml version="1.0" encoding="utf-8"?>
<ds:datastoreItem xmlns:ds="http://schemas.openxmlformats.org/officeDocument/2006/customXml" ds:itemID="{D844C3CE-AACE-4C6F-9169-E261726C507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7294fa0-7ac3-4fb8-b5f1-fec69ca7f6eb"/>
    <ds:schemaRef ds:uri="http://schemas.microsoft.com/office/2006/documentManagement/types"/>
    <ds:schemaRef ds:uri="http://schemas.microsoft.com/office/infopath/2007/PartnerControls"/>
    <ds:schemaRef ds:uri="7be4c3ab-4cbe-437f-bec2-943f9cac8f5d"/>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4A7B41EE-AF3D-496F-93EF-3DF5D1604A8F}">
  <ds:schemaRefs>
    <ds:schemaRef ds:uri="http://schemas.openxmlformats.org/officeDocument/2006/bibliography"/>
  </ds:schemaRefs>
</ds:datastoreItem>
</file>

<file path=customXml/itemProps4.xml><?xml version="1.0" encoding="utf-8"?>
<ds:datastoreItem xmlns:ds="http://schemas.openxmlformats.org/officeDocument/2006/customXml" ds:itemID="{491AA7F6-BB07-4AC7-B6CF-6A96F18A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7be4c3ab-4cbe-437f-bec2-943f9cac8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Report-A4-Landscape.dotx</Template>
  <TotalTime>0</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Summary of Changes - BPG Report of Operations 2020-21</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Changes - BPG Report of Operations 2020-21</dc:title>
  <dc:creator/>
  <cp:lastModifiedBy/>
  <cp:revision>1</cp:revision>
  <dcterms:created xsi:type="dcterms:W3CDTF">2022-02-11T01:19:00Z</dcterms:created>
  <dcterms:modified xsi:type="dcterms:W3CDTF">2022-02-23T02:32:00Z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0x010100831AB7F96AEF13458F043989706E7E3E00523315F8C2379042993FED9FBDED4778</vt:lpwstr>
  </property>
  <property fmtid="{D5CDD505-2E9C-101B-9397-08002B2CF9AE}" pid="3" name="MSIP_Label_d00a4df9-c942-4b09-b23a-6c1023f6de27_Enabled">
    <vt:lpwstr>true</vt:lpwstr>
  </property>
  <property fmtid="{D5CDD505-2E9C-101B-9397-08002B2CF9AE}" pid="4" name="MSIP_Label_d00a4df9-c942-4b09-b23a-6c1023f6de27_SetDate">
    <vt:lpwstr>2022-02-23T02:32:12Z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4c9c5e60-2ce1-4d38-af41-edc71bc39cf0</vt:lpwstr>
  </property>
  <property fmtid="{D5CDD505-2E9C-101B-9397-08002B2CF9AE}" pid="9" name="MSIP_Label_d00a4df9-c942-4b09-b23a-6c1023f6de27_ContentBits">
    <vt:lpwstr>3</vt:lpwstr>
  </property>
</Properties>
</file>