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8.xml" ContentType="application/vnd.ms-office.classificationlabels+xml"/>
  <Override PartName="/docMetadata/LabelInfo13.xml" ContentType="application/vnd.ms-office.classificationlabels+xml"/>
  <Override PartName="/docMetadata/LabelInfo21.xml" ContentType="application/vnd.ms-office.classificationlabels+xml"/>
  <Override PartName="/docMetadata/LabelInfo34.xml" ContentType="application/vnd.ms-office.classificationlabels+xml"/>
  <Override PartName="/docMetadata/LabelInfo3.xml" ContentType="application/vnd.ms-office.classificationlabels+xml"/>
  <Override PartName="/docMetadata/LabelInfo15.xml" ContentType="application/vnd.ms-office.classificationlabels+xml"/>
  <Override PartName="/docMetadata/LabelInfo29.xml" ContentType="application/vnd.ms-office.classificationlabels+xml"/>
  <Override PartName="/docMetadata/LabelInfo3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1.xml" ContentType="application/vnd.ms-office.classificationlabels+xml"/>
  <Override PartName="/docMetadata/LabelInfo19.xml" ContentType="application/vnd.ms-office.classificationlabels+xml"/>
  <Override PartName="/docMetadata/LabelInfo27.xml" ContentType="application/vnd.ms-office.classificationlabels+xml"/>
  <Override PartName="/docMetadata/LabelInfo32.xml" ContentType="application/vnd.ms-office.classificationlabels+xml"/>
  <Override PartName="/docMetadata/LabelInfo10.xml" ContentType="application/vnd.ms-office.classificationlabels+xml"/>
  <Override PartName="/docMetadata/LabelInfo14.xml" ContentType="application/vnd.ms-office.classificationlabels+xml"/>
  <Override PartName="/docMetadata/LabelInfo23.xml" ContentType="application/vnd.ms-office.classificationlabels+xml"/>
  <Override PartName="/docMetadata/LabelInfo36.xml" ContentType="application/vnd.ms-office.classificationlabels+xml"/>
  <Override PartName="/docMetadata/LabelInfo35.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18.xml" ContentType="application/vnd.ms-office.classificationlabels+xml"/>
  <Override PartName="/docMetadata/LabelInfo26.xml" ContentType="application/vnd.ms-office.classificationlabels+xml"/>
  <Override PartName="/docMetadata/LabelInfo31.xml" ContentType="application/vnd.ms-office.classificationlabels+xml"/>
  <Override PartName="/docMetadata/LabelInfo2.xml" ContentType="application/vnd.ms-office.classificationlabels+xml"/>
  <Override PartName="/docMetadata/LabelInfo9.xml" ContentType="application/vnd.ms-office.classificationlabels+xml"/>
  <Override PartName="/docMetadata/LabelInfo17.xml" ContentType="application/vnd.ms-office.classificationlabels+xml"/>
  <Override PartName="/docMetadata/LabelInfo22.xml" ContentType="application/vnd.ms-office.classificationlabels+xml"/>
  <Override PartName="/docMetadata/LabelInfo30.xml" ContentType="application/vnd.ms-office.classificationlabels+xml"/>
  <Override PartName="/docMetadata/LabelInfo16.xml" ContentType="application/vnd.ms-office.classificationlabels+xml"/>
  <Override PartName="/docMetadata/LabelInfo4.xml" ContentType="application/vnd.ms-office.classificationlabels+xml"/>
  <Override PartName="/docMetadata/LabelInfo24.xml" ContentType="application/vnd.ms-office.classificationlabels+xml"/>
  <Override PartName="/docMetadata/LabelInfo.xml" ContentType="application/vnd.ms-office.classificationlabels+xml"/>
  <Override PartName="/docMetadata/LabelInfo33.xml" ContentType="application/vnd.ms-office.classificationlabels+xml"/>
  <Override PartName="/docMetadata/LabelInfo28.xml" ContentType="application/vnd.ms-office.classificationlabels+xml"/>
  <Override PartName="/docMetadata/LabelInfo25.xml" ContentType="application/vnd.ms-office.classificationlabels+xml"/>
  <Override PartName="/docMetadata/LabelInfo20.xml" ContentType="application/vnd.ms-office.classificationlabels+xml"/>
  <Override PartName="/docMetadata/LabelInfo12.xml" ContentType="application/vnd.ms-office.classificationlabels+xml"/>
  <Override PartName="/docMetadata/LabelInfo7.xml" ContentType="application/vnd.ms-office.classificationlabels+xml"/>
</Types>
</file>

<file path=_rels/.rels><?xml version="1.0" encoding="UTF-8" standalone="yes"?>
<Relationships xmlns="http://schemas.openxmlformats.org/package/2006/relationships"><Relationship Id="rId13" Type="http://schemas.microsoft.com/office/2020/02/relationships/classificationlabels" Target="docMetadata/LabelInfo8.xml"/><Relationship Id="rId18" Type="http://schemas.microsoft.com/office/2020/02/relationships/classificationlabels" Target="docMetadata/LabelInfo13.xml"/><Relationship Id="rId26" Type="http://schemas.microsoft.com/office/2020/02/relationships/classificationlabels" Target="docMetadata/LabelInfo21.xml"/><Relationship Id="rId39" Type="http://schemas.microsoft.com/office/2020/02/relationships/classificationlabels" Target="docMetadata/LabelInfo34.xml"/><Relationship Id="rId8" Type="http://schemas.microsoft.com/office/2020/02/relationships/classificationlabels" Target="docMetadata/LabelInfo3.xml"/><Relationship Id="rId3" Type="http://schemas.openxmlformats.org/officeDocument/2006/relationships/extended-properties" Target="docProps/app.xml"/><Relationship Id="rId21" Type="http://schemas.microsoft.com/office/2020/02/relationships/classificationlabels" Target="docMetadata/LabelInfo15.xml"/><Relationship Id="rId34" Type="http://schemas.microsoft.com/office/2020/02/relationships/classificationlabels" Target="docMetadata/LabelInfo29.xml"/><Relationship Id="rId42" Type="http://schemas.microsoft.com/office/2020/02/relationships/classificationlabels" Target="docMetadata/LabelInfo37.xml"/><Relationship Id="rId7" Type="http://schemas.microsoft.com/office/2020/02/relationships/classificationlabels" Target="docMetadata/LabelInfo1.xml"/><Relationship Id="rId12" Type="http://schemas.microsoft.com/office/2020/02/relationships/classificationlabels" Target="docMetadata/LabelInfo6.xml"/><Relationship Id="rId17" Type="http://schemas.microsoft.com/office/2020/02/relationships/classificationlabels" Target="docMetadata/LabelInfo11.xml"/><Relationship Id="rId25" Type="http://schemas.microsoft.com/office/2020/02/relationships/classificationlabels" Target="docMetadata/LabelInfo19.xml"/><Relationship Id="rId33" Type="http://schemas.microsoft.com/office/2020/02/relationships/classificationlabels" Target="docMetadata/LabelInfo27.xml"/><Relationship Id="rId38" Type="http://schemas.microsoft.com/office/2020/02/relationships/classificationlabels" Target="docMetadata/LabelInfo32.xml"/><Relationship Id="rId2" Type="http://schemas.openxmlformats.org/package/2006/relationships/metadata/core-properties" Target="docProps/core.xml"/><Relationship Id="rId16" Type="http://schemas.microsoft.com/office/2020/02/relationships/classificationlabels" Target="docMetadata/LabelInfo10.xml"/><Relationship Id="rId20" Type="http://schemas.microsoft.com/office/2020/02/relationships/classificationlabels" Target="docMetadata/LabelInfo14.xml"/><Relationship Id="rId29" Type="http://schemas.microsoft.com/office/2020/02/relationships/classificationlabels" Target="docMetadata/LabelInfo23.xml"/><Relationship Id="rId41" Type="http://schemas.microsoft.com/office/2020/02/relationships/classificationlabels" Target="docMetadata/LabelInfo36.xml"/><Relationship Id="rId1" Type="http://schemas.openxmlformats.org/officeDocument/2006/relationships/officeDocument" Target="word/document.xml"/><Relationship Id="rId40" Type="http://schemas.microsoft.com/office/2020/02/relationships/classificationlabels" Target="docMetadata/LabelInfo35.xml"/><Relationship Id="rId6" Type="http://schemas.microsoft.com/office/2020/02/relationships/classificationlabels" Target="docMetadata/LabelInfo0.xml"/><Relationship Id="rId11" Type="http://schemas.microsoft.com/office/2020/02/relationships/classificationlabels" Target="docMetadata/LabelInfo5.xml"/><Relationship Id="rId24" Type="http://schemas.microsoft.com/office/2020/02/relationships/classificationlabels" Target="docMetadata/LabelInfo18.xml"/><Relationship Id="rId32" Type="http://schemas.microsoft.com/office/2020/02/relationships/classificationlabels" Target="docMetadata/LabelInfo26.xml"/><Relationship Id="rId37" Type="http://schemas.microsoft.com/office/2020/02/relationships/classificationlabels" Target="docMetadata/LabelInfo31.xml"/><Relationship Id="rId5" Type="http://schemas.microsoft.com/office/2020/02/relationships/classificationlabels" Target="docMetadata/LabelInfo2.xml"/><Relationship Id="rId15" Type="http://schemas.microsoft.com/office/2020/02/relationships/classificationlabels" Target="docMetadata/LabelInfo9.xml"/><Relationship Id="rId23" Type="http://schemas.microsoft.com/office/2020/02/relationships/classificationlabels" Target="docMetadata/LabelInfo17.xml"/><Relationship Id="rId28" Type="http://schemas.microsoft.com/office/2020/02/relationships/classificationlabels" Target="docMetadata/LabelInfo22.xml"/><Relationship Id="rId36" Type="http://schemas.microsoft.com/office/2020/02/relationships/classificationlabels" Target="docMetadata/LabelInfo30.xml"/><Relationship Id="rId19" Type="http://schemas.microsoft.com/office/2020/02/relationships/classificationlabels" Target="docMetadata/LabelInfo16.xml"/><Relationship Id="rId10" Type="http://schemas.microsoft.com/office/2020/02/relationships/classificationlabels" Target="docMetadata/LabelInfo4.xml"/><Relationship Id="rId31" Type="http://schemas.microsoft.com/office/2020/02/relationships/classificationlabels" Target="docMetadata/LabelInfo24.xml"/><Relationship Id="rId4" Type="http://schemas.openxmlformats.org/officeDocument/2006/relationships/custom-properties" Target="docProps/custom.xml"/><Relationship Id="rId43" Type="http://schemas.microsoft.com/office/2020/02/relationships/classificationlabels" Target="docMetadata/LabelInfo.xml"/><Relationship Id="rId35" Type="http://schemas.microsoft.com/office/2020/02/relationships/classificationlabels" Target="docMetadata/LabelInfo33.xml"/><Relationship Id="rId27" Type="http://schemas.microsoft.com/office/2020/02/relationships/classificationlabels" Target="docMetadata/LabelInfo28.xml"/><Relationship Id="rId30" Type="http://schemas.microsoft.com/office/2020/02/relationships/classificationlabels" Target="docMetadata/LabelInfo25.xml"/><Relationship Id="rId22" Type="http://schemas.microsoft.com/office/2020/02/relationships/classificationlabels" Target="docMetadata/LabelInfo20.xml"/><Relationship Id="rId14" Type="http://schemas.microsoft.com/office/2020/02/relationships/classificationlabels" Target="docMetadata/LabelInfo12.xml"/><Relationship Id="rId9" Type="http://schemas.microsoft.com/office/2020/02/relationships/classificationlabels" Target="docMetadata/LabelInfo7.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ED70" w14:textId="18EF3C8D" w:rsidR="00503D8C" w:rsidRDefault="00503D8C" w:rsidP="00503D8C">
      <w:pPr>
        <w:pStyle w:val="Heading1TopofPage"/>
        <w:framePr w:w="0" w:hRule="auto" w:hSpace="0" w:wrap="auto" w:vAnchor="margin" w:hAnchor="text" w:yAlign="inline"/>
        <w:numPr>
          <w:ilvl w:val="0"/>
          <w:numId w:val="0"/>
        </w:numPr>
        <w:spacing w:before="0"/>
        <w:ind w:right="237"/>
      </w:pPr>
      <w:bookmarkStart w:id="0" w:name="_GoBack"/>
      <w:bookmarkEnd w:id="0"/>
      <w:r>
        <w:t>Victorian Government Response to the Local Government Rating System Review Final Report</w:t>
      </w:r>
    </w:p>
    <w:p w14:paraId="414128D9" w14:textId="7530CBFF" w:rsidR="009C0038" w:rsidRDefault="00587A9F" w:rsidP="00587A9F">
      <w:r>
        <w:t xml:space="preserve">The Victorian Government committed to a review of the local government rating system </w:t>
      </w:r>
      <w:r w:rsidR="009C0038" w:rsidRPr="009C0038">
        <w:t>to ensure local government rates are fair and equitable for all the community.</w:t>
      </w:r>
      <w:r w:rsidR="009C0038">
        <w:t xml:space="preserve">  </w:t>
      </w:r>
      <w:r>
        <w:t xml:space="preserve">This commitment followed the implementation of the </w:t>
      </w:r>
      <w:r w:rsidR="009C0038">
        <w:t>Fair Go Rates System</w:t>
      </w:r>
      <w:r>
        <w:t xml:space="preserve"> in 2016, </w:t>
      </w:r>
      <w:r w:rsidR="009C0038">
        <w:t>putting a stop to</w:t>
      </w:r>
      <w:r>
        <w:t xml:space="preserve"> unsustainable rate rises by local governments </w:t>
      </w:r>
      <w:r w:rsidR="009C0038">
        <w:t xml:space="preserve">in </w:t>
      </w:r>
      <w:r>
        <w:t>the previous decade.</w:t>
      </w:r>
      <w:r w:rsidR="009C0038">
        <w:t xml:space="preserve"> </w:t>
      </w:r>
    </w:p>
    <w:p w14:paraId="16DC4CD7" w14:textId="1C129381" w:rsidR="00587A9F" w:rsidRDefault="00587A9F" w:rsidP="00587A9F">
      <w:r>
        <w:t>A Ministerial Panel was appointed</w:t>
      </w:r>
      <w:r w:rsidR="009C0038">
        <w:t xml:space="preserve"> in 2019</w:t>
      </w:r>
      <w:r>
        <w:t xml:space="preserve"> to lead the </w:t>
      </w:r>
      <w:r w:rsidR="009C0038">
        <w:t xml:space="preserve">rating system </w:t>
      </w:r>
      <w:r>
        <w:t>review</w:t>
      </w:r>
      <w:r w:rsidR="009C0038">
        <w:t xml:space="preserve"> in consultation with the community, ratepayers and councils</w:t>
      </w:r>
      <w:r>
        <w:t>.</w:t>
      </w:r>
    </w:p>
    <w:p w14:paraId="2889E9AF" w14:textId="62AD2BB5" w:rsidR="00587A9F" w:rsidRDefault="00587A9F" w:rsidP="00587A9F">
      <w:r>
        <w:t>The Government received the Ministerial Panel</w:t>
      </w:r>
      <w:r w:rsidR="7CDBF254">
        <w:t>’s final report</w:t>
      </w:r>
      <w:r>
        <w:t xml:space="preserve"> on 31 March 2020.</w:t>
      </w:r>
      <w:r w:rsidR="009C0038">
        <w:t xml:space="preserve"> </w:t>
      </w:r>
    </w:p>
    <w:p w14:paraId="4951D56B" w14:textId="546551E9" w:rsidR="00587A9F" w:rsidRDefault="07038DA4" w:rsidP="00587A9F">
      <w:r>
        <w:t>Extensive consultation by the Panel included many submissions and public forums to ensure the Victorian community could have a say, along with input from councils and many other stakeholders.</w:t>
      </w:r>
    </w:p>
    <w:p w14:paraId="71952359" w14:textId="137CCD9A" w:rsidR="00587A9F" w:rsidRDefault="00587A9F" w:rsidP="00587A9F">
      <w:r>
        <w:t>The Government is pleased the Panel’s work</w:t>
      </w:r>
      <w:r w:rsidR="2DC8D338">
        <w:t xml:space="preserve"> has</w:t>
      </w:r>
      <w:r>
        <w:t xml:space="preserve"> reaffirm</w:t>
      </w:r>
      <w:r w:rsidR="52EEF35C">
        <w:t>ed</w:t>
      </w:r>
      <w:r>
        <w:t xml:space="preserve"> the importance of the local government rating system to fund essential infrastructure and public services. Importantly, the Government notes that the Panel’s report is clear that the rating system is not broken and that </w:t>
      </w:r>
      <w:r w:rsidR="6198639B">
        <w:t>it</w:t>
      </w:r>
      <w:r>
        <w:t xml:space="preserve"> accord</w:t>
      </w:r>
      <w:r w:rsidR="72AAEC20">
        <w:t>s</w:t>
      </w:r>
      <w:r>
        <w:t xml:space="preserve"> with</w:t>
      </w:r>
      <w:r w:rsidR="7C198F35">
        <w:t xml:space="preserve"> many of the</w:t>
      </w:r>
      <w:r>
        <w:t xml:space="preserve"> common principles of good taxation.</w:t>
      </w:r>
      <w:r w:rsidR="009C0038">
        <w:t xml:space="preserve"> </w:t>
      </w:r>
    </w:p>
    <w:p w14:paraId="0A8C70DE" w14:textId="2B16A3E1" w:rsidR="00587A9F" w:rsidRDefault="00587A9F" w:rsidP="00587A9F">
      <w:r>
        <w:t xml:space="preserve">The Report’s 56 recommendations </w:t>
      </w:r>
      <w:r w:rsidR="64E53CBD">
        <w:t>cover a</w:t>
      </w:r>
      <w:r>
        <w:t xml:space="preserve"> broad </w:t>
      </w:r>
      <w:r w:rsidR="252AE37C">
        <w:t>range</w:t>
      </w:r>
      <w:r>
        <w:t xml:space="preserve"> of reforms</w:t>
      </w:r>
      <w:r w:rsidR="414B77D3">
        <w:t>,</w:t>
      </w:r>
      <w:r>
        <w:t xml:space="preserve"> from major legislative change to small administrative improvements, with</w:t>
      </w:r>
      <w:r w:rsidR="545CD99B">
        <w:t xml:space="preserve"> both</w:t>
      </w:r>
      <w:r>
        <w:t xml:space="preserve"> short- and long-term implications.</w:t>
      </w:r>
      <w:r w:rsidR="009C0038">
        <w:t xml:space="preserve"> </w:t>
      </w:r>
    </w:p>
    <w:p w14:paraId="4157DEAC" w14:textId="2B05B125" w:rsidR="00587A9F" w:rsidRDefault="000F4ADE" w:rsidP="00587A9F">
      <w:r>
        <w:t>The Report includes recommendations for s</w:t>
      </w:r>
      <w:r w:rsidR="00587A9F">
        <w:t xml:space="preserve">ubstantial reforms </w:t>
      </w:r>
      <w:r>
        <w:t>to</w:t>
      </w:r>
      <w:r w:rsidR="05D70E28">
        <w:t xml:space="preserve"> </w:t>
      </w:r>
      <w:r w:rsidR="00587A9F">
        <w:t xml:space="preserve">general rates and rate exemptions under the </w:t>
      </w:r>
      <w:r w:rsidR="00587A9F" w:rsidRPr="0F5C20B5">
        <w:rPr>
          <w:i/>
          <w:iCs/>
        </w:rPr>
        <w:t>Local Government Act 1989</w:t>
      </w:r>
      <w:r w:rsidR="00587A9F">
        <w:t xml:space="preserve"> (</w:t>
      </w:r>
      <w:r w:rsidR="2F243837">
        <w:t>s</w:t>
      </w:r>
      <w:r w:rsidR="00587A9F">
        <w:t xml:space="preserve">till in force alongside the </w:t>
      </w:r>
      <w:r w:rsidR="00587A9F" w:rsidRPr="0F5C20B5">
        <w:rPr>
          <w:i/>
          <w:iCs/>
        </w:rPr>
        <w:t>Local Government Act 2020</w:t>
      </w:r>
      <w:r w:rsidR="00587A9F">
        <w:t xml:space="preserve">) and alternative rating arrangements </w:t>
      </w:r>
      <w:r w:rsidR="268CCF8A">
        <w:t>in</w:t>
      </w:r>
      <w:r w:rsidR="00587A9F">
        <w:t xml:space="preserve"> the </w:t>
      </w:r>
      <w:r w:rsidR="00587A9F" w:rsidRPr="0F5C20B5">
        <w:rPr>
          <w:i/>
          <w:iCs/>
        </w:rPr>
        <w:t>Electricity Industry Act 2000</w:t>
      </w:r>
      <w:r w:rsidR="00587A9F">
        <w:t xml:space="preserve"> and the </w:t>
      </w:r>
      <w:r w:rsidR="00587A9F" w:rsidRPr="0F5C20B5">
        <w:rPr>
          <w:i/>
          <w:iCs/>
        </w:rPr>
        <w:t>Cultural and Recreational Lands Act 1963</w:t>
      </w:r>
      <w:r w:rsidR="00587A9F">
        <w:t>.</w:t>
      </w:r>
    </w:p>
    <w:p w14:paraId="360324AA" w14:textId="77777777" w:rsidR="000F4ADE" w:rsidRDefault="00587A9F" w:rsidP="00587A9F">
      <w:r>
        <w:t xml:space="preserve">The </w:t>
      </w:r>
      <w:r w:rsidR="12593094">
        <w:t>coronavirus (</w:t>
      </w:r>
      <w:r>
        <w:t>COVID-19</w:t>
      </w:r>
      <w:r w:rsidR="3F48DE5A">
        <w:t>)</w:t>
      </w:r>
      <w:r>
        <w:t xml:space="preserve"> pandemic has reshaped the Government’s approach to reform of the local government rating system</w:t>
      </w:r>
      <w:r w:rsidR="00BB4A59">
        <w:t xml:space="preserve">, </w:t>
      </w:r>
      <w:r w:rsidR="5C0B9045">
        <w:t xml:space="preserve">refocusing efforts on </w:t>
      </w:r>
      <w:r>
        <w:t xml:space="preserve">support </w:t>
      </w:r>
      <w:r w:rsidR="469736D6">
        <w:t xml:space="preserve">for </w:t>
      </w:r>
      <w:r>
        <w:t>Victoria’s post</w:t>
      </w:r>
      <w:r w:rsidR="33926B39">
        <w:t xml:space="preserve">-pandemic </w:t>
      </w:r>
      <w:r>
        <w:t>recovery.</w:t>
      </w:r>
      <w:r w:rsidR="009C0038">
        <w:t xml:space="preserve"> </w:t>
      </w:r>
      <w:r>
        <w:t xml:space="preserve">In this context, the Government </w:t>
      </w:r>
      <w:r w:rsidR="798A5F38">
        <w:t>will prioritise</w:t>
      </w:r>
      <w:r>
        <w:t xml:space="preserve"> reforms that support ratepayers in financial hardship, improve the tools available to councils to enhance transparency and consistency of decision making and lay the foundations for greater equity and fairness in the rating system</w:t>
      </w:r>
      <w:r w:rsidR="0E211801">
        <w:t>.</w:t>
      </w:r>
      <w:r w:rsidR="00744A92">
        <w:t xml:space="preserve"> </w:t>
      </w:r>
    </w:p>
    <w:p w14:paraId="044E8993" w14:textId="2D7E715E" w:rsidR="00587A9F" w:rsidRDefault="000F4ADE" w:rsidP="00587A9F">
      <w:r>
        <w:t>T</w:t>
      </w:r>
      <w:r w:rsidR="00587A9F">
        <w:t xml:space="preserve">he Victorian Parliament </w:t>
      </w:r>
      <w:r>
        <w:t xml:space="preserve">also </w:t>
      </w:r>
      <w:r w:rsidR="00587A9F">
        <w:t xml:space="preserve">passed the </w:t>
      </w:r>
      <w:r w:rsidR="00587A9F" w:rsidRPr="0F5C20B5">
        <w:rPr>
          <w:i/>
          <w:iCs/>
        </w:rPr>
        <w:t>Local Government Act 2020</w:t>
      </w:r>
      <w:r w:rsidR="00587A9F">
        <w:t xml:space="preserve"> </w:t>
      </w:r>
      <w:r w:rsidR="60851260">
        <w:t>during the review</w:t>
      </w:r>
      <w:r w:rsidR="005039C4">
        <w:t>,</w:t>
      </w:r>
      <w:r w:rsidR="00587A9F">
        <w:t xml:space="preserve"> introduc</w:t>
      </w:r>
      <w:r w:rsidR="005039C4">
        <w:t>ing</w:t>
      </w:r>
      <w:r w:rsidR="00587A9F">
        <w:t xml:space="preserve"> new requirements for transparency and community engagement by councils.</w:t>
      </w:r>
      <w:r w:rsidR="009C0038">
        <w:t xml:space="preserve"> </w:t>
      </w:r>
      <w:r w:rsidR="00587A9F">
        <w:t xml:space="preserve">The Government notes these themes are prevalent throughout the </w:t>
      </w:r>
      <w:r w:rsidR="0025742D">
        <w:t xml:space="preserve">Panel’s </w:t>
      </w:r>
      <w:r w:rsidR="00587A9F">
        <w:t>report.</w:t>
      </w:r>
      <w:r w:rsidR="009C0038">
        <w:t xml:space="preserve"> </w:t>
      </w:r>
      <w:r w:rsidR="00587A9F">
        <w:t xml:space="preserve">The </w:t>
      </w:r>
      <w:r w:rsidR="00587A9F" w:rsidRPr="0F5C20B5">
        <w:rPr>
          <w:i/>
          <w:iCs/>
        </w:rPr>
        <w:t>Local Government Act 2020</w:t>
      </w:r>
      <w:r w:rsidR="00587A9F">
        <w:t xml:space="preserve"> also reaffirmed the importance of local government autonomy with a preference for a principle</w:t>
      </w:r>
      <w:r w:rsidR="1C98DC52">
        <w:t>s-</w:t>
      </w:r>
      <w:r w:rsidR="00587A9F">
        <w:t xml:space="preserve">based legislative framework </w:t>
      </w:r>
      <w:r w:rsidR="009C0038">
        <w:t>supported by detailed guidance materials and best practice templates</w:t>
      </w:r>
      <w:r w:rsidR="00587A9F">
        <w:t>.</w:t>
      </w:r>
      <w:r w:rsidR="009C0038">
        <w:t xml:space="preserve"> </w:t>
      </w:r>
    </w:p>
    <w:p w14:paraId="3292A846" w14:textId="5E70E23E" w:rsidR="00587A9F" w:rsidRDefault="20A73363" w:rsidP="00587A9F">
      <w:r>
        <w:t>Th</w:t>
      </w:r>
      <w:r w:rsidR="0076613A">
        <w:t>e factors above have</w:t>
      </w:r>
      <w:r>
        <w:t xml:space="preserve"> informed the Government’s response</w:t>
      </w:r>
      <w:r w:rsidR="00455240">
        <w:t xml:space="preserve"> to the Report</w:t>
      </w:r>
      <w:r>
        <w:t>.</w:t>
      </w:r>
      <w:r w:rsidR="009C0038">
        <w:t xml:space="preserve"> </w:t>
      </w:r>
      <w:r w:rsidR="00455240">
        <w:t xml:space="preserve"> </w:t>
      </w:r>
      <w:r w:rsidR="00607190">
        <w:t>Due</w:t>
      </w:r>
      <w:r w:rsidR="00587A9F">
        <w:t xml:space="preserve"> to the </w:t>
      </w:r>
      <w:r w:rsidR="00607190">
        <w:t xml:space="preserve">potential for </w:t>
      </w:r>
      <w:r w:rsidR="009779CB">
        <w:t>increased uncertainty and risk</w:t>
      </w:r>
      <w:r w:rsidR="00D36F48">
        <w:t xml:space="preserve">, </w:t>
      </w:r>
      <w:r w:rsidR="004916E4">
        <w:t xml:space="preserve">significant reforms to arrangements for </w:t>
      </w:r>
      <w:r w:rsidR="00587A9F">
        <w:t xml:space="preserve">general </w:t>
      </w:r>
      <w:r w:rsidR="004916E4">
        <w:t>rates</w:t>
      </w:r>
      <w:r w:rsidR="00587A9F">
        <w:t xml:space="preserve"> will </w:t>
      </w:r>
      <w:r w:rsidR="004916E4">
        <w:t xml:space="preserve">not </w:t>
      </w:r>
      <w:r w:rsidR="00587A9F">
        <w:t xml:space="preserve">be progressed </w:t>
      </w:r>
      <w:r w:rsidR="006641F0">
        <w:t>and are not supported.</w:t>
      </w:r>
      <w:r w:rsidR="009C0038">
        <w:t xml:space="preserve"> </w:t>
      </w:r>
      <w:r w:rsidR="00587A9F">
        <w:t xml:space="preserve">The recommended reforms to exemptions and alternative rating arrangements </w:t>
      </w:r>
      <w:r w:rsidR="00141775">
        <w:t>for power generators</w:t>
      </w:r>
      <w:r w:rsidR="00587A9F">
        <w:t xml:space="preserve"> </w:t>
      </w:r>
      <w:r w:rsidR="00E02356">
        <w:t>and</w:t>
      </w:r>
      <w:r w:rsidR="00141775">
        <w:t xml:space="preserve"> cultural and recreational land</w:t>
      </w:r>
      <w:r w:rsidR="00587A9F">
        <w:t xml:space="preserve"> </w:t>
      </w:r>
      <w:r w:rsidR="006641F0">
        <w:t xml:space="preserve">also </w:t>
      </w:r>
      <w:r w:rsidR="00587A9F">
        <w:t xml:space="preserve">have the potential for </w:t>
      </w:r>
      <w:r w:rsidR="003708A7">
        <w:t xml:space="preserve">significant </w:t>
      </w:r>
      <w:r w:rsidR="00587A9F">
        <w:t xml:space="preserve">impact on the </w:t>
      </w:r>
      <w:r w:rsidR="003708A7">
        <w:t xml:space="preserve">economy and </w:t>
      </w:r>
      <w:r w:rsidR="00587A9F">
        <w:t>community.</w:t>
      </w:r>
      <w:r w:rsidR="009C0038">
        <w:t xml:space="preserve"> </w:t>
      </w:r>
      <w:r w:rsidR="00141775">
        <w:t>A</w:t>
      </w:r>
      <w:r w:rsidR="00D90002">
        <w:t xml:space="preserve">s Victoria begins its recovery from the </w:t>
      </w:r>
      <w:r w:rsidR="72ADF95A">
        <w:t>coronavirus (</w:t>
      </w:r>
      <w:r w:rsidR="00D90002">
        <w:t>COVID-19</w:t>
      </w:r>
      <w:r w:rsidR="188B9B48">
        <w:t>)</w:t>
      </w:r>
      <w:r w:rsidR="00D90002">
        <w:t xml:space="preserve"> pandemic, the Government</w:t>
      </w:r>
      <w:r w:rsidR="00163B3E">
        <w:t xml:space="preserve"> </w:t>
      </w:r>
      <w:r w:rsidR="02BA8D08">
        <w:t>will not support</w:t>
      </w:r>
      <w:r w:rsidR="00D90002">
        <w:t xml:space="preserve"> </w:t>
      </w:r>
      <w:r w:rsidR="00C70122">
        <w:t>recommendations</w:t>
      </w:r>
      <w:r w:rsidR="098EDA7A">
        <w:t xml:space="preserve"> for changes</w:t>
      </w:r>
      <w:r w:rsidR="00AC5ADD">
        <w:t xml:space="preserve"> to </w:t>
      </w:r>
      <w:r w:rsidR="006641F0">
        <w:t xml:space="preserve">general rates, </w:t>
      </w:r>
      <w:r w:rsidR="00AC5ADD">
        <w:t>exemptions and alternative rating arrangements</w:t>
      </w:r>
      <w:r w:rsidR="00D90002">
        <w:t xml:space="preserve"> </w:t>
      </w:r>
      <w:r w:rsidR="00F12718">
        <w:t xml:space="preserve">that </w:t>
      </w:r>
      <w:r w:rsidR="6C348336">
        <w:t xml:space="preserve">increase risks to </w:t>
      </w:r>
      <w:r w:rsidR="00D90002">
        <w:t xml:space="preserve">business </w:t>
      </w:r>
      <w:r w:rsidR="00682092">
        <w:t>and</w:t>
      </w:r>
      <w:r w:rsidR="00D90002">
        <w:t xml:space="preserve"> investment certainty </w:t>
      </w:r>
      <w:r w:rsidR="51E5F327">
        <w:t>and</w:t>
      </w:r>
      <w:r w:rsidR="00D31010">
        <w:t xml:space="preserve"> could</w:t>
      </w:r>
      <w:r w:rsidR="00C70122">
        <w:t xml:space="preserve"> negative</w:t>
      </w:r>
      <w:r w:rsidR="516DED29">
        <w:t>ly</w:t>
      </w:r>
      <w:r w:rsidR="00C70122">
        <w:t xml:space="preserve"> impact on the</w:t>
      </w:r>
      <w:r w:rsidR="00AC5ADD">
        <w:t xml:space="preserve"> broader</w:t>
      </w:r>
      <w:r w:rsidR="00C70122">
        <w:t xml:space="preserve"> community.</w:t>
      </w:r>
      <w:r w:rsidR="009C0038">
        <w:t xml:space="preserve">  </w:t>
      </w:r>
    </w:p>
    <w:p w14:paraId="3A14897C" w14:textId="3E855261" w:rsidR="00587A9F" w:rsidRDefault="00587A9F" w:rsidP="00587A9F">
      <w:r>
        <w:lastRenderedPageBreak/>
        <w:t>While further work is required on many of the proposed reform areas, the Government is committed to a local government rating system that</w:t>
      </w:r>
      <w:r w:rsidR="266C3657">
        <w:t>:</w:t>
      </w:r>
    </w:p>
    <w:p w14:paraId="1871F150" w14:textId="36F1E9AE" w:rsidR="00587A9F" w:rsidRPr="009B081A" w:rsidRDefault="00587A9F" w:rsidP="005E76C9">
      <w:pPr>
        <w:pStyle w:val="ListBullet"/>
        <w:rPr>
          <w:sz w:val="22"/>
          <w:szCs w:val="22"/>
        </w:rPr>
      </w:pPr>
      <w:r w:rsidRPr="009B081A">
        <w:rPr>
          <w:sz w:val="22"/>
          <w:szCs w:val="22"/>
        </w:rPr>
        <w:t xml:space="preserve">provides local governments with the autonomy to raise </w:t>
      </w:r>
      <w:proofErr w:type="gramStart"/>
      <w:r w:rsidRPr="009B081A">
        <w:rPr>
          <w:sz w:val="22"/>
          <w:szCs w:val="22"/>
        </w:rPr>
        <w:t>sufficient</w:t>
      </w:r>
      <w:proofErr w:type="gramEnd"/>
      <w:r w:rsidRPr="009B081A">
        <w:rPr>
          <w:sz w:val="22"/>
          <w:szCs w:val="22"/>
        </w:rPr>
        <w:t xml:space="preserve"> tax revenu</w:t>
      </w:r>
      <w:r w:rsidR="02673D2E" w:rsidRPr="0F5C20B5">
        <w:rPr>
          <w:sz w:val="22"/>
          <w:szCs w:val="22"/>
        </w:rPr>
        <w:t>e to meet the</w:t>
      </w:r>
      <w:r w:rsidR="00455240">
        <w:rPr>
          <w:sz w:val="22"/>
          <w:szCs w:val="22"/>
        </w:rPr>
        <w:t xml:space="preserve"> </w:t>
      </w:r>
      <w:r w:rsidRPr="009B081A">
        <w:rPr>
          <w:sz w:val="22"/>
          <w:szCs w:val="22"/>
        </w:rPr>
        <w:t>needs and capacity of their community.</w:t>
      </w:r>
    </w:p>
    <w:p w14:paraId="66435A29" w14:textId="3283064D" w:rsidR="00587A9F" w:rsidRPr="009B081A" w:rsidRDefault="4621D9F6" w:rsidP="005E76C9">
      <w:pPr>
        <w:pStyle w:val="ListBullet"/>
        <w:rPr>
          <w:sz w:val="22"/>
          <w:szCs w:val="22"/>
        </w:rPr>
      </w:pPr>
      <w:r w:rsidRPr="0F5C20B5">
        <w:rPr>
          <w:sz w:val="22"/>
          <w:szCs w:val="22"/>
        </w:rPr>
        <w:t xml:space="preserve">is </w:t>
      </w:r>
      <w:r w:rsidR="6E510520" w:rsidRPr="0F5C20B5">
        <w:rPr>
          <w:sz w:val="22"/>
          <w:szCs w:val="22"/>
        </w:rPr>
        <w:t xml:space="preserve">based on </w:t>
      </w:r>
      <w:r w:rsidR="00587A9F" w:rsidRPr="009B081A">
        <w:rPr>
          <w:sz w:val="22"/>
          <w:szCs w:val="22"/>
        </w:rPr>
        <w:t xml:space="preserve">a proportion of the value of the property, i.e. higher valued properties </w:t>
      </w:r>
      <w:r w:rsidR="008C33B6" w:rsidRPr="009B081A">
        <w:rPr>
          <w:sz w:val="22"/>
          <w:szCs w:val="22"/>
        </w:rPr>
        <w:t xml:space="preserve">usually </w:t>
      </w:r>
      <w:r w:rsidR="00587A9F" w:rsidRPr="009B081A">
        <w:rPr>
          <w:sz w:val="22"/>
          <w:szCs w:val="22"/>
        </w:rPr>
        <w:t>contribute more in rates than lower valued properties in the same municipality</w:t>
      </w:r>
      <w:r w:rsidR="302DCC55" w:rsidRPr="0F5C20B5">
        <w:rPr>
          <w:sz w:val="22"/>
          <w:szCs w:val="22"/>
        </w:rPr>
        <w:t>.</w:t>
      </w:r>
    </w:p>
    <w:p w14:paraId="40E6B767" w14:textId="4BC12023" w:rsidR="00587A9F" w:rsidRPr="009B081A" w:rsidRDefault="2EF12F81" w:rsidP="005E76C9">
      <w:pPr>
        <w:pStyle w:val="ListBullet"/>
        <w:rPr>
          <w:sz w:val="22"/>
          <w:szCs w:val="22"/>
        </w:rPr>
      </w:pPr>
      <w:r w:rsidRPr="0F5C20B5">
        <w:rPr>
          <w:sz w:val="22"/>
          <w:szCs w:val="22"/>
        </w:rPr>
        <w:t>is</w:t>
      </w:r>
      <w:r w:rsidR="00587A9F" w:rsidRPr="009B081A">
        <w:rPr>
          <w:sz w:val="22"/>
          <w:szCs w:val="22"/>
        </w:rPr>
        <w:t xml:space="preserve"> simple to understand </w:t>
      </w:r>
      <w:r w:rsidR="4291B584" w:rsidRPr="0F5C20B5">
        <w:rPr>
          <w:sz w:val="22"/>
          <w:szCs w:val="22"/>
        </w:rPr>
        <w:t xml:space="preserve">and allows for </w:t>
      </w:r>
      <w:r w:rsidR="00587A9F" w:rsidRPr="009B081A">
        <w:rPr>
          <w:sz w:val="22"/>
          <w:szCs w:val="22"/>
        </w:rPr>
        <w:t xml:space="preserve">meaningful community engagement </w:t>
      </w:r>
      <w:r w:rsidR="484B29DA" w:rsidRPr="0F5C20B5">
        <w:rPr>
          <w:sz w:val="22"/>
          <w:szCs w:val="22"/>
        </w:rPr>
        <w:t>to make</w:t>
      </w:r>
      <w:r w:rsidR="00587A9F" w:rsidRPr="009B081A">
        <w:rPr>
          <w:sz w:val="22"/>
          <w:szCs w:val="22"/>
        </w:rPr>
        <w:t xml:space="preserve"> informed and transparent decisions about rate distribution and rating levels.</w:t>
      </w:r>
    </w:p>
    <w:p w14:paraId="6E16C275" w14:textId="1B18DF41" w:rsidR="00587A9F" w:rsidRPr="009B081A" w:rsidRDefault="00587A9F" w:rsidP="005E76C9">
      <w:pPr>
        <w:pStyle w:val="ListBullet"/>
        <w:rPr>
          <w:sz w:val="22"/>
          <w:szCs w:val="22"/>
        </w:rPr>
      </w:pPr>
      <w:r w:rsidRPr="009B081A">
        <w:rPr>
          <w:sz w:val="22"/>
          <w:szCs w:val="22"/>
        </w:rPr>
        <w:t xml:space="preserve">provides transparent and flexible </w:t>
      </w:r>
      <w:r w:rsidR="69ABD5C0" w:rsidRPr="0F5C20B5">
        <w:rPr>
          <w:sz w:val="22"/>
          <w:szCs w:val="22"/>
        </w:rPr>
        <w:t>ways</w:t>
      </w:r>
      <w:r w:rsidRPr="009B081A">
        <w:rPr>
          <w:sz w:val="22"/>
          <w:szCs w:val="22"/>
        </w:rPr>
        <w:t xml:space="preserve"> for councils to</w:t>
      </w:r>
      <w:r w:rsidR="476FAD06" w:rsidRPr="0F5C20B5">
        <w:rPr>
          <w:sz w:val="22"/>
          <w:szCs w:val="22"/>
        </w:rPr>
        <w:t xml:space="preserve"> treat ratepayers facing financial hardship fairly.</w:t>
      </w:r>
    </w:p>
    <w:p w14:paraId="753D7177" w14:textId="7A22946A" w:rsidR="00587A9F" w:rsidRPr="009B081A" w:rsidRDefault="389A3CBE" w:rsidP="005E76C9">
      <w:pPr>
        <w:pStyle w:val="ListBullet"/>
        <w:rPr>
          <w:sz w:val="22"/>
          <w:szCs w:val="22"/>
        </w:rPr>
      </w:pPr>
      <w:r w:rsidRPr="0F5C20B5">
        <w:rPr>
          <w:sz w:val="22"/>
          <w:szCs w:val="22"/>
        </w:rPr>
        <w:t>is</w:t>
      </w:r>
      <w:r w:rsidR="00587A9F" w:rsidRPr="009B081A">
        <w:rPr>
          <w:sz w:val="22"/>
          <w:szCs w:val="22"/>
        </w:rPr>
        <w:t xml:space="preserve"> set out in primary legislation and </w:t>
      </w:r>
      <w:r w:rsidR="216FAD8C" w:rsidRPr="0F5C20B5">
        <w:rPr>
          <w:sz w:val="22"/>
          <w:szCs w:val="22"/>
        </w:rPr>
        <w:t>is in line with</w:t>
      </w:r>
      <w:r w:rsidR="00587A9F" w:rsidRPr="009B081A">
        <w:rPr>
          <w:sz w:val="22"/>
          <w:szCs w:val="22"/>
        </w:rPr>
        <w:t xml:space="preserve"> the principles-based approach of the </w:t>
      </w:r>
      <w:r w:rsidR="00587A9F" w:rsidRPr="009B081A">
        <w:rPr>
          <w:i/>
          <w:iCs/>
          <w:sz w:val="22"/>
          <w:szCs w:val="22"/>
        </w:rPr>
        <w:t>Local Government Act 2020</w:t>
      </w:r>
      <w:r w:rsidR="00587A9F" w:rsidRPr="009B081A">
        <w:rPr>
          <w:sz w:val="22"/>
          <w:szCs w:val="22"/>
        </w:rPr>
        <w:t>.</w:t>
      </w:r>
    </w:p>
    <w:p w14:paraId="7DB0206D" w14:textId="0A6D3F93" w:rsidR="00587A9F" w:rsidRDefault="00587A9F" w:rsidP="00587A9F">
      <w:r>
        <w:t xml:space="preserve">The Victorian Government </w:t>
      </w:r>
      <w:r w:rsidR="0B446B0E">
        <w:t>also believes</w:t>
      </w:r>
      <w:r>
        <w:t xml:space="preserve"> local governments must take responsibility for their </w:t>
      </w:r>
      <w:r w:rsidR="4C1C7A8B">
        <w:t xml:space="preserve">own </w:t>
      </w:r>
      <w:r>
        <w:t>rating decisions and levels</w:t>
      </w:r>
      <w:r w:rsidR="28863D30">
        <w:t>, reflecting their</w:t>
      </w:r>
      <w:r w:rsidR="001B448C">
        <w:t xml:space="preserve"> </w:t>
      </w:r>
      <w:r>
        <w:t>obligation</w:t>
      </w:r>
      <w:r w:rsidR="00455240">
        <w:t>s</w:t>
      </w:r>
      <w:r>
        <w:t xml:space="preserve"> as a distinct and essential tier of government.</w:t>
      </w:r>
      <w:r w:rsidR="009C0038">
        <w:t xml:space="preserve"> </w:t>
      </w:r>
    </w:p>
    <w:p w14:paraId="409C9974" w14:textId="2D9F9702" w:rsidR="00587A9F" w:rsidRDefault="00587A9F" w:rsidP="00587A9F">
      <w:r>
        <w:t xml:space="preserve">Despite the rate capping mechanism for general rates the system </w:t>
      </w:r>
      <w:r w:rsidR="0061643A">
        <w:t xml:space="preserve">still </w:t>
      </w:r>
      <w:r>
        <w:t xml:space="preserve">affords great flexibility and autonomy for councils </w:t>
      </w:r>
      <w:r w:rsidR="006A00D0">
        <w:t>to raise</w:t>
      </w:r>
      <w:r>
        <w:t xml:space="preserve"> revenue</w:t>
      </w:r>
      <w:r w:rsidR="001E598E">
        <w:t xml:space="preserve"> from their communities</w:t>
      </w:r>
      <w:r>
        <w:t>.</w:t>
      </w:r>
      <w:r w:rsidR="009C0038">
        <w:t xml:space="preserve"> </w:t>
      </w:r>
      <w:r>
        <w:t>In line with the findings of the Ministerial Panel, local governments must continue to work with their communities to explain and justify rating decisions.</w:t>
      </w:r>
      <w:r w:rsidR="009C0038">
        <w:t xml:space="preserve"> </w:t>
      </w:r>
      <w:r>
        <w:t xml:space="preserve"> </w:t>
      </w:r>
    </w:p>
    <w:p w14:paraId="0B4613BA" w14:textId="22188911" w:rsidR="00587A9F" w:rsidRDefault="00587A9F" w:rsidP="00587A9F">
      <w:r>
        <w:t>The Government thanks the Ministerial Panel for their report.</w:t>
      </w:r>
      <w:r w:rsidR="009C0038">
        <w:t xml:space="preserve"> </w:t>
      </w:r>
    </w:p>
    <w:p w14:paraId="60FC5B1D" w14:textId="1CEE55A3" w:rsidR="00587A9F" w:rsidRDefault="00587A9F" w:rsidP="00587A9F">
      <w:r>
        <w:t>A response to each of the report’s recommendations follows.</w:t>
      </w:r>
    </w:p>
    <w:p w14:paraId="20407716" w14:textId="77363DAB" w:rsidR="00424608" w:rsidRPr="00113BE7" w:rsidRDefault="00424608" w:rsidP="00113BE7">
      <w:pPr>
        <w:rPr>
          <w:i/>
          <w:iCs/>
        </w:rPr>
      </w:pPr>
    </w:p>
    <w:tbl>
      <w:tblPr>
        <w:tblStyle w:val="TableGrid"/>
        <w:tblW w:w="5000" w:type="pct"/>
        <w:tblLook w:val="04A0" w:firstRow="1" w:lastRow="0" w:firstColumn="1" w:lastColumn="0" w:noHBand="0" w:noVBand="1"/>
      </w:tblPr>
      <w:tblGrid>
        <w:gridCol w:w="2755"/>
        <w:gridCol w:w="2065"/>
        <w:gridCol w:w="4206"/>
      </w:tblGrid>
      <w:tr w:rsidR="004E7FCF" w:rsidRPr="00AD4E26" w14:paraId="5EAF8A12" w14:textId="55709A2D" w:rsidTr="009B081A">
        <w:trPr>
          <w:cnfStyle w:val="100000000000" w:firstRow="1" w:lastRow="0" w:firstColumn="0" w:lastColumn="0" w:oddVBand="0" w:evenVBand="0" w:oddHBand="0" w:evenHBand="0" w:firstRowFirstColumn="0" w:firstRowLastColumn="0" w:lastRowFirstColumn="0" w:lastRowLastColumn="0"/>
          <w:cantSplit/>
          <w:tblHeader/>
        </w:trPr>
        <w:tc>
          <w:tcPr>
            <w:cnfStyle w:val="000000000100" w:firstRow="0" w:lastRow="0" w:firstColumn="0" w:lastColumn="0" w:oddVBand="0" w:evenVBand="0" w:oddHBand="0" w:evenHBand="0" w:firstRowFirstColumn="1" w:firstRowLastColumn="0" w:lastRowFirstColumn="0" w:lastRowLastColumn="0"/>
            <w:tcW w:w="2670" w:type="pct"/>
            <w:gridSpan w:val="2"/>
          </w:tcPr>
          <w:p w14:paraId="7E36C4CC" w14:textId="7896B5C5" w:rsidR="004E7FCF" w:rsidRPr="00AD4E26" w:rsidRDefault="004E7FCF" w:rsidP="005A1CD3">
            <w:pPr>
              <w:pStyle w:val="TableHeadingCentre"/>
            </w:pPr>
            <w:r w:rsidRPr="00AD4E26">
              <w:t>Recommendation</w:t>
            </w:r>
          </w:p>
        </w:tc>
        <w:tc>
          <w:tcPr>
            <w:tcW w:w="2330" w:type="pct"/>
            <w:shd w:val="clear" w:color="auto" w:fill="D9E2F3" w:themeFill="accent1" w:themeFillTint="33"/>
          </w:tcPr>
          <w:p w14:paraId="34F1776D" w14:textId="2D82CEF0" w:rsidR="004E7FCF" w:rsidRPr="00CD5EF9" w:rsidRDefault="004E7FCF" w:rsidP="00CD5EF9">
            <w:pPr>
              <w:pStyle w:val="TableHeadingLeft"/>
              <w:cnfStyle w:val="100000000000" w:firstRow="1" w:lastRow="0" w:firstColumn="0" w:lastColumn="0" w:oddVBand="0" w:evenVBand="0" w:oddHBand="0" w:evenHBand="0" w:firstRowFirstColumn="0" w:firstRowLastColumn="0" w:lastRowFirstColumn="0" w:lastRowLastColumn="0"/>
              <w:rPr>
                <w:color w:val="auto"/>
              </w:rPr>
            </w:pPr>
            <w:r>
              <w:rPr>
                <w:color w:val="auto"/>
              </w:rPr>
              <w:t>Government Response</w:t>
            </w:r>
          </w:p>
        </w:tc>
      </w:tr>
      <w:tr w:rsidR="004E7FCF" w:rsidRPr="00AD4E26" w14:paraId="281F97A2" w14:textId="21B7E62C" w:rsidTr="009B081A">
        <w:trPr>
          <w:cantSplit/>
        </w:trPr>
        <w:tc>
          <w:tcPr>
            <w:tcW w:w="1526" w:type="pct"/>
            <w:shd w:val="clear" w:color="auto" w:fill="D9E2F3" w:themeFill="accent1" w:themeFillTint="33"/>
          </w:tcPr>
          <w:p w14:paraId="5BDBD074" w14:textId="659558D7" w:rsidR="004E7FCF" w:rsidRPr="00AD4E26" w:rsidRDefault="004E7FCF" w:rsidP="005A1CD3">
            <w:pPr>
              <w:pStyle w:val="BodyText"/>
              <w:rPr>
                <w:b/>
              </w:rPr>
            </w:pPr>
            <w:r>
              <w:rPr>
                <w:b/>
              </w:rPr>
              <w:t>Foundations of the Rating System</w:t>
            </w:r>
          </w:p>
        </w:tc>
        <w:tc>
          <w:tcPr>
            <w:tcW w:w="3474" w:type="pct"/>
            <w:gridSpan w:val="2"/>
            <w:shd w:val="clear" w:color="auto" w:fill="D9E2F3" w:themeFill="accent1" w:themeFillTint="33"/>
          </w:tcPr>
          <w:p w14:paraId="1AD8D4E6" w14:textId="445F75AB" w:rsidR="004E7FCF" w:rsidRPr="00AD4E26" w:rsidRDefault="004E7FCF" w:rsidP="005A1CD3">
            <w:pPr>
              <w:pStyle w:val="BodyText"/>
              <w:rPr>
                <w:b/>
              </w:rPr>
            </w:pPr>
            <w:r>
              <w:rPr>
                <w:b/>
              </w:rPr>
              <w:t xml:space="preserve">The Government agrees that local government rates constitute a tax for local government purposes and that the future rate arrangements and the application of rates should accord with principles of good taxation. </w:t>
            </w:r>
          </w:p>
        </w:tc>
      </w:tr>
      <w:tr w:rsidR="004E7FCF" w:rsidRPr="00AD4E26" w14:paraId="0A622F37" w14:textId="1361ABD0" w:rsidTr="009B081A">
        <w:trPr>
          <w:cantSplit/>
        </w:trPr>
        <w:tc>
          <w:tcPr>
            <w:tcW w:w="2670" w:type="pct"/>
            <w:gridSpan w:val="2"/>
            <w:shd w:val="clear" w:color="auto" w:fill="auto"/>
          </w:tcPr>
          <w:p w14:paraId="5F08F086" w14:textId="77777777" w:rsidR="004E7FCF" w:rsidRPr="00AD4E26" w:rsidRDefault="004E7FCF" w:rsidP="005A1CD3">
            <w:pPr>
              <w:pStyle w:val="BodyText"/>
              <w:ind w:left="0" w:right="0"/>
              <w:rPr>
                <w:b/>
              </w:rPr>
            </w:pPr>
            <w:r w:rsidRPr="00AD4E26">
              <w:rPr>
                <w:b/>
              </w:rPr>
              <w:t xml:space="preserve">Recommendation 1: </w:t>
            </w:r>
            <w:r w:rsidRPr="00AD4E26">
              <w:t xml:space="preserve">That the </w:t>
            </w:r>
            <w:r w:rsidRPr="00A551E2">
              <w:rPr>
                <w:i/>
                <w:iCs/>
              </w:rPr>
              <w:t xml:space="preserve">Local Government Act 1989 </w:t>
            </w:r>
            <w:r w:rsidRPr="00AD4E26">
              <w:t>describe rates as a tax for local government purposes.</w:t>
            </w:r>
          </w:p>
        </w:tc>
        <w:tc>
          <w:tcPr>
            <w:tcW w:w="2330" w:type="pct"/>
            <w:shd w:val="clear" w:color="auto" w:fill="auto"/>
          </w:tcPr>
          <w:p w14:paraId="5B216928" w14:textId="77777777" w:rsidR="004E7FCF" w:rsidRDefault="004E7FCF" w:rsidP="005A1CD3">
            <w:pPr>
              <w:pStyle w:val="BodyText"/>
            </w:pPr>
            <w:r>
              <w:t>Support in full</w:t>
            </w:r>
            <w:r w:rsidRPr="003B1B28">
              <w:t xml:space="preserve"> </w:t>
            </w:r>
          </w:p>
          <w:p w14:paraId="257C2757" w14:textId="66CFDF04" w:rsidR="004E7FCF" w:rsidRDefault="004E7FCF" w:rsidP="005A1CD3">
            <w:pPr>
              <w:pStyle w:val="BodyText"/>
            </w:pPr>
            <w:r w:rsidRPr="003B1B28">
              <w:t>Designating local government rates as a tax in legislation will elevate their status and legitimacy</w:t>
            </w:r>
            <w:r w:rsidR="208E5307">
              <w:t>. It will</w:t>
            </w:r>
            <w:r w:rsidR="00DD5F88">
              <w:t xml:space="preserve"> </w:t>
            </w:r>
            <w:r w:rsidRPr="003B1B28">
              <w:t>clarify</w:t>
            </w:r>
            <w:r w:rsidR="00DD5F88">
              <w:t xml:space="preserve"> </w:t>
            </w:r>
            <w:r w:rsidRPr="003B1B28">
              <w:t xml:space="preserve">that rates do not constitute a fee for service and that </w:t>
            </w:r>
            <w:r w:rsidR="296134AF">
              <w:t>paying more</w:t>
            </w:r>
            <w:r w:rsidRPr="003B1B28">
              <w:t xml:space="preserve"> in rates does not entitle a ratepayer to greater service levels.</w:t>
            </w:r>
            <w:r>
              <w:t xml:space="preserve"> It will not alter the way rates are levied.</w:t>
            </w:r>
          </w:p>
          <w:p w14:paraId="514C02CF" w14:textId="023BFED7" w:rsidR="00DF3A87" w:rsidRDefault="00DF3A87" w:rsidP="005A1CD3">
            <w:pPr>
              <w:pStyle w:val="BodyText"/>
            </w:pPr>
            <w:r>
              <w:t xml:space="preserve">The </w:t>
            </w:r>
            <w:r w:rsidR="6B5C8BAC">
              <w:t>example</w:t>
            </w:r>
            <w:r w:rsidR="00AA5594">
              <w:t>s</w:t>
            </w:r>
            <w:r w:rsidR="6B5C8BAC">
              <w:t xml:space="preserve"> of the</w:t>
            </w:r>
            <w:r>
              <w:t xml:space="preserve"> South Australian and Tasmanian local government acts</w:t>
            </w:r>
            <w:r w:rsidR="00AA5594">
              <w:t xml:space="preserve"> – which describe rates as a tax </w:t>
            </w:r>
            <w:r w:rsidR="000F4ADE" w:rsidRPr="000F4ADE">
              <w:t xml:space="preserve">– </w:t>
            </w:r>
            <w:r>
              <w:t xml:space="preserve">will </w:t>
            </w:r>
            <w:r w:rsidR="5686B2AF">
              <w:t xml:space="preserve">inform </w:t>
            </w:r>
            <w:r w:rsidR="00746070">
              <w:t>implementation.</w:t>
            </w:r>
          </w:p>
        </w:tc>
      </w:tr>
      <w:tr w:rsidR="004E7FCF" w:rsidRPr="00AD4E26" w14:paraId="749D0B99" w14:textId="7C91F76C" w:rsidTr="009B081A">
        <w:trPr>
          <w:cantSplit/>
        </w:trPr>
        <w:tc>
          <w:tcPr>
            <w:tcW w:w="2670" w:type="pct"/>
            <w:gridSpan w:val="2"/>
          </w:tcPr>
          <w:p w14:paraId="73BA0547" w14:textId="77777777" w:rsidR="004E7FCF" w:rsidRPr="00AD4E26" w:rsidRDefault="004E7FCF" w:rsidP="005A1CD3">
            <w:pPr>
              <w:pStyle w:val="BodyText"/>
              <w:ind w:left="0" w:right="0"/>
            </w:pPr>
            <w:r w:rsidRPr="00AD4E26">
              <w:rPr>
                <w:b/>
              </w:rPr>
              <w:lastRenderedPageBreak/>
              <w:t xml:space="preserve">Recommendation 2: </w:t>
            </w:r>
            <w:r w:rsidRPr="00AD4E26">
              <w:t xml:space="preserve">That the </w:t>
            </w:r>
            <w:r w:rsidRPr="00A551E2">
              <w:rPr>
                <w:i/>
                <w:iCs/>
              </w:rPr>
              <w:t>Local Government Act 1989</w:t>
            </w:r>
            <w:r w:rsidRPr="00AD4E26">
              <w:t xml:space="preserve"> establish a head of power for the Minister to make regulations that incorporate (</w:t>
            </w:r>
            <w:proofErr w:type="spellStart"/>
            <w:r w:rsidRPr="00AD4E26">
              <w:t>i</w:t>
            </w:r>
            <w:proofErr w:type="spellEnd"/>
            <w:r w:rsidRPr="00AD4E26">
              <w:t>) the principles of an effective rating system outlined in Chapter 7, section 7.2.6 of this report and (ii) the other recommendations referencing regulations in this report.</w:t>
            </w:r>
          </w:p>
        </w:tc>
        <w:tc>
          <w:tcPr>
            <w:tcW w:w="2330" w:type="pct"/>
            <w:shd w:val="clear" w:color="auto" w:fill="auto"/>
          </w:tcPr>
          <w:p w14:paraId="55733ED8" w14:textId="6C355D34" w:rsidR="004E7FCF" w:rsidRDefault="4DC3D223" w:rsidP="005A1CD3">
            <w:pPr>
              <w:pStyle w:val="BodyText"/>
            </w:pPr>
            <w:r>
              <w:t>Do n</w:t>
            </w:r>
            <w:r w:rsidR="004E7FCF" w:rsidRPr="005D46A9">
              <w:t xml:space="preserve">ot support </w:t>
            </w:r>
          </w:p>
          <w:p w14:paraId="02C25A21" w14:textId="1F2AE9E7" w:rsidR="004E7FCF" w:rsidRPr="005D46A9" w:rsidRDefault="004E7FCF" w:rsidP="005A1CD3">
            <w:pPr>
              <w:pStyle w:val="BodyText"/>
            </w:pPr>
            <w:r>
              <w:t>T</w:t>
            </w:r>
            <w:r w:rsidRPr="005D46A9">
              <w:t xml:space="preserve">he </w:t>
            </w:r>
            <w:r w:rsidRPr="005D46A9">
              <w:rPr>
                <w:i/>
                <w:iCs/>
              </w:rPr>
              <w:t>Local Government Act 2020</w:t>
            </w:r>
            <w:r w:rsidRPr="005D46A9">
              <w:t xml:space="preserve"> – passed </w:t>
            </w:r>
            <w:r w:rsidR="6DF22A61">
              <w:t>during</w:t>
            </w:r>
            <w:r w:rsidRPr="005D46A9">
              <w:t xml:space="preserve"> the review – is a </w:t>
            </w:r>
            <w:r>
              <w:t>principle</w:t>
            </w:r>
            <w:r w:rsidR="5F000636">
              <w:t>s</w:t>
            </w:r>
            <w:r w:rsidR="4681BAAA">
              <w:t>-</w:t>
            </w:r>
            <w:r w:rsidRPr="005D46A9">
              <w:t>based Act focussed on improving transparency</w:t>
            </w:r>
            <w:r w:rsidR="6584A73F">
              <w:t>,</w:t>
            </w:r>
            <w:r w:rsidRPr="005D46A9">
              <w:t xml:space="preserve"> community engagement and council autonomy </w:t>
            </w:r>
            <w:r w:rsidR="62CB7394">
              <w:t>in</w:t>
            </w:r>
            <w:r w:rsidRPr="005D46A9">
              <w:t xml:space="preserve"> decision making.</w:t>
            </w:r>
            <w:r>
              <w:t xml:space="preserve"> </w:t>
            </w:r>
            <w:r w:rsidRPr="005D46A9">
              <w:t xml:space="preserve">The Government </w:t>
            </w:r>
            <w:r w:rsidR="093E98EF">
              <w:t>believes</w:t>
            </w:r>
            <w:r w:rsidRPr="005D46A9">
              <w:t xml:space="preserve"> the </w:t>
            </w:r>
            <w:r>
              <w:t xml:space="preserve">foundations of the rating system should be contained in </w:t>
            </w:r>
            <w:r w:rsidR="00140EE5">
              <w:t>p</w:t>
            </w:r>
            <w:r>
              <w:t xml:space="preserve">rimary </w:t>
            </w:r>
            <w:r w:rsidR="00140EE5">
              <w:t>l</w:t>
            </w:r>
            <w:r>
              <w:t>egislation</w:t>
            </w:r>
            <w:r w:rsidRPr="005D46A9">
              <w:t xml:space="preserve">. </w:t>
            </w:r>
          </w:p>
        </w:tc>
      </w:tr>
      <w:tr w:rsidR="004E7FCF" w:rsidRPr="00AD4E26" w14:paraId="4F27D28F" w14:textId="0713F5AA" w:rsidTr="009B081A">
        <w:trPr>
          <w:cantSplit/>
        </w:trPr>
        <w:tc>
          <w:tcPr>
            <w:tcW w:w="2670" w:type="pct"/>
            <w:gridSpan w:val="2"/>
          </w:tcPr>
          <w:p w14:paraId="47D2D110" w14:textId="77777777" w:rsidR="004E7FCF" w:rsidRPr="00AD4E26" w:rsidRDefault="004E7FCF" w:rsidP="005A1CD3">
            <w:pPr>
              <w:pStyle w:val="BodyText"/>
              <w:ind w:left="0" w:right="0"/>
            </w:pPr>
            <w:r w:rsidRPr="00AD4E26">
              <w:rPr>
                <w:b/>
              </w:rPr>
              <w:t xml:space="preserve">Recommendation 3: </w:t>
            </w:r>
            <w:r w:rsidRPr="00AD4E26">
              <w:t xml:space="preserve">That Capital Improved Value and Net Annual Value be retained as the only options for valuation bases for the purposes of local government rates and that the </w:t>
            </w:r>
            <w:r w:rsidRPr="00A551E2">
              <w:rPr>
                <w:i/>
                <w:iCs/>
              </w:rPr>
              <w:t>Local Government Act 1989</w:t>
            </w:r>
            <w:r w:rsidRPr="00AD4E26">
              <w:t xml:space="preserve"> be amended to state that councils who move from using NAV to use CIV as their rate base, must continue to use CIV.</w:t>
            </w:r>
          </w:p>
        </w:tc>
        <w:tc>
          <w:tcPr>
            <w:tcW w:w="2330" w:type="pct"/>
            <w:shd w:val="clear" w:color="auto" w:fill="auto"/>
          </w:tcPr>
          <w:p w14:paraId="0470E957" w14:textId="4C5BF9EA" w:rsidR="004E7FCF" w:rsidRPr="00B62DEE" w:rsidRDefault="1369784B" w:rsidP="005A1CD3">
            <w:pPr>
              <w:pStyle w:val="BodyText"/>
            </w:pPr>
            <w:r w:rsidRPr="00B62DEE">
              <w:t>Do n</w:t>
            </w:r>
            <w:r w:rsidR="004E7FCF" w:rsidRPr="00B62DEE">
              <w:t xml:space="preserve">ot support </w:t>
            </w:r>
          </w:p>
          <w:p w14:paraId="65418778" w14:textId="3097E5EE" w:rsidR="004E7FCF" w:rsidRPr="00B62DEE" w:rsidRDefault="004E7FCF" w:rsidP="005A1CD3">
            <w:pPr>
              <w:pStyle w:val="BodyText"/>
            </w:pPr>
            <w:r w:rsidRPr="00B62DEE">
              <w:t xml:space="preserve">As SV, NAV and CIV will continue to be calculated as per the </w:t>
            </w:r>
            <w:r w:rsidRPr="00B62DEE">
              <w:rPr>
                <w:i/>
                <w:iCs/>
              </w:rPr>
              <w:t>Valuation of Land Act 1960</w:t>
            </w:r>
            <w:r w:rsidRPr="00B62DEE">
              <w:t xml:space="preserve"> the Government believes it is important that councils retain autonomy to selected either of these valuation bases for rates.</w:t>
            </w:r>
          </w:p>
        </w:tc>
      </w:tr>
      <w:tr w:rsidR="004E7FCF" w:rsidRPr="00AD4E26" w14:paraId="3B1C8097" w14:textId="0DB4F024" w:rsidTr="009B081A">
        <w:trPr>
          <w:cantSplit/>
        </w:trPr>
        <w:tc>
          <w:tcPr>
            <w:tcW w:w="2670" w:type="pct"/>
            <w:gridSpan w:val="2"/>
          </w:tcPr>
          <w:p w14:paraId="45C5A8B7" w14:textId="0034A305" w:rsidR="004E7FCF" w:rsidRPr="00AD4E26" w:rsidRDefault="004E7FCF" w:rsidP="005A1CD3">
            <w:pPr>
              <w:pStyle w:val="BodyText"/>
              <w:ind w:left="0" w:right="0"/>
            </w:pPr>
            <w:r w:rsidRPr="00AD4E26">
              <w:rPr>
                <w:b/>
              </w:rPr>
              <w:t xml:space="preserve">Recommendation 4: </w:t>
            </w:r>
            <w:r w:rsidRPr="00AD4E26">
              <w:t>That the Valuer-General improve communication about the mass valuation system, including how it deals with unusual sales, and consider publishing valuation methods online.</w:t>
            </w:r>
          </w:p>
        </w:tc>
        <w:tc>
          <w:tcPr>
            <w:tcW w:w="2330" w:type="pct"/>
            <w:shd w:val="clear" w:color="auto" w:fill="auto"/>
          </w:tcPr>
          <w:p w14:paraId="0F73A67A" w14:textId="77777777" w:rsidR="004E7FCF" w:rsidRPr="00B62DEE" w:rsidRDefault="004E7FCF" w:rsidP="005A1CD3">
            <w:pPr>
              <w:pStyle w:val="BodyText"/>
            </w:pPr>
            <w:r w:rsidRPr="00B62DEE">
              <w:t>Support in principle</w:t>
            </w:r>
          </w:p>
          <w:p w14:paraId="0ECA0988" w14:textId="52AC225F" w:rsidR="004E7FCF" w:rsidRPr="00B62DEE" w:rsidRDefault="004E7FCF" w:rsidP="005A1CD3">
            <w:pPr>
              <w:pStyle w:val="BodyText"/>
            </w:pPr>
            <w:r w:rsidRPr="00B62DEE">
              <w:t xml:space="preserve">The Valuer-General Victoria continues to </w:t>
            </w:r>
            <w:r w:rsidR="00D64170" w:rsidRPr="00B62DEE">
              <w:t xml:space="preserve">provide </w:t>
            </w:r>
            <w:r w:rsidRPr="00B62DEE">
              <w:t>information on the valuation system</w:t>
            </w:r>
            <w:r w:rsidR="00C115F1" w:rsidRPr="00B62DEE">
              <w:t xml:space="preserve"> and its application.</w:t>
            </w:r>
            <w:r w:rsidRPr="00B62DEE">
              <w:t xml:space="preserve"> The </w:t>
            </w:r>
            <w:r w:rsidRPr="00B62DEE">
              <w:rPr>
                <w:i/>
                <w:iCs/>
              </w:rPr>
              <w:t>Valuation Best Practice Specifications Guidelines</w:t>
            </w:r>
            <w:r w:rsidRPr="00B62DEE">
              <w:t xml:space="preserve"> are updated and published annuall</w:t>
            </w:r>
            <w:r w:rsidR="00FE2955" w:rsidRPr="00B62DEE">
              <w:t>y.</w:t>
            </w:r>
          </w:p>
        </w:tc>
      </w:tr>
      <w:tr w:rsidR="004E7FCF" w:rsidRPr="00AD4E26" w14:paraId="66011399" w14:textId="7BD936AD" w:rsidTr="009B081A">
        <w:trPr>
          <w:cantSplit/>
        </w:trPr>
        <w:tc>
          <w:tcPr>
            <w:tcW w:w="2670" w:type="pct"/>
            <w:gridSpan w:val="2"/>
          </w:tcPr>
          <w:p w14:paraId="4F7DF7D9" w14:textId="7E5EA664" w:rsidR="004E7FCF" w:rsidRPr="00AD4E26" w:rsidRDefault="004E7FCF" w:rsidP="005A1CD3">
            <w:pPr>
              <w:pStyle w:val="BodyText"/>
              <w:ind w:left="0" w:right="0"/>
            </w:pPr>
            <w:r w:rsidRPr="00AD4E26">
              <w:rPr>
                <w:b/>
              </w:rPr>
              <w:t xml:space="preserve">Recommendation 5: </w:t>
            </w:r>
            <w:r w:rsidRPr="00AD4E26">
              <w:t>That the Valuer-General review and improve the accessibility of dispute process for those who have a grievance.</w:t>
            </w:r>
          </w:p>
        </w:tc>
        <w:tc>
          <w:tcPr>
            <w:tcW w:w="2330" w:type="pct"/>
            <w:shd w:val="clear" w:color="auto" w:fill="auto"/>
          </w:tcPr>
          <w:p w14:paraId="7626BA66" w14:textId="4965FF4B" w:rsidR="004E7FCF" w:rsidRDefault="004E7FCF" w:rsidP="005A1CD3">
            <w:pPr>
              <w:pStyle w:val="BodyText"/>
            </w:pPr>
            <w:r>
              <w:t xml:space="preserve">Support in full </w:t>
            </w:r>
          </w:p>
          <w:p w14:paraId="76090F97" w14:textId="1184F2B9" w:rsidR="004E7FCF" w:rsidRDefault="004E7FCF" w:rsidP="005A1CD3">
            <w:pPr>
              <w:pStyle w:val="BodyText"/>
            </w:pPr>
            <w:r>
              <w:t xml:space="preserve">The Valuer-General Victoria launched the Rating Valuations Objection Portal in September 2020. This enables ratepayers to lodge an objection directly with the Valuer-General Victoria rather than going through the council. </w:t>
            </w:r>
          </w:p>
          <w:p w14:paraId="50E5D559" w14:textId="2C425B4E" w:rsidR="004E7FCF" w:rsidRPr="00040565" w:rsidRDefault="004E7FCF" w:rsidP="005A1CD3">
            <w:pPr>
              <w:pStyle w:val="BodyText"/>
            </w:pPr>
            <w:r>
              <w:t xml:space="preserve">Ongoing improvement </w:t>
            </w:r>
            <w:r w:rsidR="75EFFEBF">
              <w:t>to</w:t>
            </w:r>
            <w:r>
              <w:t xml:space="preserve"> the objections process is central to maintaining integrity and public trust.</w:t>
            </w:r>
          </w:p>
        </w:tc>
      </w:tr>
      <w:tr w:rsidR="004E7FCF" w:rsidRPr="00AD4E26" w14:paraId="2C8B65BC" w14:textId="43B0E5A8" w:rsidTr="009B081A">
        <w:trPr>
          <w:cantSplit/>
        </w:trPr>
        <w:tc>
          <w:tcPr>
            <w:tcW w:w="2670" w:type="pct"/>
            <w:gridSpan w:val="2"/>
          </w:tcPr>
          <w:p w14:paraId="5259BD7B" w14:textId="77777777" w:rsidR="004E7FCF" w:rsidRPr="00AD4E26" w:rsidRDefault="004E7FCF" w:rsidP="005A1CD3">
            <w:pPr>
              <w:pStyle w:val="BodyText"/>
              <w:ind w:left="0" w:right="0"/>
            </w:pPr>
            <w:r w:rsidRPr="00AD4E26">
              <w:rPr>
                <w:b/>
              </w:rPr>
              <w:t xml:space="preserve">Recommendation 6: </w:t>
            </w:r>
            <w:r w:rsidRPr="00AD4E26">
              <w:t xml:space="preserve">That the Victorian Government undertake further analysis, and consultation on the merits of shifting from levying rates on occupancy to levying rates </w:t>
            </w:r>
            <w:proofErr w:type="gramStart"/>
            <w:r w:rsidRPr="00AD4E26">
              <w:t>on the basis of</w:t>
            </w:r>
            <w:proofErr w:type="gramEnd"/>
            <w:r w:rsidRPr="00AD4E26">
              <w:t xml:space="preserve"> land titles (through Certificate of Title).</w:t>
            </w:r>
          </w:p>
        </w:tc>
        <w:tc>
          <w:tcPr>
            <w:tcW w:w="2330" w:type="pct"/>
            <w:shd w:val="clear" w:color="auto" w:fill="auto"/>
          </w:tcPr>
          <w:p w14:paraId="7D4B016F" w14:textId="77777777" w:rsidR="004E7FCF" w:rsidRDefault="004E7FCF" w:rsidP="005A1CD3">
            <w:pPr>
              <w:pStyle w:val="BodyText"/>
            </w:pPr>
            <w:r>
              <w:t xml:space="preserve">Support in principle </w:t>
            </w:r>
          </w:p>
          <w:p w14:paraId="469B8C27" w14:textId="63521157" w:rsidR="004E7FCF" w:rsidRPr="000F4ADE" w:rsidRDefault="16124EDF" w:rsidP="00871A1A">
            <w:pPr>
              <w:rPr>
                <w:sz w:val="20"/>
              </w:rPr>
            </w:pPr>
            <w:r w:rsidRPr="000F4ADE">
              <w:rPr>
                <w:sz w:val="20"/>
              </w:rPr>
              <w:t>This reform has the potential to significantly reduce costs, simplify administration and align with how th</w:t>
            </w:r>
            <w:r w:rsidR="4B3F77AF" w:rsidRPr="000F4ADE">
              <w:rPr>
                <w:sz w:val="20"/>
              </w:rPr>
              <w:t>e</w:t>
            </w:r>
            <w:r w:rsidRPr="000F4ADE">
              <w:rPr>
                <w:sz w:val="20"/>
              </w:rPr>
              <w:t xml:space="preserve"> State Land Tax </w:t>
            </w:r>
            <w:r w:rsidR="3CED26EE" w:rsidRPr="000F4ADE">
              <w:rPr>
                <w:sz w:val="20"/>
              </w:rPr>
              <w:t>i</w:t>
            </w:r>
            <w:r w:rsidRPr="000F4ADE">
              <w:rPr>
                <w:sz w:val="20"/>
              </w:rPr>
              <w:t>s levied</w:t>
            </w:r>
            <w:r w:rsidR="1B11B426" w:rsidRPr="000F4ADE">
              <w:rPr>
                <w:sz w:val="20"/>
              </w:rPr>
              <w:t xml:space="preserve"> (</w:t>
            </w:r>
            <w:r w:rsidR="00D63B88" w:rsidRPr="000F4ADE">
              <w:rPr>
                <w:sz w:val="20"/>
              </w:rPr>
              <w:t xml:space="preserve">which is </w:t>
            </w:r>
            <w:r w:rsidR="1B11B426" w:rsidRPr="000F4ADE">
              <w:rPr>
                <w:sz w:val="20"/>
              </w:rPr>
              <w:t>based on title)</w:t>
            </w:r>
            <w:r w:rsidRPr="000F4ADE">
              <w:rPr>
                <w:sz w:val="20"/>
              </w:rPr>
              <w:t>.</w:t>
            </w:r>
          </w:p>
          <w:p w14:paraId="482C472F" w14:textId="331EF526" w:rsidR="004E7FCF" w:rsidRDefault="004E7FCF" w:rsidP="005A1CD3">
            <w:pPr>
              <w:pStyle w:val="BodyText"/>
            </w:pPr>
            <w:r>
              <w:t>Further work will be undertaken to fully understand the costs and benefits of change.</w:t>
            </w:r>
          </w:p>
        </w:tc>
      </w:tr>
      <w:tr w:rsidR="004E7FCF" w:rsidRPr="00AD4E26" w14:paraId="70DBC40D" w14:textId="33EB2943" w:rsidTr="009B081A">
        <w:trPr>
          <w:cantSplit/>
        </w:trPr>
        <w:tc>
          <w:tcPr>
            <w:tcW w:w="2670" w:type="pct"/>
            <w:gridSpan w:val="2"/>
          </w:tcPr>
          <w:p w14:paraId="7ACA95F0" w14:textId="77777777" w:rsidR="004E7FCF" w:rsidRPr="00AD4E26" w:rsidRDefault="004E7FCF" w:rsidP="005A1CD3">
            <w:pPr>
              <w:pStyle w:val="BodyText"/>
              <w:ind w:left="0" w:right="0"/>
              <w:rPr>
                <w:b/>
              </w:rPr>
            </w:pPr>
            <w:r w:rsidRPr="00AD4E26">
              <w:rPr>
                <w:b/>
              </w:rPr>
              <w:t xml:space="preserve">Recommendation 7: </w:t>
            </w:r>
            <w:r w:rsidRPr="00AD4E26">
              <w:t>That the Victorian Government examine the merits of a valuation averaging mechanism to reduce the impact of large changes in valuations on rates.</w:t>
            </w:r>
          </w:p>
        </w:tc>
        <w:tc>
          <w:tcPr>
            <w:tcW w:w="2330" w:type="pct"/>
            <w:shd w:val="clear" w:color="auto" w:fill="auto"/>
          </w:tcPr>
          <w:p w14:paraId="7FDE2E57" w14:textId="77777777" w:rsidR="004E7FCF" w:rsidRDefault="004E7FCF" w:rsidP="005A1CD3">
            <w:pPr>
              <w:pStyle w:val="BodyText"/>
            </w:pPr>
            <w:r>
              <w:t xml:space="preserve">Support in full </w:t>
            </w:r>
          </w:p>
          <w:p w14:paraId="7A217023" w14:textId="59F0A45B" w:rsidR="004E7FCF" w:rsidRPr="00040565" w:rsidRDefault="004E7FCF" w:rsidP="005A1CD3">
            <w:pPr>
              <w:pStyle w:val="BodyText"/>
            </w:pPr>
            <w:r>
              <w:t>This reform has the potential to address the uncertainty caused by rate volatility arising from large movements in valuation year on year.</w:t>
            </w:r>
          </w:p>
        </w:tc>
      </w:tr>
      <w:tr w:rsidR="004E7FCF" w:rsidRPr="00AD4E26" w14:paraId="1B7C8476" w14:textId="40A54572" w:rsidTr="009B081A">
        <w:trPr>
          <w:cantSplit/>
        </w:trPr>
        <w:tc>
          <w:tcPr>
            <w:tcW w:w="2670" w:type="pct"/>
            <w:gridSpan w:val="2"/>
          </w:tcPr>
          <w:p w14:paraId="466083FF" w14:textId="77777777" w:rsidR="004E7FCF" w:rsidRPr="00AD4E26" w:rsidRDefault="004E7FCF" w:rsidP="005A1CD3">
            <w:pPr>
              <w:pStyle w:val="BodyText"/>
              <w:ind w:left="0" w:right="0"/>
            </w:pPr>
            <w:r w:rsidRPr="00AD4E26">
              <w:rPr>
                <w:b/>
              </w:rPr>
              <w:t>Recommendation 8:</w:t>
            </w:r>
            <w:r w:rsidRPr="00AD4E26">
              <w:t xml:space="preserve"> Retain the existing provisions under the </w:t>
            </w:r>
            <w:r w:rsidRPr="00AD4E26">
              <w:rPr>
                <w:i/>
              </w:rPr>
              <w:t>Local Government Act 1989</w:t>
            </w:r>
            <w:r w:rsidRPr="00AD4E26">
              <w:t xml:space="preserve"> for councils using Capital Improved Value as their rating base to apply differential rates and for councils using Net Annual Value as their rate base, to apply limited differential rates only.</w:t>
            </w:r>
          </w:p>
        </w:tc>
        <w:tc>
          <w:tcPr>
            <w:tcW w:w="2330" w:type="pct"/>
            <w:shd w:val="clear" w:color="auto" w:fill="auto"/>
          </w:tcPr>
          <w:p w14:paraId="598BCF58" w14:textId="2622C730" w:rsidR="004E7FCF" w:rsidRDefault="004E7FCF" w:rsidP="005A1CD3">
            <w:pPr>
              <w:pStyle w:val="BodyText"/>
            </w:pPr>
            <w:r>
              <w:t xml:space="preserve">Support in full </w:t>
            </w:r>
          </w:p>
          <w:p w14:paraId="3FB28727" w14:textId="000632BD" w:rsidR="004E7FCF" w:rsidRPr="00356474" w:rsidRDefault="004E7FCF" w:rsidP="005A1CD3">
            <w:pPr>
              <w:pStyle w:val="BodyText"/>
            </w:pPr>
          </w:p>
          <w:p w14:paraId="59B7151F" w14:textId="3874DC92" w:rsidR="004E7FCF" w:rsidRPr="00356474" w:rsidDel="008E6EAD" w:rsidRDefault="004E7FCF" w:rsidP="005A1CD3">
            <w:pPr>
              <w:pStyle w:val="BodyText"/>
            </w:pPr>
          </w:p>
        </w:tc>
      </w:tr>
      <w:tr w:rsidR="004E7FCF" w:rsidRPr="00AD4E26" w14:paraId="162E65AB" w14:textId="7C8AB335" w:rsidTr="009B081A">
        <w:trPr>
          <w:cantSplit/>
        </w:trPr>
        <w:tc>
          <w:tcPr>
            <w:tcW w:w="2670" w:type="pct"/>
            <w:gridSpan w:val="2"/>
          </w:tcPr>
          <w:p w14:paraId="12F2645C" w14:textId="77777777" w:rsidR="004E7FCF" w:rsidRPr="00AD4E26" w:rsidRDefault="004E7FCF" w:rsidP="005A1CD3">
            <w:pPr>
              <w:pStyle w:val="BodyText"/>
              <w:ind w:left="0" w:right="0"/>
            </w:pPr>
            <w:r w:rsidRPr="00AD4E26">
              <w:rPr>
                <w:b/>
              </w:rPr>
              <w:lastRenderedPageBreak/>
              <w:t>Recommendation 9:</w:t>
            </w:r>
            <w:r w:rsidRPr="00AD4E26">
              <w:t xml:space="preserve"> Retain the current limitation in the </w:t>
            </w:r>
            <w:r w:rsidRPr="00AD4E26">
              <w:rPr>
                <w:i/>
              </w:rPr>
              <w:t>Local Government Act 1989</w:t>
            </w:r>
            <w:r w:rsidRPr="00AD4E26">
              <w:t xml:space="preserve"> that the highest differential rate be no more than four times the lowest differential rate in a municipal district. </w:t>
            </w:r>
          </w:p>
          <w:p w14:paraId="7800C774" w14:textId="77777777" w:rsidR="004E7FCF" w:rsidRPr="00AD4E26" w:rsidRDefault="004E7FCF" w:rsidP="005A1CD3">
            <w:pPr>
              <w:pStyle w:val="BodyText"/>
              <w:ind w:left="0" w:right="0"/>
              <w:rPr>
                <w:b/>
              </w:rPr>
            </w:pPr>
          </w:p>
        </w:tc>
        <w:tc>
          <w:tcPr>
            <w:tcW w:w="2330" w:type="pct"/>
            <w:shd w:val="clear" w:color="auto" w:fill="auto"/>
          </w:tcPr>
          <w:p w14:paraId="098E4509" w14:textId="77777777" w:rsidR="004E7FCF" w:rsidRDefault="004E7FCF" w:rsidP="00B8593E">
            <w:pPr>
              <w:pStyle w:val="BodyText"/>
            </w:pPr>
            <w:r>
              <w:t xml:space="preserve">Support in full </w:t>
            </w:r>
          </w:p>
          <w:p w14:paraId="7CAF78F8" w14:textId="77777777" w:rsidR="004E7FCF" w:rsidRDefault="004E7FCF" w:rsidP="005A1CD3">
            <w:pPr>
              <w:pStyle w:val="BodyText"/>
            </w:pPr>
          </w:p>
          <w:p w14:paraId="08EA30B2" w14:textId="316C9146" w:rsidR="004E7FCF" w:rsidRPr="00356474" w:rsidDel="001143BC" w:rsidRDefault="004E7FCF" w:rsidP="005A1CD3">
            <w:pPr>
              <w:pStyle w:val="BodyText"/>
            </w:pPr>
            <w:r w:rsidRPr="00356474">
              <w:t xml:space="preserve"> </w:t>
            </w:r>
          </w:p>
        </w:tc>
      </w:tr>
      <w:tr w:rsidR="004E7FCF" w:rsidRPr="00AD4E26" w14:paraId="3C94FDD8" w14:textId="23CFD892" w:rsidTr="009B081A">
        <w:trPr>
          <w:cantSplit/>
        </w:trPr>
        <w:tc>
          <w:tcPr>
            <w:tcW w:w="2670" w:type="pct"/>
            <w:gridSpan w:val="2"/>
          </w:tcPr>
          <w:p w14:paraId="0CFF0640" w14:textId="77777777" w:rsidR="004E7FCF" w:rsidRPr="00AD4E26" w:rsidRDefault="004E7FCF" w:rsidP="005A1CD3">
            <w:pPr>
              <w:pStyle w:val="BodyText"/>
              <w:ind w:left="0" w:right="0"/>
            </w:pPr>
            <w:r w:rsidRPr="00AD4E26">
              <w:rPr>
                <w:b/>
              </w:rPr>
              <w:t xml:space="preserve">Recommendation 10: </w:t>
            </w:r>
            <w:r w:rsidRPr="00AD4E26">
              <w:t>Replace the existing Ministerial guidelines on differential rating with a legislated requirement for councils to comply with regulations as proposed in Recommendation 2 of this report.</w:t>
            </w:r>
          </w:p>
        </w:tc>
        <w:tc>
          <w:tcPr>
            <w:tcW w:w="2330" w:type="pct"/>
            <w:shd w:val="clear" w:color="auto" w:fill="auto"/>
          </w:tcPr>
          <w:p w14:paraId="1F7E3293" w14:textId="465C48DD" w:rsidR="004E7FCF" w:rsidRPr="00B62DEE" w:rsidRDefault="4E651F59" w:rsidP="00A175FE">
            <w:pPr>
              <w:pStyle w:val="BodyText"/>
            </w:pPr>
            <w:r w:rsidRPr="00B62DEE">
              <w:t>Do n</w:t>
            </w:r>
            <w:r w:rsidR="004E7FCF" w:rsidRPr="00B62DEE">
              <w:t xml:space="preserve">ot support </w:t>
            </w:r>
          </w:p>
          <w:p w14:paraId="2C57BD8C" w14:textId="5D642345" w:rsidR="005C203F" w:rsidRPr="00B62DEE" w:rsidRDefault="005C203F" w:rsidP="00A175FE">
            <w:pPr>
              <w:pStyle w:val="BodyText"/>
            </w:pPr>
            <w:r w:rsidRPr="00B62DEE">
              <w:t xml:space="preserve">The Government does </w:t>
            </w:r>
            <w:r w:rsidR="532FFEE2" w:rsidRPr="00B62DEE">
              <w:t>not</w:t>
            </w:r>
            <w:r w:rsidRPr="00B62DEE">
              <w:t xml:space="preserve"> </w:t>
            </w:r>
            <w:r w:rsidR="6B0A6786" w:rsidRPr="00B62DEE">
              <w:t xml:space="preserve">intend </w:t>
            </w:r>
            <w:r w:rsidRPr="00B62DEE">
              <w:t>to make any substantial changes to the arrangements for general rates.</w:t>
            </w:r>
          </w:p>
          <w:p w14:paraId="5E9B5297" w14:textId="3345BDC7" w:rsidR="004E7FCF" w:rsidRPr="00B62DEE" w:rsidRDefault="004E7FCF" w:rsidP="00A175FE">
            <w:pPr>
              <w:pStyle w:val="BodyText"/>
            </w:pPr>
          </w:p>
        </w:tc>
      </w:tr>
      <w:tr w:rsidR="004E7FCF" w:rsidRPr="00AD4E26" w14:paraId="1541D187" w14:textId="1B359C5F" w:rsidTr="009B081A">
        <w:trPr>
          <w:cantSplit/>
        </w:trPr>
        <w:tc>
          <w:tcPr>
            <w:tcW w:w="2670" w:type="pct"/>
            <w:gridSpan w:val="2"/>
          </w:tcPr>
          <w:p w14:paraId="3ADB0EBA" w14:textId="7DEDAF4C" w:rsidR="004E7FCF" w:rsidRPr="00AD4E26" w:rsidRDefault="004E7FCF" w:rsidP="005A1CD3">
            <w:pPr>
              <w:pStyle w:val="BodyText"/>
              <w:ind w:left="0" w:right="0"/>
            </w:pPr>
            <w:r w:rsidRPr="00AD4E26">
              <w:rPr>
                <w:b/>
              </w:rPr>
              <w:t>Recommendation 11</w:t>
            </w:r>
            <w:r w:rsidRPr="00AD4E26">
              <w:t>: That the regulations proposed in Recommendation 2 should outline the steps to be taken when determining differential rates. These steps should include:</w:t>
            </w:r>
            <w:r>
              <w:t xml:space="preserve"> </w:t>
            </w:r>
          </w:p>
          <w:p w14:paraId="00D0C573" w14:textId="77777777" w:rsidR="004E7FCF" w:rsidRPr="00AD4E26" w:rsidRDefault="004E7FCF" w:rsidP="00441A5D">
            <w:pPr>
              <w:pStyle w:val="ListBullet"/>
            </w:pPr>
            <w:r w:rsidRPr="00AD4E26">
              <w:t>Stating the objectives of the differential rates.</w:t>
            </w:r>
          </w:p>
          <w:p w14:paraId="64337204" w14:textId="77777777" w:rsidR="004E7FCF" w:rsidRPr="00AD4E26" w:rsidRDefault="004E7FCF" w:rsidP="00441A5D">
            <w:pPr>
              <w:pStyle w:val="ListBullet"/>
            </w:pPr>
            <w:r w:rsidRPr="00AD4E26">
              <w:t>Assessing the appropriateness of a differential rate against the range of other tools available to councils to meet the stated objectives.</w:t>
            </w:r>
          </w:p>
          <w:p w14:paraId="24A9E7DC" w14:textId="77777777" w:rsidR="004E7FCF" w:rsidRPr="00AD4E26" w:rsidRDefault="004E7FCF" w:rsidP="00441A5D">
            <w:pPr>
              <w:pStyle w:val="ListBullet"/>
            </w:pPr>
            <w:r w:rsidRPr="00AD4E26">
              <w:t>Collection and analysis of data and evidence in relation to the impacts on all land types of setting the differential rates.</w:t>
            </w:r>
          </w:p>
          <w:p w14:paraId="2530B126" w14:textId="77777777" w:rsidR="004E7FCF" w:rsidRPr="00AD4E26" w:rsidRDefault="004E7FCF" w:rsidP="00441A5D">
            <w:pPr>
              <w:pStyle w:val="ListBullet"/>
            </w:pPr>
            <w:r w:rsidRPr="00AD4E26">
              <w:t>Assessment of the proposed rates against the principles underpinning effective rates systems which are outlined in Chapter 7 of this report.</w:t>
            </w:r>
          </w:p>
          <w:p w14:paraId="5808CA8E" w14:textId="77777777" w:rsidR="004E7FCF" w:rsidRPr="00AD4E26" w:rsidRDefault="004E7FCF" w:rsidP="00441A5D">
            <w:pPr>
              <w:pStyle w:val="ListBullet"/>
            </w:pPr>
            <w:r w:rsidRPr="00AD4E26">
              <w:t>Assessing the proposed rates against the council’s strategic plan and strategic priorities of the council.</w:t>
            </w:r>
          </w:p>
          <w:p w14:paraId="644F9BED" w14:textId="77777777" w:rsidR="004E7FCF" w:rsidRPr="00AD4E26" w:rsidRDefault="004E7FCF" w:rsidP="00441A5D">
            <w:pPr>
              <w:pStyle w:val="ListBullet"/>
            </w:pPr>
            <w:r w:rsidRPr="00AD4E26">
              <w:t>Providing information to communities on the outcomes of steps 1-5 above in a public rating strategy document and in the budget papers.</w:t>
            </w:r>
          </w:p>
          <w:p w14:paraId="5D1DB3FA" w14:textId="77777777" w:rsidR="004E7FCF" w:rsidRPr="00AD4E26" w:rsidRDefault="004E7FCF" w:rsidP="00441A5D">
            <w:pPr>
              <w:pStyle w:val="ListBullet"/>
            </w:pPr>
            <w:r w:rsidRPr="00AD4E26">
              <w:t>Meaningfully engaging communities in rates decisions.</w:t>
            </w:r>
          </w:p>
          <w:p w14:paraId="578E78B4" w14:textId="77777777" w:rsidR="004E7FCF" w:rsidRPr="00AD4E26" w:rsidRDefault="004E7FCF" w:rsidP="00441A5D">
            <w:pPr>
              <w:pStyle w:val="ListBullet"/>
            </w:pPr>
            <w:r w:rsidRPr="00AD4E26">
              <w:t>Regularly reviewing and auditing differential rates against the proposed regulations and reporting on these.</w:t>
            </w:r>
          </w:p>
          <w:p w14:paraId="0FB96709" w14:textId="77777777" w:rsidR="004E7FCF" w:rsidRPr="00AD4E26" w:rsidRDefault="004E7FCF" w:rsidP="005A1CD3">
            <w:pPr>
              <w:pStyle w:val="BodyText"/>
              <w:ind w:left="0" w:right="0"/>
              <w:rPr>
                <w:b/>
              </w:rPr>
            </w:pPr>
          </w:p>
        </w:tc>
        <w:tc>
          <w:tcPr>
            <w:tcW w:w="2330" w:type="pct"/>
            <w:shd w:val="clear" w:color="auto" w:fill="auto"/>
          </w:tcPr>
          <w:p w14:paraId="7DD27BF9" w14:textId="6EE2682F" w:rsidR="00AD57AD" w:rsidRPr="00B62DEE" w:rsidRDefault="00AD57AD" w:rsidP="00F54EC9">
            <w:pPr>
              <w:pStyle w:val="BodyText"/>
            </w:pPr>
            <w:r w:rsidRPr="00B62DEE">
              <w:t>Support in principle</w:t>
            </w:r>
          </w:p>
          <w:p w14:paraId="76230404" w14:textId="6B93F079" w:rsidR="00AD57AD" w:rsidRPr="00B62DEE" w:rsidRDefault="00AD57AD" w:rsidP="005A1CD3">
            <w:pPr>
              <w:pStyle w:val="BodyText"/>
            </w:pPr>
            <w:r w:rsidRPr="00B62DEE">
              <w:t>The Government does</w:t>
            </w:r>
            <w:r w:rsidR="00C5177B" w:rsidRPr="00B62DEE">
              <w:t xml:space="preserve"> not</w:t>
            </w:r>
            <w:r w:rsidRPr="00B62DEE">
              <w:t xml:space="preserve"> </w:t>
            </w:r>
            <w:r w:rsidR="006137B7" w:rsidRPr="00B62DEE">
              <w:t>intend to make any substantial changes to the arrangements for general rates</w:t>
            </w:r>
            <w:r w:rsidR="00AB18E0" w:rsidRPr="00B62DEE">
              <w:t>, including new subordinate legislation</w:t>
            </w:r>
            <w:r w:rsidR="006137B7" w:rsidRPr="00B62DEE">
              <w:t>.</w:t>
            </w:r>
          </w:p>
          <w:p w14:paraId="5DAC1199" w14:textId="79C94274" w:rsidR="006137B7" w:rsidRPr="00B62DEE" w:rsidRDefault="006137B7" w:rsidP="005A1CD3">
            <w:pPr>
              <w:pStyle w:val="BodyText"/>
            </w:pPr>
            <w:r w:rsidRPr="00B62DEE">
              <w:t xml:space="preserve">The Government </w:t>
            </w:r>
            <w:r w:rsidR="00292E20" w:rsidRPr="00B62DEE">
              <w:t xml:space="preserve">is committed </w:t>
            </w:r>
            <w:r w:rsidR="00DE4DF7" w:rsidRPr="00B62DEE">
              <w:t xml:space="preserve">to </w:t>
            </w:r>
            <w:r w:rsidR="0060004C" w:rsidRPr="00B62DEE">
              <w:t xml:space="preserve">ensuring that the use of differential rates </w:t>
            </w:r>
            <w:r w:rsidR="003E732B" w:rsidRPr="00B62DEE">
              <w:t xml:space="preserve">meets the </w:t>
            </w:r>
            <w:r w:rsidR="00773DE5" w:rsidRPr="00B62DEE">
              <w:t xml:space="preserve">good practices </w:t>
            </w:r>
            <w:r w:rsidR="00C232EF" w:rsidRPr="00B62DEE">
              <w:t xml:space="preserve">described </w:t>
            </w:r>
            <w:r w:rsidR="003926A6" w:rsidRPr="00B62DEE">
              <w:t>by</w:t>
            </w:r>
            <w:r w:rsidR="000F2ECB" w:rsidRPr="00B62DEE">
              <w:t xml:space="preserve"> t</w:t>
            </w:r>
            <w:r w:rsidR="00C232EF" w:rsidRPr="00B62DEE">
              <w:t>he recommendation</w:t>
            </w:r>
            <w:r w:rsidR="00EF0C37" w:rsidRPr="00B62DEE">
              <w:t>.</w:t>
            </w:r>
            <w:r w:rsidR="003F7977" w:rsidRPr="00B62DEE">
              <w:t xml:space="preserve">  The Government will work with the local government sector to </w:t>
            </w:r>
            <w:r w:rsidR="00F84562" w:rsidRPr="00B62DEE">
              <w:t xml:space="preserve">improve </w:t>
            </w:r>
            <w:r w:rsidR="006A7A93" w:rsidRPr="00B62DEE">
              <w:t xml:space="preserve">their </w:t>
            </w:r>
            <w:r w:rsidR="00F84562" w:rsidRPr="00B62DEE">
              <w:t>practices</w:t>
            </w:r>
            <w:r w:rsidR="003F7977" w:rsidRPr="00B62DEE">
              <w:t xml:space="preserve"> as part of the implementation of the </w:t>
            </w:r>
            <w:r w:rsidR="006E2490" w:rsidRPr="00B62DEE">
              <w:rPr>
                <w:i/>
                <w:iCs/>
              </w:rPr>
              <w:t>Local Government Act 2020</w:t>
            </w:r>
            <w:r w:rsidR="006E2490" w:rsidRPr="00B62DEE">
              <w:t xml:space="preserve"> and the</w:t>
            </w:r>
            <w:r w:rsidR="00373F87" w:rsidRPr="00B62DEE">
              <w:t xml:space="preserve"> new</w:t>
            </w:r>
            <w:r w:rsidR="006E2490" w:rsidRPr="00B62DEE">
              <w:t xml:space="preserve"> requirement </w:t>
            </w:r>
            <w:r w:rsidR="009E15E4" w:rsidRPr="00B62DEE">
              <w:t>to prepare and adopt</w:t>
            </w:r>
            <w:r w:rsidR="006E2490" w:rsidRPr="00B62DEE">
              <w:t xml:space="preserve"> a Revenue and Rating Plan</w:t>
            </w:r>
            <w:r w:rsidR="008D7C04" w:rsidRPr="00B62DEE">
              <w:t>.</w:t>
            </w:r>
          </w:p>
        </w:tc>
      </w:tr>
      <w:tr w:rsidR="004E7FCF" w:rsidRPr="00AD4E26" w14:paraId="354123F4" w14:textId="6DE34E9B" w:rsidTr="009B081A">
        <w:trPr>
          <w:cantSplit/>
        </w:trPr>
        <w:tc>
          <w:tcPr>
            <w:tcW w:w="2670" w:type="pct"/>
            <w:gridSpan w:val="2"/>
          </w:tcPr>
          <w:p w14:paraId="190FEDA7" w14:textId="77777777" w:rsidR="004E7FCF" w:rsidRPr="00AD4E26" w:rsidRDefault="004E7FCF" w:rsidP="005A1CD3">
            <w:pPr>
              <w:pStyle w:val="BodyText"/>
              <w:ind w:left="0" w:right="0"/>
            </w:pPr>
            <w:r w:rsidRPr="00AD4E26">
              <w:rPr>
                <w:b/>
              </w:rPr>
              <w:lastRenderedPageBreak/>
              <w:t xml:space="preserve">Recommendation 12: </w:t>
            </w:r>
            <w:r w:rsidRPr="00AD4E26">
              <w:t>That the Victorian Government investigate community views in relation to a requirement that annual rate notices must display the range of differential rates applied by councils along with the rate applied to the assessment on the rate notice. This should be undertaken as part of the action required to implement Recommendation 45.</w:t>
            </w:r>
          </w:p>
          <w:p w14:paraId="131CEFB2" w14:textId="77777777" w:rsidR="004E7FCF" w:rsidRPr="00AD4E26" w:rsidRDefault="004E7FCF" w:rsidP="005A1CD3">
            <w:pPr>
              <w:pStyle w:val="BodyText"/>
              <w:ind w:left="0" w:right="0"/>
              <w:rPr>
                <w:b/>
              </w:rPr>
            </w:pPr>
          </w:p>
          <w:p w14:paraId="582432D7" w14:textId="77777777" w:rsidR="004E7FCF" w:rsidRPr="00AD4E26" w:rsidRDefault="004E7FCF" w:rsidP="005A1CD3">
            <w:pPr>
              <w:pStyle w:val="BodyText"/>
              <w:ind w:left="0" w:right="0"/>
              <w:rPr>
                <w:i/>
              </w:rPr>
            </w:pPr>
            <w:r w:rsidRPr="00AD4E26">
              <w:rPr>
                <w:i/>
              </w:rPr>
              <w:t xml:space="preserve">For reference – </w:t>
            </w:r>
          </w:p>
          <w:p w14:paraId="7FBF3E44" w14:textId="77777777" w:rsidR="004E7FCF" w:rsidRPr="00AD4E26" w:rsidRDefault="004E7FCF" w:rsidP="005A1CD3">
            <w:pPr>
              <w:pStyle w:val="BodyText"/>
              <w:ind w:left="0" w:right="0"/>
            </w:pPr>
            <w:r w:rsidRPr="00AD4E26">
              <w:rPr>
                <w:i/>
              </w:rPr>
              <w:t xml:space="preserve">Recommendation 45: That the Victorian Government facilitate the development of a template for rates notices to be used across councils, which is consistent with best practice written communication principles. </w:t>
            </w:r>
          </w:p>
        </w:tc>
        <w:tc>
          <w:tcPr>
            <w:tcW w:w="2330" w:type="pct"/>
            <w:shd w:val="clear" w:color="auto" w:fill="auto"/>
          </w:tcPr>
          <w:p w14:paraId="55F7FB81" w14:textId="775BDC03" w:rsidR="004E7FCF" w:rsidRDefault="004E7FCF" w:rsidP="00E45FFC">
            <w:pPr>
              <w:pStyle w:val="BodyText"/>
            </w:pPr>
            <w:r>
              <w:t xml:space="preserve">Support in full </w:t>
            </w:r>
          </w:p>
          <w:p w14:paraId="31CE2887" w14:textId="02059F42" w:rsidR="00597F41" w:rsidRDefault="2BFCF374" w:rsidP="00E45FFC">
            <w:pPr>
              <w:pStyle w:val="BodyText"/>
            </w:pPr>
            <w:r>
              <w:t>Greater disclosure of</w:t>
            </w:r>
            <w:r w:rsidR="00597F41">
              <w:t xml:space="preserve"> differential rates</w:t>
            </w:r>
            <w:r w:rsidR="62979452">
              <w:t xml:space="preserve"> used by councils</w:t>
            </w:r>
            <w:r w:rsidR="00FD5F2D">
              <w:t xml:space="preserve"> </w:t>
            </w:r>
            <w:r w:rsidR="00597F41">
              <w:t>will foster greater rate transparency and community engagement.</w:t>
            </w:r>
          </w:p>
          <w:p w14:paraId="19813381" w14:textId="6A98C45C" w:rsidR="004E7FCF" w:rsidRDefault="004E7FCF" w:rsidP="00E45FFC">
            <w:pPr>
              <w:pStyle w:val="BodyText"/>
            </w:pPr>
            <w:r>
              <w:t xml:space="preserve">In </w:t>
            </w:r>
            <w:r w:rsidR="57A75AE4">
              <w:t>line</w:t>
            </w:r>
            <w:r>
              <w:t xml:space="preserve"> with the increased transparency requirements of the </w:t>
            </w:r>
            <w:r>
              <w:rPr>
                <w:i/>
                <w:iCs/>
              </w:rPr>
              <w:t>Local Government Act 2020</w:t>
            </w:r>
            <w:r>
              <w:t xml:space="preserve"> the Government </w:t>
            </w:r>
            <w:r w:rsidR="25079519">
              <w:t xml:space="preserve">supports </w:t>
            </w:r>
            <w:r>
              <w:t xml:space="preserve">greater transparency </w:t>
            </w:r>
            <w:r w:rsidR="4C7E2624">
              <w:t>for</w:t>
            </w:r>
            <w:r>
              <w:t xml:space="preserve"> differential rates, including publication in full on the rate notice. </w:t>
            </w:r>
          </w:p>
          <w:p w14:paraId="71129F08" w14:textId="1BEA2869" w:rsidR="004E7FCF" w:rsidRPr="00B64F78" w:rsidRDefault="004E7FCF" w:rsidP="00E45FFC">
            <w:pPr>
              <w:pStyle w:val="BodyText"/>
            </w:pPr>
          </w:p>
        </w:tc>
      </w:tr>
      <w:tr w:rsidR="004E7FCF" w:rsidRPr="00AD4E26" w14:paraId="6FAF7775" w14:textId="06E71E36" w:rsidTr="009B081A">
        <w:trPr>
          <w:cantSplit/>
        </w:trPr>
        <w:tc>
          <w:tcPr>
            <w:tcW w:w="2670" w:type="pct"/>
            <w:gridSpan w:val="2"/>
          </w:tcPr>
          <w:p w14:paraId="1F0D2288" w14:textId="77777777" w:rsidR="004E7FCF" w:rsidRPr="00AD4E26" w:rsidRDefault="004E7FCF" w:rsidP="005A1CD3">
            <w:pPr>
              <w:pStyle w:val="BodyText"/>
              <w:ind w:left="0" w:right="0"/>
              <w:rPr>
                <w:b/>
              </w:rPr>
            </w:pPr>
            <w:r w:rsidRPr="00AD4E26">
              <w:rPr>
                <w:b/>
              </w:rPr>
              <w:t xml:space="preserve">Recommendation 13: </w:t>
            </w:r>
            <w:r w:rsidRPr="00AD4E26">
              <w:t>Appoint a suitably qualified and experienced authority to monitor and report publicly to the Minister on the compliance of councils’ rating strategies with the regulations.</w:t>
            </w:r>
          </w:p>
        </w:tc>
        <w:tc>
          <w:tcPr>
            <w:tcW w:w="2330" w:type="pct"/>
            <w:shd w:val="clear" w:color="auto" w:fill="auto"/>
          </w:tcPr>
          <w:p w14:paraId="390D4CA0" w14:textId="01B1E49A" w:rsidR="004E7FCF" w:rsidRPr="00A13FC5" w:rsidRDefault="44AC7C48" w:rsidP="005A1CD3">
            <w:pPr>
              <w:pStyle w:val="BodyText"/>
            </w:pPr>
            <w:r>
              <w:t>Do n</w:t>
            </w:r>
            <w:r w:rsidR="004E7FCF">
              <w:t xml:space="preserve">ot support </w:t>
            </w:r>
          </w:p>
          <w:p w14:paraId="7245D00F" w14:textId="15F78799" w:rsidR="004E7FCF" w:rsidRPr="00A13FC5" w:rsidRDefault="004E7FCF" w:rsidP="005A1CD3">
            <w:pPr>
              <w:pStyle w:val="BodyText"/>
            </w:pPr>
            <w:r w:rsidRPr="00A13FC5">
              <w:t xml:space="preserve">The </w:t>
            </w:r>
            <w:r w:rsidRPr="00A13FC5">
              <w:rPr>
                <w:i/>
              </w:rPr>
              <w:t>Local Government Act 2020</w:t>
            </w:r>
            <w:r w:rsidRPr="00A13FC5">
              <w:t xml:space="preserve"> is a </w:t>
            </w:r>
            <w:r>
              <w:t>principle</w:t>
            </w:r>
            <w:r w:rsidR="776C6548">
              <w:t>s</w:t>
            </w:r>
            <w:r w:rsidRPr="00A13FC5">
              <w:t xml:space="preserve">-based Act that enshrines the autonomy of local governments, including </w:t>
            </w:r>
            <w:r w:rsidR="00751398">
              <w:t>s</w:t>
            </w:r>
            <w:r w:rsidRPr="00A13FC5">
              <w:t>etting rates and charges. The Government believe</w:t>
            </w:r>
            <w:r w:rsidR="0009126A">
              <w:t xml:space="preserve"> </w:t>
            </w:r>
            <w:r w:rsidRPr="00A13FC5">
              <w:t xml:space="preserve">the current Victorian integrity bodies and their roles overseeing local </w:t>
            </w:r>
            <w:r>
              <w:t>government</w:t>
            </w:r>
            <w:r w:rsidR="73779F1C">
              <w:t xml:space="preserve"> are</w:t>
            </w:r>
            <w:r w:rsidR="0009126A">
              <w:t xml:space="preserve"> </w:t>
            </w:r>
            <w:proofErr w:type="gramStart"/>
            <w:r w:rsidR="0009126A">
              <w:t>s</w:t>
            </w:r>
            <w:r w:rsidRPr="00A13FC5">
              <w:t>ufficient</w:t>
            </w:r>
            <w:proofErr w:type="gramEnd"/>
            <w:r w:rsidRPr="00A13FC5">
              <w:t>. This includes the role of the Essential Services Commission in monitoring compliance with the rate cap.</w:t>
            </w:r>
          </w:p>
          <w:p w14:paraId="0358BF6C" w14:textId="1352A40F" w:rsidR="004E7FCF" w:rsidRPr="00A13FC5" w:rsidRDefault="004E7FCF" w:rsidP="00516E8A">
            <w:pPr>
              <w:pStyle w:val="BodyText"/>
              <w:ind w:left="0"/>
            </w:pPr>
          </w:p>
        </w:tc>
      </w:tr>
      <w:tr w:rsidR="004E7FCF" w:rsidRPr="00AD4E26" w14:paraId="619C9D56" w14:textId="26F09B9A" w:rsidTr="009B081A">
        <w:trPr>
          <w:cantSplit/>
        </w:trPr>
        <w:tc>
          <w:tcPr>
            <w:tcW w:w="2670" w:type="pct"/>
            <w:gridSpan w:val="2"/>
          </w:tcPr>
          <w:p w14:paraId="3986BED7" w14:textId="77777777" w:rsidR="004E7FCF" w:rsidRPr="00AD4E26" w:rsidRDefault="004E7FCF" w:rsidP="005A1CD3">
            <w:pPr>
              <w:pStyle w:val="BodyText"/>
              <w:ind w:left="0" w:right="0"/>
              <w:rPr>
                <w:b/>
              </w:rPr>
            </w:pPr>
            <w:r w:rsidRPr="00AD4E26">
              <w:rPr>
                <w:b/>
              </w:rPr>
              <w:t xml:space="preserve">Recommendation 14: </w:t>
            </w:r>
            <w:r w:rsidRPr="00AD4E26">
              <w:t>Ensure that local councils continuously improve appropriate application of differential rates and receive training to support them in meeting this goal.</w:t>
            </w:r>
          </w:p>
        </w:tc>
        <w:tc>
          <w:tcPr>
            <w:tcW w:w="2330" w:type="pct"/>
            <w:shd w:val="clear" w:color="auto" w:fill="auto"/>
          </w:tcPr>
          <w:p w14:paraId="6841D619" w14:textId="5419B007" w:rsidR="004E7FCF" w:rsidRDefault="004E7FCF" w:rsidP="005A1CD3">
            <w:pPr>
              <w:pStyle w:val="BodyText"/>
            </w:pPr>
            <w:r>
              <w:t xml:space="preserve">Support in principle  </w:t>
            </w:r>
          </w:p>
          <w:p w14:paraId="1343B9BA" w14:textId="3227472C" w:rsidR="00597F41" w:rsidRDefault="00597F41" w:rsidP="00597F41">
            <w:pPr>
              <w:pStyle w:val="BodyText"/>
            </w:pPr>
            <w:r>
              <w:t xml:space="preserve">Better practice in </w:t>
            </w:r>
            <w:r w:rsidR="0C6912D4">
              <w:t>application practices for</w:t>
            </w:r>
            <w:r w:rsidR="0009126A">
              <w:t xml:space="preserve"> </w:t>
            </w:r>
            <w:r>
              <w:t>differential rates will improve rating outcomes and community engagement with local government.</w:t>
            </w:r>
          </w:p>
          <w:p w14:paraId="03942D56" w14:textId="4633C189" w:rsidR="004E7FCF" w:rsidRPr="00871A1A" w:rsidRDefault="004E7FCF" w:rsidP="005A1CD3">
            <w:pPr>
              <w:pStyle w:val="BodyText"/>
              <w:rPr>
                <w:i/>
                <w:iCs/>
              </w:rPr>
            </w:pPr>
            <w:r>
              <w:t>In</w:t>
            </w:r>
            <w:r w:rsidR="000F4ADE">
              <w:t xml:space="preserve"> </w:t>
            </w:r>
            <w:r w:rsidR="42BD0617">
              <w:t>line</w:t>
            </w:r>
            <w:r>
              <w:t xml:space="preserve"> with the </w:t>
            </w:r>
            <w:r w:rsidRPr="15BE19E8">
              <w:rPr>
                <w:i/>
              </w:rPr>
              <w:t>Local Government Act 2020</w:t>
            </w:r>
            <w:r>
              <w:t xml:space="preserve"> and the principle of local government autonomy</w:t>
            </w:r>
            <w:r w:rsidR="2DCC74A4">
              <w:t>,</w:t>
            </w:r>
            <w:r>
              <w:t xml:space="preserve"> local government administrations </w:t>
            </w:r>
            <w:r w:rsidR="6646BF89">
              <w:t>must</w:t>
            </w:r>
            <w:r>
              <w:t xml:space="preserve"> support council decision</w:t>
            </w:r>
            <w:r w:rsidR="09869B9C">
              <w:t>-</w:t>
            </w:r>
            <w:r>
              <w:t xml:space="preserve">making around rates, including during the councillor induction process.  The Government has made councillor induction training mandatory as part of the </w:t>
            </w:r>
            <w:r>
              <w:rPr>
                <w:i/>
                <w:iCs/>
              </w:rPr>
              <w:t>Local Government Act 2020.</w:t>
            </w:r>
          </w:p>
          <w:p w14:paraId="2A236C6A" w14:textId="5C0ACE6E" w:rsidR="004E7FCF" w:rsidRPr="00B64F78" w:rsidRDefault="004E7FCF">
            <w:pPr>
              <w:pStyle w:val="BodyText"/>
            </w:pPr>
          </w:p>
        </w:tc>
      </w:tr>
      <w:tr w:rsidR="004E7FCF" w:rsidRPr="00AD4E26" w14:paraId="657053E9" w14:textId="125701DB" w:rsidTr="009B081A">
        <w:trPr>
          <w:cantSplit/>
        </w:trPr>
        <w:tc>
          <w:tcPr>
            <w:tcW w:w="2670" w:type="pct"/>
            <w:gridSpan w:val="2"/>
          </w:tcPr>
          <w:p w14:paraId="504CDE5B" w14:textId="77777777" w:rsidR="004E7FCF" w:rsidRPr="00AD4E26" w:rsidRDefault="004E7FCF" w:rsidP="005A1CD3">
            <w:pPr>
              <w:pStyle w:val="BodyText"/>
              <w:ind w:left="0" w:right="0"/>
              <w:rPr>
                <w:b/>
              </w:rPr>
            </w:pPr>
            <w:r w:rsidRPr="00AD4E26">
              <w:rPr>
                <w:b/>
              </w:rPr>
              <w:t xml:space="preserve">Recommendation 15: </w:t>
            </w:r>
            <w:r w:rsidRPr="00AD4E26">
              <w:t>That the municipal charge be replaced by an optional ‘fixed charge’ without a legislative reference to a council’s administrative costs.</w:t>
            </w:r>
            <w:r w:rsidRPr="00AD4E26">
              <w:rPr>
                <w:b/>
              </w:rPr>
              <w:t xml:space="preserve"> </w:t>
            </w:r>
          </w:p>
          <w:p w14:paraId="2FFB3B67" w14:textId="77777777" w:rsidR="004E7FCF" w:rsidRPr="00AD4E26" w:rsidRDefault="004E7FCF" w:rsidP="005A1CD3">
            <w:pPr>
              <w:pStyle w:val="BodyText"/>
              <w:ind w:left="0" w:right="0"/>
              <w:rPr>
                <w:b/>
              </w:rPr>
            </w:pPr>
          </w:p>
        </w:tc>
        <w:tc>
          <w:tcPr>
            <w:tcW w:w="2330" w:type="pct"/>
            <w:shd w:val="clear" w:color="auto" w:fill="auto"/>
          </w:tcPr>
          <w:p w14:paraId="1E1C6B66" w14:textId="3692C628" w:rsidR="004E7FCF" w:rsidRDefault="37A8DFD9" w:rsidP="005A1CD3">
            <w:pPr>
              <w:pStyle w:val="BodyText"/>
            </w:pPr>
            <w:r>
              <w:t>Do n</w:t>
            </w:r>
            <w:r w:rsidR="004E7FCF">
              <w:t>ot support</w:t>
            </w:r>
          </w:p>
          <w:p w14:paraId="689B1E96" w14:textId="37C8B92F" w:rsidR="004E7FCF" w:rsidRDefault="004E7FCF" w:rsidP="005A1CD3">
            <w:pPr>
              <w:pStyle w:val="BodyText"/>
            </w:pPr>
            <w:r w:rsidRPr="00D67482">
              <w:t xml:space="preserve">The Government does not </w:t>
            </w:r>
            <w:r w:rsidR="033C3C5C">
              <w:t xml:space="preserve">intend </w:t>
            </w:r>
            <w:r>
              <w:t>to</w:t>
            </w:r>
            <w:r w:rsidRPr="00D67482">
              <w:t xml:space="preserve"> make</w:t>
            </w:r>
            <w:r>
              <w:t xml:space="preserve"> any</w:t>
            </w:r>
            <w:r w:rsidRPr="00D67482">
              <w:t xml:space="preserve"> substantial changes to the arrangements for general rates.</w:t>
            </w:r>
          </w:p>
        </w:tc>
      </w:tr>
      <w:tr w:rsidR="004E7FCF" w:rsidRPr="00AD4E26" w14:paraId="56969E95" w14:textId="1E3E8FB2" w:rsidTr="009B081A">
        <w:trPr>
          <w:cantSplit/>
        </w:trPr>
        <w:tc>
          <w:tcPr>
            <w:tcW w:w="2670" w:type="pct"/>
            <w:gridSpan w:val="2"/>
          </w:tcPr>
          <w:p w14:paraId="21500BDB" w14:textId="77777777" w:rsidR="004E7FCF" w:rsidRPr="00AD4E26" w:rsidRDefault="004E7FCF" w:rsidP="005A1CD3">
            <w:pPr>
              <w:pStyle w:val="BodyText"/>
              <w:ind w:left="0" w:right="0"/>
              <w:rPr>
                <w:b/>
              </w:rPr>
            </w:pPr>
            <w:r w:rsidRPr="00AD4E26">
              <w:rPr>
                <w:b/>
              </w:rPr>
              <w:lastRenderedPageBreak/>
              <w:t xml:space="preserve">Recommendation 16: </w:t>
            </w:r>
            <w:r w:rsidRPr="00AD4E26">
              <w:t>That the maximum amount that may be raised in general rates by way of a fixed charge remain at 20 per cent.</w:t>
            </w:r>
          </w:p>
        </w:tc>
        <w:tc>
          <w:tcPr>
            <w:tcW w:w="2330" w:type="pct"/>
            <w:shd w:val="clear" w:color="auto" w:fill="auto"/>
          </w:tcPr>
          <w:p w14:paraId="5EBF00F6" w14:textId="77777777" w:rsidR="004E7FCF" w:rsidRDefault="004E7FCF" w:rsidP="00083EAE">
            <w:pPr>
              <w:pStyle w:val="BodyText"/>
            </w:pPr>
            <w:r>
              <w:t>Support in full</w:t>
            </w:r>
          </w:p>
          <w:p w14:paraId="1241A5D8" w14:textId="4037077F" w:rsidR="004E7FCF" w:rsidRDefault="7D96CD70" w:rsidP="00083EAE">
            <w:pPr>
              <w:pStyle w:val="BodyText"/>
            </w:pPr>
            <w:r>
              <w:t xml:space="preserve">The </w:t>
            </w:r>
            <w:r w:rsidR="004E7FCF">
              <w:t xml:space="preserve">current arrangement for maximum use of the municipal charge is appropriate, while </w:t>
            </w:r>
            <w:r w:rsidR="13BA3C97">
              <w:t>emphasising</w:t>
            </w:r>
            <w:r w:rsidR="004E7FCF">
              <w:t xml:space="preserve"> the importance of council transparency in its use and setting.</w:t>
            </w:r>
          </w:p>
        </w:tc>
      </w:tr>
      <w:tr w:rsidR="004E7FCF" w:rsidRPr="00AD4E26" w14:paraId="251FD485" w14:textId="7F131E3C" w:rsidTr="009B081A">
        <w:trPr>
          <w:cantSplit/>
        </w:trPr>
        <w:tc>
          <w:tcPr>
            <w:tcW w:w="2670" w:type="pct"/>
            <w:gridSpan w:val="2"/>
          </w:tcPr>
          <w:p w14:paraId="6B4EA8A5" w14:textId="77777777" w:rsidR="004E7FCF" w:rsidRPr="00AD4E26" w:rsidRDefault="004E7FCF" w:rsidP="005A1CD3">
            <w:pPr>
              <w:pStyle w:val="BodyText"/>
              <w:ind w:left="0" w:right="0"/>
              <w:rPr>
                <w:b/>
              </w:rPr>
            </w:pPr>
            <w:r w:rsidRPr="00AD4E26">
              <w:rPr>
                <w:b/>
              </w:rPr>
              <w:t xml:space="preserve">Recommendation 17: </w:t>
            </w:r>
            <w:r w:rsidRPr="00AD4E26">
              <w:t>That the Single Farming Enterprise Exemption from the municipal charge be reconsidered against the principle of horizontal equity across all enterprises.</w:t>
            </w:r>
          </w:p>
        </w:tc>
        <w:tc>
          <w:tcPr>
            <w:tcW w:w="2330" w:type="pct"/>
            <w:shd w:val="clear" w:color="auto" w:fill="auto"/>
          </w:tcPr>
          <w:p w14:paraId="235C6A1B" w14:textId="212D5F7F" w:rsidR="004E7FCF" w:rsidRDefault="29263D49" w:rsidP="00E45FFC">
            <w:pPr>
              <w:pStyle w:val="BodyText"/>
            </w:pPr>
            <w:r>
              <w:t>Do n</w:t>
            </w:r>
            <w:r w:rsidR="004E7FCF">
              <w:t>ot support</w:t>
            </w:r>
          </w:p>
          <w:p w14:paraId="3E34B4B4" w14:textId="54A1748C" w:rsidR="004E7FCF" w:rsidRDefault="004E7FCF" w:rsidP="00E45FFC">
            <w:pPr>
              <w:pStyle w:val="BodyText"/>
            </w:pPr>
            <w:r w:rsidRPr="00D67482">
              <w:t>The Government does not</w:t>
            </w:r>
            <w:r w:rsidR="00810D25">
              <w:t xml:space="preserve"> </w:t>
            </w:r>
            <w:r w:rsidR="36DD7038">
              <w:t>intend</w:t>
            </w:r>
            <w:r w:rsidRPr="00D67482">
              <w:t xml:space="preserve"> to make</w:t>
            </w:r>
            <w:r>
              <w:t xml:space="preserve"> any</w:t>
            </w:r>
            <w:r w:rsidRPr="00D67482">
              <w:t xml:space="preserve"> substantial changes to arrangements for general rates</w:t>
            </w:r>
            <w:r>
              <w:t xml:space="preserve"> that would </w:t>
            </w:r>
            <w:r w:rsidR="00B20C56">
              <w:t xml:space="preserve">negatively </w:t>
            </w:r>
            <w:r>
              <w:t xml:space="preserve">impact on a </w:t>
            </w:r>
            <w:proofErr w:type="gramStart"/>
            <w:r>
              <w:t>particular cohort</w:t>
            </w:r>
            <w:proofErr w:type="gramEnd"/>
            <w:r>
              <w:t xml:space="preserve"> of ratepayers</w:t>
            </w:r>
            <w:r w:rsidRPr="00D67482">
              <w:t>.</w:t>
            </w:r>
            <w:r>
              <w:t xml:space="preserve"> The </w:t>
            </w:r>
            <w:r w:rsidRPr="00442115">
              <w:t>Single Farming Enterprise Exemption</w:t>
            </w:r>
            <w:r>
              <w:t xml:space="preserve"> ensures farmers wi</w:t>
            </w:r>
            <w:r w:rsidR="00B20C56">
              <w:t>th</w:t>
            </w:r>
            <w:r>
              <w:t xml:space="preserve"> multiple rateable properties are not required to pay more than one municipal charge</w:t>
            </w:r>
            <w:r w:rsidR="00B20C56">
              <w:t xml:space="preserve"> when the properties are </w:t>
            </w:r>
            <w:r w:rsidR="00324D3C">
              <w:t>operated as a single enterprise</w:t>
            </w:r>
            <w:r>
              <w:t xml:space="preserve">. </w:t>
            </w:r>
          </w:p>
        </w:tc>
      </w:tr>
      <w:tr w:rsidR="004E7FCF" w:rsidRPr="00AD4E26" w14:paraId="1FA66F3B" w14:textId="606A3299" w:rsidTr="009B081A">
        <w:trPr>
          <w:cantSplit/>
        </w:trPr>
        <w:tc>
          <w:tcPr>
            <w:tcW w:w="2670" w:type="pct"/>
            <w:gridSpan w:val="2"/>
          </w:tcPr>
          <w:p w14:paraId="16E1BADE" w14:textId="77777777" w:rsidR="004E7FCF" w:rsidRPr="00AD4E26" w:rsidRDefault="004E7FCF" w:rsidP="005A1CD3">
            <w:pPr>
              <w:pStyle w:val="BodyText"/>
              <w:ind w:left="0" w:right="0"/>
              <w:rPr>
                <w:b/>
              </w:rPr>
            </w:pPr>
            <w:r w:rsidRPr="00AD4E26">
              <w:rPr>
                <w:b/>
              </w:rPr>
              <w:t>Recommendation 18</w:t>
            </w:r>
            <w:r w:rsidRPr="00AD4E26">
              <w:t xml:space="preserve">: Retain the current rate exemptions for Crown or council land that is unoccupied or used for public or municipal purposes. </w:t>
            </w:r>
          </w:p>
        </w:tc>
        <w:tc>
          <w:tcPr>
            <w:tcW w:w="2330" w:type="pct"/>
            <w:shd w:val="clear" w:color="auto" w:fill="auto"/>
          </w:tcPr>
          <w:p w14:paraId="50537A22" w14:textId="021A961D" w:rsidR="004E7FCF" w:rsidRDefault="004E7FCF" w:rsidP="005A1CD3">
            <w:pPr>
              <w:pStyle w:val="BodyText"/>
            </w:pPr>
            <w:r>
              <w:t>Support in full</w:t>
            </w:r>
          </w:p>
        </w:tc>
      </w:tr>
      <w:tr w:rsidR="004E7FCF" w:rsidRPr="00AD4E26" w14:paraId="07969A16" w14:textId="27E1FD83" w:rsidTr="009B081A">
        <w:trPr>
          <w:cantSplit/>
        </w:trPr>
        <w:tc>
          <w:tcPr>
            <w:tcW w:w="2670" w:type="pct"/>
            <w:gridSpan w:val="2"/>
          </w:tcPr>
          <w:p w14:paraId="4F05FEBA" w14:textId="6151FCDF" w:rsidR="004E7FCF" w:rsidRPr="00AD4E26" w:rsidRDefault="004E7FCF" w:rsidP="005A1CD3">
            <w:pPr>
              <w:pStyle w:val="BodyText"/>
              <w:ind w:left="0" w:right="0"/>
              <w:rPr>
                <w:b/>
              </w:rPr>
            </w:pPr>
            <w:r w:rsidRPr="00AD4E26">
              <w:rPr>
                <w:b/>
              </w:rPr>
              <w:t>Recommendation 19</w:t>
            </w:r>
            <w:r w:rsidRPr="00AD4E26">
              <w:t>: Repeal ownership-based and lessee-based criteria for the purposes of rating exemptions, including those for mining, rail operators, and residences or places of education for ministers</w:t>
            </w:r>
            <w:r>
              <w:t>.</w:t>
            </w:r>
          </w:p>
        </w:tc>
        <w:tc>
          <w:tcPr>
            <w:tcW w:w="2330" w:type="pct"/>
            <w:shd w:val="clear" w:color="auto" w:fill="auto"/>
          </w:tcPr>
          <w:p w14:paraId="4BC8C114" w14:textId="049B6FD3" w:rsidR="004E7FCF" w:rsidRDefault="2913C8AD" w:rsidP="00077E54">
            <w:pPr>
              <w:pStyle w:val="BodyText"/>
            </w:pPr>
            <w:r>
              <w:t>Do n</w:t>
            </w:r>
            <w:r w:rsidR="004E7FCF">
              <w:t>ot support</w:t>
            </w:r>
          </w:p>
          <w:p w14:paraId="1D114F28" w14:textId="024033C2" w:rsidR="004E7FCF" w:rsidRDefault="00F52B5B" w:rsidP="00077E54">
            <w:pPr>
              <w:pStyle w:val="BodyText"/>
            </w:pPr>
            <w:r w:rsidRPr="00F52B5B">
              <w:t>The Government does not support reform that would remove current rate exemption arrangements</w:t>
            </w:r>
            <w:r w:rsidR="004E7FCF">
              <w:t xml:space="preserve">. </w:t>
            </w:r>
          </w:p>
          <w:p w14:paraId="6137B48A" w14:textId="08152264" w:rsidR="004E7FCF" w:rsidRPr="00E32975" w:rsidRDefault="004E7FCF" w:rsidP="00E32975">
            <w:pPr>
              <w:pStyle w:val="BodyText"/>
            </w:pPr>
            <w:r>
              <w:t xml:space="preserve">Such significant changes could increase business and investment uncertainty and risk during the </w:t>
            </w:r>
            <w:r w:rsidR="3C81119C">
              <w:t>coronavirus (</w:t>
            </w:r>
            <w:r>
              <w:t>COVID-19</w:t>
            </w:r>
            <w:r w:rsidR="5B49DF71">
              <w:t>)</w:t>
            </w:r>
            <w:r>
              <w:t xml:space="preserve"> pandemic and post</w:t>
            </w:r>
            <w:r w:rsidR="4DE90B60">
              <w:t>-</w:t>
            </w:r>
            <w:r>
              <w:t>pandemic recovery.</w:t>
            </w:r>
          </w:p>
        </w:tc>
      </w:tr>
      <w:tr w:rsidR="004E7FCF" w:rsidRPr="00AD4E26" w14:paraId="636BEDCE" w14:textId="593A4EF2" w:rsidTr="009B081A">
        <w:trPr>
          <w:cantSplit/>
        </w:trPr>
        <w:tc>
          <w:tcPr>
            <w:tcW w:w="2670" w:type="pct"/>
            <w:gridSpan w:val="2"/>
          </w:tcPr>
          <w:p w14:paraId="37A1E482" w14:textId="77777777" w:rsidR="004E7FCF" w:rsidRPr="00AD4E26" w:rsidRDefault="004E7FCF" w:rsidP="005A1CD3">
            <w:pPr>
              <w:pStyle w:val="BodyText"/>
              <w:ind w:left="0" w:right="0"/>
              <w:rPr>
                <w:b/>
              </w:rPr>
            </w:pPr>
            <w:r w:rsidRPr="00AD4E26">
              <w:rPr>
                <w:b/>
              </w:rPr>
              <w:t>Recommendation 20:</w:t>
            </w:r>
            <w:r w:rsidRPr="00AD4E26">
              <w:t xml:space="preserve"> Repeal the exemption for land used exclusively for charitable purposes. </w:t>
            </w:r>
          </w:p>
        </w:tc>
        <w:tc>
          <w:tcPr>
            <w:tcW w:w="2330" w:type="pct"/>
            <w:shd w:val="clear" w:color="auto" w:fill="auto"/>
          </w:tcPr>
          <w:p w14:paraId="61E4610E" w14:textId="2ED9EC9F" w:rsidR="004E7FCF" w:rsidRDefault="014ACF74" w:rsidP="00FF424E">
            <w:pPr>
              <w:pStyle w:val="BodyText"/>
            </w:pPr>
            <w:r>
              <w:t>Do n</w:t>
            </w:r>
            <w:r w:rsidR="004E7FCF">
              <w:t>ot support</w:t>
            </w:r>
          </w:p>
          <w:p w14:paraId="31EAB5C7" w14:textId="18B481D2" w:rsidR="004E7FCF" w:rsidRDefault="00F52B5B" w:rsidP="00FF424E">
            <w:pPr>
              <w:pStyle w:val="BodyText"/>
            </w:pPr>
            <w:r w:rsidRPr="00F52B5B">
              <w:t>The Government does not support reform that would remove current rate exemption arrangements</w:t>
            </w:r>
            <w:r w:rsidR="004E7FCF">
              <w:t xml:space="preserve">. </w:t>
            </w:r>
          </w:p>
          <w:p w14:paraId="64002ED4" w14:textId="615F12F7" w:rsidR="004E7FCF" w:rsidRPr="00E32975" w:rsidRDefault="004E7FCF" w:rsidP="00E32975">
            <w:pPr>
              <w:pStyle w:val="BodyText"/>
            </w:pPr>
            <w:r>
              <w:t>Such changes could create significant uncertainty for not-for-profits, charities and educational institutions.</w:t>
            </w:r>
          </w:p>
        </w:tc>
      </w:tr>
      <w:tr w:rsidR="004E7FCF" w:rsidRPr="00AD4E26" w14:paraId="7B78375F" w14:textId="246702A4" w:rsidTr="009B081A">
        <w:trPr>
          <w:cantSplit/>
        </w:trPr>
        <w:tc>
          <w:tcPr>
            <w:tcW w:w="2670" w:type="pct"/>
            <w:gridSpan w:val="2"/>
          </w:tcPr>
          <w:p w14:paraId="3E8EE861" w14:textId="77777777" w:rsidR="004E7FCF" w:rsidRPr="00AD4E26" w:rsidRDefault="004E7FCF" w:rsidP="005A1CD3">
            <w:pPr>
              <w:pStyle w:val="BodyText"/>
              <w:ind w:left="0" w:right="0"/>
              <w:rPr>
                <w:b/>
              </w:rPr>
            </w:pPr>
            <w:r w:rsidRPr="00AD4E26">
              <w:rPr>
                <w:b/>
              </w:rPr>
              <w:t>Recommendation 21:</w:t>
            </w:r>
            <w:r w:rsidRPr="00AD4E26">
              <w:t xml:space="preserve"> That further rate exemptions in legislation be determined </w:t>
            </w:r>
            <w:proofErr w:type="gramStart"/>
            <w:r w:rsidRPr="00AD4E26">
              <w:t>by the use of</w:t>
            </w:r>
            <w:proofErr w:type="gramEnd"/>
            <w:r w:rsidRPr="00AD4E26">
              <w:t xml:space="preserve"> the land, not its occupancy or ownership. </w:t>
            </w:r>
          </w:p>
        </w:tc>
        <w:tc>
          <w:tcPr>
            <w:tcW w:w="2330" w:type="pct"/>
            <w:shd w:val="clear" w:color="auto" w:fill="auto"/>
          </w:tcPr>
          <w:p w14:paraId="5E701BA7" w14:textId="2939562E" w:rsidR="004E7FCF" w:rsidRDefault="739E9829" w:rsidP="004D6A45">
            <w:pPr>
              <w:pStyle w:val="BodyText"/>
            </w:pPr>
            <w:r>
              <w:t>Do n</w:t>
            </w:r>
            <w:r w:rsidR="004E7FCF">
              <w:t>ot support</w:t>
            </w:r>
          </w:p>
          <w:p w14:paraId="0DE1C04B" w14:textId="4A8A2389" w:rsidR="004E7FCF" w:rsidRDefault="00F52B5B" w:rsidP="004D6A45">
            <w:pPr>
              <w:pStyle w:val="BodyText"/>
            </w:pPr>
            <w:r w:rsidRPr="00F52B5B">
              <w:t>The Government does not support reform that would remove current rate exemption arrangements</w:t>
            </w:r>
            <w:r w:rsidR="004E7FCF">
              <w:t xml:space="preserve">. </w:t>
            </w:r>
          </w:p>
          <w:p w14:paraId="45C900BE" w14:textId="2A99F9A4" w:rsidR="004E7FCF" w:rsidRPr="00FB5147" w:rsidRDefault="004E7FCF" w:rsidP="005A1CD3">
            <w:pPr>
              <w:pStyle w:val="BodyText"/>
            </w:pPr>
            <w:r w:rsidRPr="004023E7">
              <w:t xml:space="preserve">Such significant changes could increase business and investment uncertainty and risk during the </w:t>
            </w:r>
            <w:r w:rsidR="1FDEC82C">
              <w:t>coronavirus (</w:t>
            </w:r>
            <w:r w:rsidRPr="004023E7">
              <w:t>COVID-19</w:t>
            </w:r>
            <w:r w:rsidR="51BA1D36">
              <w:t>)</w:t>
            </w:r>
            <w:r w:rsidRPr="004023E7">
              <w:t xml:space="preserve"> pandemic and post</w:t>
            </w:r>
            <w:r w:rsidR="17BBBB65">
              <w:t>-</w:t>
            </w:r>
            <w:r w:rsidRPr="004023E7">
              <w:t>pandemic recovery.</w:t>
            </w:r>
          </w:p>
        </w:tc>
      </w:tr>
      <w:tr w:rsidR="004E7FCF" w:rsidRPr="00AD4E26" w14:paraId="00A157F1" w14:textId="1B3D0278" w:rsidTr="009B081A">
        <w:trPr>
          <w:cantSplit/>
        </w:trPr>
        <w:tc>
          <w:tcPr>
            <w:tcW w:w="2670" w:type="pct"/>
            <w:gridSpan w:val="2"/>
          </w:tcPr>
          <w:p w14:paraId="4DF120EF" w14:textId="77777777" w:rsidR="004E7FCF" w:rsidRPr="00AD4E26" w:rsidRDefault="004E7FCF" w:rsidP="005A1CD3">
            <w:pPr>
              <w:pStyle w:val="BodyText"/>
              <w:ind w:left="0" w:right="0"/>
            </w:pPr>
            <w:r w:rsidRPr="00AD4E26">
              <w:rPr>
                <w:b/>
              </w:rPr>
              <w:lastRenderedPageBreak/>
              <w:t>Recommendation 22:</w:t>
            </w:r>
            <w:r w:rsidRPr="00AD4E26">
              <w:t xml:space="preserve"> In accordance with Recommendation 21 of this Report, include the following criteria for a public benefit test in the legislation:</w:t>
            </w:r>
          </w:p>
          <w:p w14:paraId="3689608B" w14:textId="77777777" w:rsidR="004E7FCF" w:rsidRPr="00AD4E26" w:rsidRDefault="004E7FCF" w:rsidP="00871A1A">
            <w:pPr>
              <w:pStyle w:val="ListBullet"/>
            </w:pPr>
            <w:r w:rsidRPr="00AD4E26">
              <w:t>exempt land must be used for the public benefit; and</w:t>
            </w:r>
          </w:p>
          <w:p w14:paraId="4F4987AA" w14:textId="77777777" w:rsidR="004E7FCF" w:rsidRDefault="004E7FCF" w:rsidP="00871A1A">
            <w:pPr>
              <w:pStyle w:val="ListBullet"/>
            </w:pPr>
            <w:r w:rsidRPr="00AD4E26">
              <w:t>not for the purposes of either</w:t>
            </w:r>
            <w:r>
              <w:t>:</w:t>
            </w:r>
          </w:p>
          <w:p w14:paraId="52E6766C" w14:textId="77777777" w:rsidR="004E7FCF" w:rsidRPr="009B081A" w:rsidRDefault="004E7FCF" w:rsidP="00871A1A">
            <w:pPr>
              <w:pStyle w:val="ListBullet2"/>
            </w:pPr>
            <w:r w:rsidRPr="00D64170">
              <w:t>distribution of profit to members or shareholders by the entity using the land, either during operation or wind-up; or</w:t>
            </w:r>
          </w:p>
          <w:p w14:paraId="6E59FC20" w14:textId="77777777" w:rsidR="004E7FCF" w:rsidRPr="009B081A" w:rsidRDefault="004E7FCF" w:rsidP="00871A1A">
            <w:pPr>
              <w:pStyle w:val="ListBullet2"/>
            </w:pPr>
            <w:r w:rsidRPr="009B081A">
              <w:t>market rental return; and</w:t>
            </w:r>
          </w:p>
          <w:p w14:paraId="0D2A513D" w14:textId="77777777" w:rsidR="004E7FCF" w:rsidRPr="00AD4E26" w:rsidRDefault="004E7FCF" w:rsidP="00871A1A">
            <w:pPr>
              <w:pStyle w:val="ListBullet"/>
            </w:pPr>
            <w:r w:rsidRPr="00AD4E26">
              <w:t>for the direct provision of a service or good that is available to the public or an appreciable portion of the public free of charge or with a nominal charge.</w:t>
            </w:r>
          </w:p>
          <w:p w14:paraId="2B7B3D25" w14:textId="77777777" w:rsidR="004E7FCF" w:rsidRPr="00AD4E26" w:rsidRDefault="004E7FCF" w:rsidP="005A1CD3">
            <w:pPr>
              <w:pStyle w:val="BodyText"/>
              <w:ind w:left="0" w:right="0"/>
              <w:rPr>
                <w:b/>
              </w:rPr>
            </w:pPr>
          </w:p>
        </w:tc>
        <w:tc>
          <w:tcPr>
            <w:tcW w:w="2330" w:type="pct"/>
            <w:shd w:val="clear" w:color="auto" w:fill="auto"/>
          </w:tcPr>
          <w:p w14:paraId="311B8D8D" w14:textId="700ADC92" w:rsidR="004E7FCF" w:rsidRDefault="22F20D83" w:rsidP="00C93BD8">
            <w:pPr>
              <w:pStyle w:val="BodyText"/>
            </w:pPr>
            <w:r>
              <w:t>Do n</w:t>
            </w:r>
            <w:r w:rsidR="004E7FCF">
              <w:t>ot support</w:t>
            </w:r>
          </w:p>
          <w:p w14:paraId="42ECBB18" w14:textId="12765071" w:rsidR="004E7FCF" w:rsidRDefault="00F52B5B" w:rsidP="00C93BD8">
            <w:pPr>
              <w:pStyle w:val="BodyText"/>
            </w:pPr>
            <w:r w:rsidRPr="00F52B5B">
              <w:t>The Government does not support reform that would remove current rate exemption arrangements</w:t>
            </w:r>
            <w:r w:rsidR="004E7FCF">
              <w:t xml:space="preserve">. </w:t>
            </w:r>
          </w:p>
          <w:p w14:paraId="5DDBB327" w14:textId="4F8055E2" w:rsidR="004E7FCF" w:rsidRPr="00316A45" w:rsidRDefault="004E7FCF" w:rsidP="005A1CD3">
            <w:pPr>
              <w:pStyle w:val="BodyText"/>
            </w:pPr>
            <w:r w:rsidRPr="004023E7">
              <w:t xml:space="preserve">Such significant changes could increase business and investment uncertainty and risk during the </w:t>
            </w:r>
            <w:r w:rsidR="72F48C01">
              <w:t xml:space="preserve">coronavirus </w:t>
            </w:r>
            <w:r w:rsidR="1E5A6DE5">
              <w:t>(</w:t>
            </w:r>
            <w:r w:rsidRPr="004023E7">
              <w:t>COVID-19</w:t>
            </w:r>
            <w:r w:rsidR="1C3F8122">
              <w:t>)</w:t>
            </w:r>
            <w:r w:rsidRPr="004023E7">
              <w:t xml:space="preserve"> pandemic and post</w:t>
            </w:r>
            <w:r w:rsidR="4A099707">
              <w:t>-</w:t>
            </w:r>
            <w:r w:rsidRPr="004023E7">
              <w:t>pandemic recovery.</w:t>
            </w:r>
          </w:p>
        </w:tc>
      </w:tr>
      <w:tr w:rsidR="004E7FCF" w:rsidRPr="00AD4E26" w14:paraId="55CD276C" w14:textId="463EAAA9" w:rsidTr="009B081A">
        <w:trPr>
          <w:cantSplit/>
        </w:trPr>
        <w:tc>
          <w:tcPr>
            <w:tcW w:w="2670" w:type="pct"/>
            <w:gridSpan w:val="2"/>
          </w:tcPr>
          <w:p w14:paraId="48B76D00" w14:textId="77777777" w:rsidR="004E7FCF" w:rsidRPr="00AD4E26" w:rsidRDefault="004E7FCF" w:rsidP="005A1CD3">
            <w:pPr>
              <w:pStyle w:val="BodyText"/>
              <w:ind w:left="0" w:right="0"/>
            </w:pPr>
            <w:r w:rsidRPr="00AD4E26">
              <w:rPr>
                <w:b/>
              </w:rPr>
              <w:t>Recommendation 23:</w:t>
            </w:r>
            <w:r w:rsidRPr="00AD4E26">
              <w:t xml:space="preserve"> That the regulations (see Recommendation 2) include:</w:t>
            </w:r>
          </w:p>
          <w:p w14:paraId="3FDD7889" w14:textId="77777777" w:rsidR="004E7FCF" w:rsidRPr="00AD4E26" w:rsidRDefault="004E7FCF" w:rsidP="005A1CD3">
            <w:pPr>
              <w:pStyle w:val="BodyText"/>
              <w:ind w:left="0" w:right="0"/>
            </w:pPr>
            <w:r w:rsidRPr="00AD4E26">
              <w:t xml:space="preserve">a process for applying for, assessing and deciding on exemptions </w:t>
            </w:r>
            <w:proofErr w:type="gramStart"/>
            <w:r w:rsidRPr="00AD4E26">
              <w:t>on the basis of</w:t>
            </w:r>
            <w:proofErr w:type="gramEnd"/>
            <w:r w:rsidRPr="00AD4E26">
              <w:t xml:space="preserve"> the criteria in Recommendation 22; and</w:t>
            </w:r>
          </w:p>
          <w:p w14:paraId="1884AE97" w14:textId="323BD51D" w:rsidR="004E7FCF" w:rsidRPr="00E32975" w:rsidRDefault="004E7FCF" w:rsidP="005A1CD3">
            <w:pPr>
              <w:pStyle w:val="BodyText"/>
              <w:ind w:left="0" w:right="0"/>
            </w:pPr>
            <w:r w:rsidRPr="00AD4E26">
              <w:t>a requirement for information to be made available to the community through budget papers and annual reports on the application process, the assessment process, the decision-making process, the number of assessments provided with an exemption, the reasons for the decisions on exemptions, an estimate of the revenue reallocated to the rateable base due to exemptions, and the review date of exemptions.</w:t>
            </w:r>
          </w:p>
        </w:tc>
        <w:tc>
          <w:tcPr>
            <w:tcW w:w="2330" w:type="pct"/>
            <w:shd w:val="clear" w:color="auto" w:fill="auto"/>
          </w:tcPr>
          <w:p w14:paraId="407EFBCE" w14:textId="096BA1DC" w:rsidR="004E7FCF" w:rsidRDefault="5FE5E813" w:rsidP="00C93BD8">
            <w:pPr>
              <w:pStyle w:val="BodyText"/>
            </w:pPr>
            <w:r>
              <w:t>Do n</w:t>
            </w:r>
            <w:r w:rsidR="004E7FCF">
              <w:t>ot support</w:t>
            </w:r>
          </w:p>
          <w:p w14:paraId="3C585A09" w14:textId="5FF8C8A1" w:rsidR="004E7FCF" w:rsidRDefault="00F52B5B" w:rsidP="00C93BD8">
            <w:pPr>
              <w:pStyle w:val="BodyText"/>
            </w:pPr>
            <w:r w:rsidRPr="00F52B5B">
              <w:t>The Government does not support reform that would remove current rate exemption arrangements</w:t>
            </w:r>
            <w:r w:rsidR="004E7FCF">
              <w:t xml:space="preserve">. </w:t>
            </w:r>
          </w:p>
          <w:p w14:paraId="20191FD5" w14:textId="4B262597" w:rsidR="004E7FCF" w:rsidRPr="00B64F78" w:rsidRDefault="004E7FCF" w:rsidP="005A1CD3">
            <w:pPr>
              <w:pStyle w:val="BodyText"/>
            </w:pPr>
            <w:r w:rsidRPr="00040739">
              <w:t xml:space="preserve">Such significant changes could increase business and investment uncertainty and risk during the </w:t>
            </w:r>
            <w:r w:rsidR="1FF2F518">
              <w:t>coronavirus (</w:t>
            </w:r>
            <w:r w:rsidRPr="00040739">
              <w:t>COVID-19</w:t>
            </w:r>
            <w:r w:rsidR="4C9C99C0">
              <w:t>)</w:t>
            </w:r>
            <w:r w:rsidRPr="00040739">
              <w:t xml:space="preserve"> pandemic and post</w:t>
            </w:r>
            <w:r w:rsidR="2F833305">
              <w:t>-</w:t>
            </w:r>
            <w:r w:rsidRPr="00040739">
              <w:t>pandemic recovery.</w:t>
            </w:r>
          </w:p>
        </w:tc>
      </w:tr>
      <w:tr w:rsidR="004E7FCF" w:rsidRPr="00AD4E26" w14:paraId="59E4F336" w14:textId="1D3E7E48" w:rsidTr="009B081A">
        <w:trPr>
          <w:cantSplit/>
        </w:trPr>
        <w:tc>
          <w:tcPr>
            <w:tcW w:w="2670" w:type="pct"/>
            <w:gridSpan w:val="2"/>
          </w:tcPr>
          <w:p w14:paraId="3A6E3AE4" w14:textId="77777777" w:rsidR="004E7FCF" w:rsidRPr="00AD4E26" w:rsidRDefault="004E7FCF" w:rsidP="005A1CD3">
            <w:pPr>
              <w:pStyle w:val="BodyText"/>
              <w:ind w:left="0" w:right="0"/>
            </w:pPr>
            <w:r w:rsidRPr="00AD4E26">
              <w:rPr>
                <w:b/>
              </w:rPr>
              <w:t>Recommendation 24:</w:t>
            </w:r>
            <w:r w:rsidRPr="00AD4E26">
              <w:t xml:space="preserve"> That the regulations (see Recommendation 2) require exemptions to be reviewed at least 2 years after the election of a council and that an audit of the compliance of an exempt entity with the criteria for exemption is undertaken every two years. </w:t>
            </w:r>
          </w:p>
          <w:p w14:paraId="31D622CF" w14:textId="77777777" w:rsidR="004E7FCF" w:rsidRPr="00AD4E26" w:rsidRDefault="004E7FCF" w:rsidP="005A1CD3">
            <w:pPr>
              <w:pStyle w:val="BodyText"/>
              <w:ind w:left="0" w:right="0"/>
              <w:rPr>
                <w:b/>
              </w:rPr>
            </w:pPr>
          </w:p>
        </w:tc>
        <w:tc>
          <w:tcPr>
            <w:tcW w:w="2330" w:type="pct"/>
            <w:shd w:val="clear" w:color="auto" w:fill="auto"/>
          </w:tcPr>
          <w:p w14:paraId="029342D4" w14:textId="02B542F5" w:rsidR="004E7FCF" w:rsidRDefault="4AFA49F8" w:rsidP="0078038B">
            <w:pPr>
              <w:pStyle w:val="BodyText"/>
            </w:pPr>
            <w:r>
              <w:t>Do not</w:t>
            </w:r>
            <w:r w:rsidR="004E7FCF">
              <w:t xml:space="preserve"> support</w:t>
            </w:r>
          </w:p>
          <w:p w14:paraId="021E94BF" w14:textId="6635B090" w:rsidR="004E7FCF" w:rsidRDefault="00F52B5B" w:rsidP="0078038B">
            <w:pPr>
              <w:pStyle w:val="BodyText"/>
            </w:pPr>
            <w:r w:rsidRPr="00F52B5B">
              <w:t>The Government does not support reform that would remove current rate exemption arrangements</w:t>
            </w:r>
            <w:r w:rsidR="004E7FCF">
              <w:t xml:space="preserve">. </w:t>
            </w:r>
          </w:p>
          <w:p w14:paraId="4B6B460C" w14:textId="7CAF13F0" w:rsidR="004E7FCF" w:rsidRPr="00B64F78" w:rsidRDefault="004E7FCF" w:rsidP="005A1CD3">
            <w:pPr>
              <w:pStyle w:val="BodyText"/>
            </w:pPr>
            <w:r w:rsidRPr="00040739">
              <w:t xml:space="preserve">Such significant changes could increase business and investment uncertainty and risk during the </w:t>
            </w:r>
            <w:r w:rsidR="0AF8220F">
              <w:t>coronavirus (</w:t>
            </w:r>
            <w:r w:rsidRPr="00040739">
              <w:t>COVID-19</w:t>
            </w:r>
            <w:r w:rsidR="1048AF25">
              <w:t>)</w:t>
            </w:r>
            <w:r w:rsidRPr="00040739">
              <w:t xml:space="preserve"> pandemic and post</w:t>
            </w:r>
            <w:r w:rsidR="4137C920">
              <w:t>-</w:t>
            </w:r>
            <w:r w:rsidRPr="00040739">
              <w:t>pandemic recovery.</w:t>
            </w:r>
          </w:p>
        </w:tc>
      </w:tr>
      <w:tr w:rsidR="004E7FCF" w:rsidRPr="00AD4E26" w14:paraId="20F79D7F" w14:textId="67D68EA3" w:rsidTr="009B081A">
        <w:trPr>
          <w:cantSplit/>
        </w:trPr>
        <w:tc>
          <w:tcPr>
            <w:tcW w:w="2670" w:type="pct"/>
            <w:gridSpan w:val="2"/>
          </w:tcPr>
          <w:p w14:paraId="3F5351C8" w14:textId="77777777" w:rsidR="004E7FCF" w:rsidRPr="00AD4E26" w:rsidRDefault="004E7FCF" w:rsidP="005A1CD3">
            <w:pPr>
              <w:pStyle w:val="BodyText"/>
              <w:ind w:left="0" w:right="0"/>
            </w:pPr>
            <w:r w:rsidRPr="00AD4E26">
              <w:rPr>
                <w:b/>
              </w:rPr>
              <w:t>Recommendation 25:</w:t>
            </w:r>
            <w:r w:rsidRPr="00AD4E26">
              <w:t xml:space="preserve"> That the approach to exemptions recommended above is designed and implemented in consultation with councils and stakeholders to ensure that adjustments can be made to the operation of the entities affected to maximise their opportunities for exemptions. </w:t>
            </w:r>
          </w:p>
          <w:p w14:paraId="7A754676" w14:textId="77777777" w:rsidR="004E7FCF" w:rsidRPr="00AD4E26" w:rsidRDefault="004E7FCF" w:rsidP="005A1CD3">
            <w:pPr>
              <w:pStyle w:val="BodyText"/>
              <w:ind w:left="0" w:right="0"/>
              <w:rPr>
                <w:b/>
              </w:rPr>
            </w:pPr>
          </w:p>
        </w:tc>
        <w:tc>
          <w:tcPr>
            <w:tcW w:w="2330" w:type="pct"/>
            <w:shd w:val="clear" w:color="auto" w:fill="auto"/>
          </w:tcPr>
          <w:p w14:paraId="12C6E3EC" w14:textId="639CD21A" w:rsidR="004E7FCF" w:rsidRDefault="7AFC8A3B" w:rsidP="0078038B">
            <w:pPr>
              <w:pStyle w:val="BodyText"/>
            </w:pPr>
            <w:r>
              <w:t>Do n</w:t>
            </w:r>
            <w:r w:rsidR="004E7FCF">
              <w:t>ot support</w:t>
            </w:r>
          </w:p>
          <w:p w14:paraId="063F9E38" w14:textId="34C3699E" w:rsidR="004E7FCF" w:rsidRDefault="00F52B5B" w:rsidP="0078038B">
            <w:pPr>
              <w:pStyle w:val="BodyText"/>
            </w:pPr>
            <w:r w:rsidRPr="00F52B5B">
              <w:t>The Government does not support reform that would remove current rate exemption arrangements</w:t>
            </w:r>
            <w:r w:rsidR="004E7FCF">
              <w:t xml:space="preserve">. </w:t>
            </w:r>
          </w:p>
          <w:p w14:paraId="34ADF3FA" w14:textId="442FC086" w:rsidR="004E7FCF" w:rsidRPr="00B64F78" w:rsidRDefault="004E7FCF" w:rsidP="005A1CD3">
            <w:pPr>
              <w:pStyle w:val="BodyText"/>
            </w:pPr>
            <w:r w:rsidRPr="00040739">
              <w:t xml:space="preserve">Such significant changes could increase business and investment uncertainty and risk during the </w:t>
            </w:r>
            <w:r w:rsidR="4C7A4008">
              <w:t>coronavirus (</w:t>
            </w:r>
            <w:r>
              <w:t>COVID</w:t>
            </w:r>
            <w:r w:rsidRPr="00040739">
              <w:t>-19</w:t>
            </w:r>
            <w:r w:rsidR="237F629F">
              <w:t>)</w:t>
            </w:r>
            <w:r w:rsidRPr="00040739">
              <w:t xml:space="preserve"> pandemic and post</w:t>
            </w:r>
            <w:r w:rsidR="2188412C">
              <w:t>-</w:t>
            </w:r>
            <w:r w:rsidRPr="00040739">
              <w:t>pandemic recovery.</w:t>
            </w:r>
          </w:p>
        </w:tc>
      </w:tr>
      <w:tr w:rsidR="004E7FCF" w:rsidRPr="00AD4E26" w14:paraId="22D59D7C" w14:textId="76936A4F" w:rsidTr="009B081A">
        <w:trPr>
          <w:cantSplit/>
        </w:trPr>
        <w:tc>
          <w:tcPr>
            <w:tcW w:w="2670" w:type="pct"/>
            <w:gridSpan w:val="2"/>
          </w:tcPr>
          <w:p w14:paraId="5661E0DC" w14:textId="77777777" w:rsidR="004E7FCF" w:rsidRPr="00AD4E26" w:rsidRDefault="004E7FCF" w:rsidP="005A1CD3">
            <w:pPr>
              <w:pStyle w:val="BodyText"/>
              <w:ind w:left="0" w:right="0"/>
            </w:pPr>
            <w:r w:rsidRPr="00AD4E26">
              <w:rPr>
                <w:b/>
              </w:rPr>
              <w:lastRenderedPageBreak/>
              <w:t>Recommendation 26:</w:t>
            </w:r>
            <w:r w:rsidRPr="00AD4E26">
              <w:t xml:space="preserve"> That further work be undertaken to consider the rating treatment of land use by traditional </w:t>
            </w:r>
            <w:proofErr w:type="gramStart"/>
            <w:r w:rsidRPr="00AD4E26">
              <w:t>land owners</w:t>
            </w:r>
            <w:proofErr w:type="gramEnd"/>
            <w:r w:rsidRPr="00AD4E26">
              <w:t xml:space="preserve">. </w:t>
            </w:r>
          </w:p>
          <w:p w14:paraId="03FC3BF5" w14:textId="77777777" w:rsidR="004E7FCF" w:rsidRPr="00AD4E26" w:rsidRDefault="004E7FCF" w:rsidP="005A1CD3">
            <w:pPr>
              <w:pStyle w:val="BodyText"/>
              <w:ind w:left="0" w:right="0"/>
              <w:rPr>
                <w:b/>
              </w:rPr>
            </w:pPr>
          </w:p>
        </w:tc>
        <w:tc>
          <w:tcPr>
            <w:tcW w:w="2330" w:type="pct"/>
            <w:shd w:val="clear" w:color="auto" w:fill="auto"/>
          </w:tcPr>
          <w:p w14:paraId="318E0F8E" w14:textId="76F9B4BC" w:rsidR="004E7FCF" w:rsidRDefault="004E7FCF" w:rsidP="005A1CD3">
            <w:pPr>
              <w:pStyle w:val="BodyText"/>
            </w:pPr>
            <w:r w:rsidRPr="001930C9">
              <w:t xml:space="preserve">Support in </w:t>
            </w:r>
            <w:r>
              <w:t>full</w:t>
            </w:r>
            <w:r w:rsidRPr="001930C9">
              <w:t xml:space="preserve">, noting need for significant further work </w:t>
            </w:r>
            <w:r>
              <w:t>in</w:t>
            </w:r>
            <w:r w:rsidRPr="001930C9">
              <w:t xml:space="preserve"> this </w:t>
            </w:r>
            <w:r>
              <w:t>area</w:t>
            </w:r>
            <w:r w:rsidRPr="001930C9">
              <w:t>.</w:t>
            </w:r>
            <w:r>
              <w:t xml:space="preserve"> </w:t>
            </w:r>
          </w:p>
          <w:p w14:paraId="7C852FB2" w14:textId="6C6327F3" w:rsidR="004E7FCF" w:rsidRPr="00B64F78" w:rsidRDefault="004E7FCF" w:rsidP="005A1CD3">
            <w:pPr>
              <w:pStyle w:val="BodyText"/>
            </w:pPr>
            <w:r>
              <w:t>Ensuring the rating system accommodates the contemporary and evolving circumstances of traditional landowners will benefit all Victorians.</w:t>
            </w:r>
          </w:p>
        </w:tc>
      </w:tr>
      <w:tr w:rsidR="004E7FCF" w:rsidRPr="00AD4E26" w14:paraId="2B2F3D1E" w14:textId="68EE3760" w:rsidTr="009B081A">
        <w:trPr>
          <w:cantSplit/>
        </w:trPr>
        <w:tc>
          <w:tcPr>
            <w:tcW w:w="2670" w:type="pct"/>
            <w:gridSpan w:val="2"/>
          </w:tcPr>
          <w:p w14:paraId="780762FA" w14:textId="77777777" w:rsidR="004E7FCF" w:rsidRPr="00AD4E26" w:rsidRDefault="004E7FCF" w:rsidP="005A1CD3">
            <w:pPr>
              <w:pStyle w:val="BodyText"/>
              <w:ind w:left="0" w:right="0"/>
              <w:rPr>
                <w:b/>
              </w:rPr>
            </w:pPr>
            <w:r w:rsidRPr="00AD4E26">
              <w:rPr>
                <w:b/>
              </w:rPr>
              <w:t>Recommendation 27:</w:t>
            </w:r>
            <w:r w:rsidRPr="00AD4E26">
              <w:t xml:space="preserve"> That the Victorian Government reconsider providing for local government rate exemptions in other legislation (such as the </w:t>
            </w:r>
            <w:r w:rsidRPr="00AD4E26">
              <w:rPr>
                <w:i/>
              </w:rPr>
              <w:t>Major Transport Projects Facilitation Act 2009</w:t>
            </w:r>
            <w:r w:rsidRPr="00AD4E26">
              <w:t>) and only provide rate exemptions by applying the public benefit criteria recommended above.</w:t>
            </w:r>
          </w:p>
        </w:tc>
        <w:tc>
          <w:tcPr>
            <w:tcW w:w="2330" w:type="pct"/>
            <w:shd w:val="clear" w:color="auto" w:fill="auto"/>
          </w:tcPr>
          <w:p w14:paraId="393373F1" w14:textId="64978B41" w:rsidR="004E7FCF" w:rsidRDefault="37F1AEF1" w:rsidP="001C7E5D">
            <w:pPr>
              <w:pStyle w:val="BodyText"/>
            </w:pPr>
            <w:r>
              <w:t>Do not</w:t>
            </w:r>
            <w:r w:rsidR="004E7FCF">
              <w:t xml:space="preserve"> support</w:t>
            </w:r>
          </w:p>
          <w:p w14:paraId="0E0685D2" w14:textId="47B79C0E" w:rsidR="004E7FCF" w:rsidRPr="00BF5F1D" w:rsidRDefault="00F52B5B" w:rsidP="001C7E5D">
            <w:pPr>
              <w:pStyle w:val="BodyText"/>
            </w:pPr>
            <w:r w:rsidRPr="00BF5F1D">
              <w:t>The Government does not support reform that would remove current rate exemption arrangements</w:t>
            </w:r>
            <w:r w:rsidR="004E7FCF" w:rsidRPr="00BF5F1D">
              <w:t xml:space="preserve">. </w:t>
            </w:r>
          </w:p>
          <w:p w14:paraId="05E899B1" w14:textId="62F49C7A" w:rsidR="004E7FCF" w:rsidRDefault="00AB63A0" w:rsidP="005A1CD3">
            <w:pPr>
              <w:pStyle w:val="BodyText"/>
            </w:pPr>
            <w:r w:rsidRPr="00AB63A0">
              <w:t>The levying of rates on road, rail and freehold land used by the Transport Portfolio would have a significant impact for the State</w:t>
            </w:r>
            <w:r w:rsidR="000F6B5F">
              <w:t>.</w:t>
            </w:r>
          </w:p>
        </w:tc>
      </w:tr>
      <w:tr w:rsidR="004E7FCF" w:rsidRPr="00AD4E26" w14:paraId="167851CB" w14:textId="2AFA68DA" w:rsidTr="009B081A">
        <w:tc>
          <w:tcPr>
            <w:tcW w:w="2670" w:type="pct"/>
            <w:gridSpan w:val="2"/>
          </w:tcPr>
          <w:p w14:paraId="4E487DFE" w14:textId="77777777" w:rsidR="004E7FCF" w:rsidRPr="00AD4E26" w:rsidRDefault="004E7FCF" w:rsidP="005A1CD3">
            <w:pPr>
              <w:pStyle w:val="BodyText"/>
              <w:ind w:left="0" w:right="0"/>
            </w:pPr>
            <w:r w:rsidRPr="00AD4E26">
              <w:rPr>
                <w:b/>
              </w:rPr>
              <w:t>Recommendation 28:</w:t>
            </w:r>
            <w:r w:rsidRPr="00AD4E26">
              <w:t xml:space="preserve"> That the criteria for a rebate or concession under the Act be expanded to include properties providing a public benefit. Such benefits could be defined by the public benefit test for exemptions in Recommendation 22 of this report. </w:t>
            </w:r>
          </w:p>
        </w:tc>
        <w:tc>
          <w:tcPr>
            <w:tcW w:w="2330" w:type="pct"/>
            <w:shd w:val="clear" w:color="auto" w:fill="auto"/>
          </w:tcPr>
          <w:p w14:paraId="515A63A1" w14:textId="7A5AEB8B" w:rsidR="004E7FCF" w:rsidRDefault="004E7FCF" w:rsidP="005A1CD3">
            <w:pPr>
              <w:pStyle w:val="BodyText"/>
            </w:pPr>
            <w:r>
              <w:t xml:space="preserve">Support in full </w:t>
            </w:r>
          </w:p>
          <w:p w14:paraId="51FB9992" w14:textId="3D75476C" w:rsidR="004E7FCF" w:rsidRDefault="004E7FCF" w:rsidP="005A1CD3">
            <w:pPr>
              <w:pStyle w:val="BodyText"/>
            </w:pPr>
            <w:r>
              <w:t xml:space="preserve">The Government will look to expand the criteria for a rebate or concession in </w:t>
            </w:r>
            <w:r w:rsidR="47400634">
              <w:t>line</w:t>
            </w:r>
            <w:r>
              <w:t xml:space="preserve"> with the</w:t>
            </w:r>
            <w:r w:rsidR="00074C8C">
              <w:t xml:space="preserve"> Report’s</w:t>
            </w:r>
            <w:r>
              <w:t xml:space="preserve"> concept of public benefit use. </w:t>
            </w:r>
          </w:p>
          <w:p w14:paraId="2CF362CD" w14:textId="0E58D5C8" w:rsidR="004E7FCF" w:rsidRDefault="004E7FCF" w:rsidP="005A1CD3">
            <w:pPr>
              <w:pStyle w:val="BodyText"/>
            </w:pPr>
            <w:r>
              <w:t xml:space="preserve">Providing councils with the </w:t>
            </w:r>
            <w:r w:rsidR="00C90287">
              <w:t xml:space="preserve">enhanced </w:t>
            </w:r>
            <w:r>
              <w:t xml:space="preserve">ability to provide rate concessions and rebates provide flexibility and autonomy to local governments to offer their own rate relief. </w:t>
            </w:r>
          </w:p>
        </w:tc>
      </w:tr>
      <w:tr w:rsidR="004E7FCF" w:rsidRPr="00AD4E26" w14:paraId="7517D1B9" w14:textId="6D1453EA" w:rsidTr="009B081A">
        <w:tc>
          <w:tcPr>
            <w:tcW w:w="2670" w:type="pct"/>
            <w:gridSpan w:val="2"/>
          </w:tcPr>
          <w:p w14:paraId="20E68A20" w14:textId="77777777" w:rsidR="004E7FCF" w:rsidRPr="00AD4E26" w:rsidRDefault="004E7FCF" w:rsidP="005A1CD3">
            <w:pPr>
              <w:pStyle w:val="BodyText"/>
              <w:ind w:left="0" w:right="0"/>
            </w:pPr>
            <w:r w:rsidRPr="00AD4E26">
              <w:rPr>
                <w:b/>
              </w:rPr>
              <w:t>Recommendation 29:</w:t>
            </w:r>
            <w:r w:rsidRPr="00AD4E26">
              <w:t xml:space="preserve"> That a rebate or concession for a public benefit must align with the Council’s current Council Plan and that councils be required to report, audit, review and evaluate their decisions in relation to rebates and concessions. </w:t>
            </w:r>
          </w:p>
        </w:tc>
        <w:tc>
          <w:tcPr>
            <w:tcW w:w="2330" w:type="pct"/>
            <w:shd w:val="clear" w:color="auto" w:fill="auto"/>
          </w:tcPr>
          <w:p w14:paraId="00CB575D" w14:textId="0F5707D6" w:rsidR="004E7FCF" w:rsidRDefault="004E7FCF" w:rsidP="005A1CD3">
            <w:pPr>
              <w:pStyle w:val="BodyText"/>
            </w:pPr>
            <w:r>
              <w:t>Support in part</w:t>
            </w:r>
          </w:p>
          <w:p w14:paraId="7458A4A0" w14:textId="77777777" w:rsidR="00E67302" w:rsidRDefault="630339A3" w:rsidP="005A1CD3">
            <w:pPr>
              <w:pStyle w:val="BodyText"/>
            </w:pPr>
            <w:r>
              <w:t>As noted in</w:t>
            </w:r>
            <w:r w:rsidR="004E7FCF">
              <w:t xml:space="preserve"> Recommendation 28, increased autonomy for local governments must be </w:t>
            </w:r>
            <w:r w:rsidR="4DDA91F0">
              <w:t>supported by</w:t>
            </w:r>
            <w:r w:rsidR="004E7FCF">
              <w:t xml:space="preserve"> appropriate transparency and accountability.</w:t>
            </w:r>
            <w:r w:rsidR="00E67302">
              <w:t xml:space="preserve"> </w:t>
            </w:r>
          </w:p>
          <w:p w14:paraId="7E545077" w14:textId="7CAF839A" w:rsidR="004E7FCF" w:rsidRPr="00304074" w:rsidRDefault="00E67302" w:rsidP="005A1CD3">
            <w:pPr>
              <w:pStyle w:val="BodyText"/>
            </w:pPr>
            <w:r>
              <w:t xml:space="preserve">The Government notes existing transparency and reporting requirements for rebates and concessions and the reporting requirements in the </w:t>
            </w:r>
            <w:r w:rsidRPr="00C63AAE">
              <w:rPr>
                <w:i/>
                <w:iCs/>
              </w:rPr>
              <w:t>Local Government Act 2020</w:t>
            </w:r>
            <w:r>
              <w:rPr>
                <w:i/>
                <w:iCs/>
              </w:rPr>
              <w:t>.</w:t>
            </w:r>
          </w:p>
        </w:tc>
      </w:tr>
      <w:tr w:rsidR="004E7FCF" w:rsidRPr="00AD4E26" w14:paraId="542EFE35" w14:textId="4FFDDAC8" w:rsidTr="009B081A">
        <w:tc>
          <w:tcPr>
            <w:tcW w:w="2670" w:type="pct"/>
            <w:gridSpan w:val="2"/>
          </w:tcPr>
          <w:p w14:paraId="2DD5AF2D" w14:textId="77777777" w:rsidR="004E7FCF" w:rsidRPr="00AD4E26" w:rsidRDefault="004E7FCF" w:rsidP="005A1CD3">
            <w:pPr>
              <w:pStyle w:val="BodyText"/>
              <w:ind w:left="0" w:right="0"/>
            </w:pPr>
            <w:r w:rsidRPr="00AD4E26">
              <w:rPr>
                <w:b/>
              </w:rPr>
              <w:t>Recommendation 30:</w:t>
            </w:r>
            <w:r w:rsidRPr="00AD4E26">
              <w:t xml:space="preserve"> That the Victorian Government publish guidelines and a community communication strategy on deferral schemes aimed at supporting councils to promote deferrals to address capacity to pay issues. </w:t>
            </w:r>
          </w:p>
        </w:tc>
        <w:tc>
          <w:tcPr>
            <w:tcW w:w="2330" w:type="pct"/>
            <w:shd w:val="clear" w:color="auto" w:fill="auto"/>
          </w:tcPr>
          <w:p w14:paraId="4D02A149" w14:textId="77777777" w:rsidR="004E7FCF" w:rsidRDefault="004E7FCF" w:rsidP="0035189B">
            <w:pPr>
              <w:pStyle w:val="BodyText"/>
            </w:pPr>
            <w:r>
              <w:t xml:space="preserve">Support in full </w:t>
            </w:r>
          </w:p>
          <w:p w14:paraId="7EC18EC4" w14:textId="560D1E70" w:rsidR="004E7FCF" w:rsidRDefault="004E7FCF" w:rsidP="005A1CD3">
            <w:pPr>
              <w:pStyle w:val="BodyText"/>
            </w:pPr>
            <w:r>
              <w:t xml:space="preserve">Increased use of rate deferrals </w:t>
            </w:r>
            <w:r w:rsidR="00F04028">
              <w:t>offers</w:t>
            </w:r>
            <w:r>
              <w:t xml:space="preserve"> another tool</w:t>
            </w:r>
            <w:r w:rsidR="000B5A76">
              <w:t xml:space="preserve"> of</w:t>
            </w:r>
            <w:r>
              <w:t xml:space="preserve"> support</w:t>
            </w:r>
            <w:r w:rsidR="000B5A76">
              <w:t xml:space="preserve"> to</w:t>
            </w:r>
            <w:r>
              <w:t xml:space="preserve"> ratepayers while retaining equity for </w:t>
            </w:r>
            <w:r w:rsidR="00C35CB0">
              <w:t>the whole community</w:t>
            </w:r>
            <w:r w:rsidR="188194FE">
              <w:t>.</w:t>
            </w:r>
          </w:p>
          <w:p w14:paraId="6A03880B" w14:textId="022FCC69" w:rsidR="004E7FCF" w:rsidRPr="00621E79" w:rsidRDefault="004E7FCF" w:rsidP="005A1CD3">
            <w:pPr>
              <w:pStyle w:val="BodyText"/>
              <w:rPr>
                <w:i/>
                <w:iCs/>
              </w:rPr>
            </w:pPr>
            <w:r>
              <w:t>The Government will support the promotion of rate deferrals via the implementation of the Local</w:t>
            </w:r>
            <w:r>
              <w:rPr>
                <w:i/>
                <w:iCs/>
              </w:rPr>
              <w:t xml:space="preserve"> Government Act 2020.</w:t>
            </w:r>
          </w:p>
        </w:tc>
      </w:tr>
      <w:tr w:rsidR="004E7FCF" w:rsidRPr="00AD4E26" w14:paraId="2525BC8C" w14:textId="0349CAE5" w:rsidTr="009B081A">
        <w:trPr>
          <w:cantSplit/>
        </w:trPr>
        <w:tc>
          <w:tcPr>
            <w:tcW w:w="1526" w:type="pct"/>
            <w:shd w:val="clear" w:color="auto" w:fill="D9E2F3" w:themeFill="accent1" w:themeFillTint="33"/>
          </w:tcPr>
          <w:p w14:paraId="3C85B7A2" w14:textId="11C48DC3" w:rsidR="004E7FCF" w:rsidRPr="00B64F78" w:rsidRDefault="004E7FCF" w:rsidP="00C113F8">
            <w:pPr>
              <w:pStyle w:val="Heading3"/>
              <w:outlineLvl w:val="2"/>
            </w:pPr>
            <w:r>
              <w:lastRenderedPageBreak/>
              <w:t>Unpaid Rates and Payment Difficulty</w:t>
            </w:r>
          </w:p>
        </w:tc>
        <w:tc>
          <w:tcPr>
            <w:tcW w:w="3474" w:type="pct"/>
            <w:gridSpan w:val="2"/>
            <w:shd w:val="clear" w:color="auto" w:fill="D9E2F3" w:themeFill="accent1" w:themeFillTint="33"/>
          </w:tcPr>
          <w:p w14:paraId="70E2A701" w14:textId="2503CA38" w:rsidR="004E7FCF" w:rsidRPr="00B64F78" w:rsidRDefault="004E7FCF" w:rsidP="005A1CD3">
            <w:pPr>
              <w:pStyle w:val="BodyText"/>
            </w:pPr>
            <w:r w:rsidRPr="00335066">
              <w:rPr>
                <w:b/>
              </w:rPr>
              <w:t xml:space="preserve">The Government </w:t>
            </w:r>
            <w:r w:rsidR="744FC202" w:rsidRPr="11CB6B6C">
              <w:rPr>
                <w:b/>
                <w:bCs/>
              </w:rPr>
              <w:t>will ensure</w:t>
            </w:r>
            <w:r w:rsidRPr="00335066">
              <w:rPr>
                <w:b/>
              </w:rPr>
              <w:t xml:space="preserve"> ratepayers facing financial hardship are </w:t>
            </w:r>
            <w:r w:rsidR="1DCA050D" w:rsidRPr="11CB6B6C">
              <w:rPr>
                <w:b/>
                <w:bCs/>
              </w:rPr>
              <w:t>given</w:t>
            </w:r>
            <w:r w:rsidRPr="00335066">
              <w:rPr>
                <w:b/>
              </w:rPr>
              <w:t xml:space="preserve"> consistent support</w:t>
            </w:r>
            <w:r>
              <w:rPr>
                <w:b/>
              </w:rPr>
              <w:t xml:space="preserve"> and treated with fairness</w:t>
            </w:r>
            <w:r w:rsidRPr="00335066">
              <w:rPr>
                <w:b/>
              </w:rPr>
              <w:t>.</w:t>
            </w:r>
            <w:r>
              <w:t xml:space="preserve"> </w:t>
            </w:r>
          </w:p>
        </w:tc>
      </w:tr>
      <w:tr w:rsidR="004E7FCF" w:rsidRPr="00AD4E26" w14:paraId="0AD9D034" w14:textId="7B0353EB" w:rsidTr="00383FCC">
        <w:trPr>
          <w:cantSplit/>
        </w:trPr>
        <w:tc>
          <w:tcPr>
            <w:tcW w:w="2670" w:type="pct"/>
            <w:gridSpan w:val="2"/>
          </w:tcPr>
          <w:p w14:paraId="33BF13D0" w14:textId="77777777" w:rsidR="004E7FCF" w:rsidRPr="00AD4E26" w:rsidRDefault="004E7FCF" w:rsidP="005A1CD3">
            <w:pPr>
              <w:pStyle w:val="BodyText"/>
              <w:ind w:left="0" w:right="0"/>
            </w:pPr>
            <w:r w:rsidRPr="00AD4E26">
              <w:rPr>
                <w:b/>
                <w:bCs/>
              </w:rPr>
              <w:t>Recommendation 31:</w:t>
            </w:r>
            <w:r w:rsidRPr="00AD4E26">
              <w:t xml:space="preserve"> Ensure that the regulations (See Recommendation 2) require that all Victorian ratepayers have access to consistent billing, debt recovery and payment difficulty assistance and that the use of council’s coercive powers (e.g. legal action and debt collection) are only ever measures of last resort. </w:t>
            </w:r>
          </w:p>
        </w:tc>
        <w:tc>
          <w:tcPr>
            <w:tcW w:w="2330" w:type="pct"/>
            <w:shd w:val="clear" w:color="auto" w:fill="auto"/>
          </w:tcPr>
          <w:p w14:paraId="009F2D7F" w14:textId="1D717D58" w:rsidR="004E7FCF" w:rsidRPr="00B62DEE" w:rsidRDefault="004E7FCF" w:rsidP="005A1CD3">
            <w:pPr>
              <w:pStyle w:val="BodyText"/>
            </w:pPr>
            <w:r w:rsidRPr="00B62DEE">
              <w:t xml:space="preserve">Support in full </w:t>
            </w:r>
          </w:p>
          <w:p w14:paraId="262F2A95" w14:textId="7778AD9D" w:rsidR="004E7FCF" w:rsidRPr="00B62DEE" w:rsidRDefault="004E7FCF" w:rsidP="005A1CD3">
            <w:pPr>
              <w:pStyle w:val="BodyText"/>
            </w:pPr>
            <w:r w:rsidRPr="00B62DEE">
              <w:t xml:space="preserve">The Government </w:t>
            </w:r>
            <w:r w:rsidR="42757197" w:rsidRPr="00B62DEE">
              <w:t>will ensure</w:t>
            </w:r>
            <w:r w:rsidRPr="00B62DEE">
              <w:t xml:space="preserve"> consistent support is available to ratepayers experiencing financial hardship. </w:t>
            </w:r>
          </w:p>
          <w:p w14:paraId="50DFA3B7" w14:textId="68151EC6" w:rsidR="004E7FCF" w:rsidRPr="00B62DEE" w:rsidRDefault="332CF1C6" w:rsidP="005A1CD3">
            <w:pPr>
              <w:pStyle w:val="BodyText"/>
            </w:pPr>
            <w:r w:rsidRPr="00B62DEE">
              <w:t>Better</w:t>
            </w:r>
            <w:r w:rsidR="004E7FCF" w:rsidRPr="00B62DEE">
              <w:t xml:space="preserve"> outcomes for ratepayers facing financial hardship </w:t>
            </w:r>
            <w:r w:rsidR="1FF2091C" w:rsidRPr="00B62DEE">
              <w:t xml:space="preserve">will </w:t>
            </w:r>
            <w:r w:rsidR="004E7FCF" w:rsidRPr="00B62DEE">
              <w:t>improve their circumstances and the broader standing of local government in the community.</w:t>
            </w:r>
          </w:p>
          <w:p w14:paraId="731C8F28" w14:textId="12BC0C7A" w:rsidR="004E7FCF" w:rsidRPr="00B62DEE" w:rsidRDefault="004E7FCF" w:rsidP="005A1CD3">
            <w:pPr>
              <w:pStyle w:val="BodyText"/>
            </w:pPr>
            <w:r w:rsidRPr="00B62DEE">
              <w:t xml:space="preserve">The government considers this a priority in the context of the </w:t>
            </w:r>
            <w:r w:rsidR="6107435E" w:rsidRPr="00B62DEE">
              <w:t>coronavirus</w:t>
            </w:r>
            <w:r w:rsidRPr="00B62DEE">
              <w:t xml:space="preserve"> </w:t>
            </w:r>
            <w:r w:rsidR="6107435E" w:rsidRPr="00B62DEE">
              <w:t>(</w:t>
            </w:r>
            <w:r w:rsidRPr="00B62DEE">
              <w:t>COVID-19</w:t>
            </w:r>
            <w:r w:rsidR="6A3B97CC" w:rsidRPr="00B62DEE">
              <w:t>)</w:t>
            </w:r>
            <w:r w:rsidRPr="00B62DEE">
              <w:t xml:space="preserve"> pandemic.  </w:t>
            </w:r>
            <w:r w:rsidR="003049FD" w:rsidRPr="00B62DEE">
              <w:t xml:space="preserve">This work will be informed by the outcomes of the Victorian Ombudsman’s ‘Investigation into council responses to ratepayers in financial hardship’, expected to be </w:t>
            </w:r>
            <w:r w:rsidR="006B4EA1">
              <w:t>completed</w:t>
            </w:r>
            <w:r w:rsidR="003049FD" w:rsidRPr="00B62DEE">
              <w:t xml:space="preserve"> in 2021.</w:t>
            </w:r>
          </w:p>
        </w:tc>
      </w:tr>
      <w:tr w:rsidR="004E7FCF" w:rsidRPr="00AD4E26" w14:paraId="5A26C11A" w14:textId="06BE5629" w:rsidTr="009B081A">
        <w:trPr>
          <w:cantSplit/>
        </w:trPr>
        <w:tc>
          <w:tcPr>
            <w:tcW w:w="2670" w:type="pct"/>
            <w:gridSpan w:val="2"/>
            <w:vAlign w:val="center"/>
          </w:tcPr>
          <w:p w14:paraId="611503A6" w14:textId="06B14CFD" w:rsidR="004E7FCF" w:rsidRPr="00AD4E26" w:rsidRDefault="004E7FCF" w:rsidP="005A1CD3">
            <w:pPr>
              <w:pStyle w:val="BodyText"/>
              <w:ind w:left="0" w:right="0"/>
            </w:pPr>
            <w:r w:rsidRPr="00AD4E26">
              <w:rPr>
                <w:b/>
                <w:bCs/>
              </w:rPr>
              <w:t>Recommendation 32:</w:t>
            </w:r>
            <w:r w:rsidRPr="00AD4E26">
              <w:t xml:space="preserve"> Establish a collaborative change management program to support the implementation of the regulations relating to payment difficulty. The program should address the requirement for councils to develop new processes and skills to deal effectively with all aspects of payment difficulty. Responsibility for the change program should be assigned to an agency with experience in guiding, designing, implementing and monitoring reforms of this nature.</w:t>
            </w:r>
            <w:r>
              <w:t xml:space="preserve"> </w:t>
            </w:r>
            <w:r w:rsidRPr="00AD4E26">
              <w:t>The performance of councils should be reviewed two years after implementation of the change program to determine its success in changing practice in the sector and whether further recommendations for improvement are warranted.</w:t>
            </w:r>
          </w:p>
        </w:tc>
        <w:tc>
          <w:tcPr>
            <w:tcW w:w="2330" w:type="pct"/>
            <w:shd w:val="clear" w:color="auto" w:fill="auto"/>
          </w:tcPr>
          <w:p w14:paraId="4C64FA6B" w14:textId="018F5F32" w:rsidR="004E7FCF" w:rsidRPr="00B62DEE" w:rsidRDefault="004E7FCF" w:rsidP="005A1CD3">
            <w:pPr>
              <w:pStyle w:val="BodyText"/>
            </w:pPr>
            <w:r w:rsidRPr="00B62DEE">
              <w:t xml:space="preserve">Support in principle </w:t>
            </w:r>
          </w:p>
          <w:p w14:paraId="4CEBFFFD" w14:textId="77777777" w:rsidR="004E7FCF" w:rsidRPr="00B62DEE" w:rsidRDefault="004E7FCF" w:rsidP="005A1CD3">
            <w:pPr>
              <w:pStyle w:val="BodyText"/>
            </w:pPr>
            <w:r w:rsidRPr="00B62DEE">
              <w:t xml:space="preserve">The Government recognises the importance of </w:t>
            </w:r>
            <w:r w:rsidR="5D852250" w:rsidRPr="00B62DEE">
              <w:t>supporting</w:t>
            </w:r>
            <w:r w:rsidRPr="00B62DEE">
              <w:t xml:space="preserve"> ratepayers experiencing financial hardship and </w:t>
            </w:r>
            <w:r w:rsidR="6FF6AF98" w:rsidRPr="00B62DEE">
              <w:t xml:space="preserve">ensuring </w:t>
            </w:r>
            <w:r w:rsidRPr="00B62DEE">
              <w:t>councils have the resources and capacity to do so. Further work will be undertaken to determine the scope of any reform program.</w:t>
            </w:r>
          </w:p>
          <w:p w14:paraId="41B8BE30" w14:textId="71FC4B94" w:rsidR="009A1E17" w:rsidRPr="00B62DEE" w:rsidRDefault="009A1E17" w:rsidP="005A1CD3">
            <w:pPr>
              <w:pStyle w:val="BodyText"/>
            </w:pPr>
            <w:r w:rsidRPr="00B62DEE">
              <w:t>This work will be informed by the outcomes of the Victorian Ombudsman</w:t>
            </w:r>
            <w:r w:rsidR="00A216EB" w:rsidRPr="00B62DEE">
              <w:t xml:space="preserve">’s </w:t>
            </w:r>
            <w:r w:rsidR="001A17E7" w:rsidRPr="00B62DEE">
              <w:t>‘</w:t>
            </w:r>
            <w:r w:rsidR="00A216EB" w:rsidRPr="00B62DEE">
              <w:t xml:space="preserve">Investigation </w:t>
            </w:r>
            <w:r w:rsidR="00B11F26" w:rsidRPr="00B62DEE">
              <w:t xml:space="preserve">into </w:t>
            </w:r>
            <w:r w:rsidR="007C6811" w:rsidRPr="00B62DEE">
              <w:t>council responses to ratepayers in financial hardship</w:t>
            </w:r>
            <w:r w:rsidR="001A17E7" w:rsidRPr="00B62DEE">
              <w:t>’</w:t>
            </w:r>
            <w:r w:rsidR="00294498" w:rsidRPr="00B62DEE">
              <w:t xml:space="preserve">, expected to be </w:t>
            </w:r>
            <w:r w:rsidR="006B4EA1">
              <w:t>completed</w:t>
            </w:r>
            <w:r w:rsidR="00294498" w:rsidRPr="00B62DEE">
              <w:t xml:space="preserve"> in </w:t>
            </w:r>
            <w:r w:rsidR="002701F9" w:rsidRPr="00B62DEE">
              <w:t>2021</w:t>
            </w:r>
            <w:r w:rsidR="002E3C12" w:rsidRPr="00B62DEE">
              <w:t>.</w:t>
            </w:r>
          </w:p>
        </w:tc>
      </w:tr>
      <w:tr w:rsidR="004E7FCF" w:rsidRPr="00AD4E26" w14:paraId="2C864888" w14:textId="075AD770" w:rsidTr="009B081A">
        <w:trPr>
          <w:cantSplit/>
        </w:trPr>
        <w:tc>
          <w:tcPr>
            <w:tcW w:w="1526" w:type="pct"/>
            <w:shd w:val="clear" w:color="auto" w:fill="D9E2F3" w:themeFill="accent1" w:themeFillTint="33"/>
          </w:tcPr>
          <w:p w14:paraId="3FDBF9CA" w14:textId="43BC2B0E" w:rsidR="004E7FCF" w:rsidRPr="00B64F78" w:rsidRDefault="004E7FCF" w:rsidP="00C113F8">
            <w:pPr>
              <w:pStyle w:val="Heading3"/>
              <w:outlineLvl w:val="2"/>
            </w:pPr>
            <w:r>
              <w:t>Other Rating Matters</w:t>
            </w:r>
          </w:p>
        </w:tc>
        <w:tc>
          <w:tcPr>
            <w:tcW w:w="3474" w:type="pct"/>
            <w:gridSpan w:val="2"/>
            <w:shd w:val="clear" w:color="auto" w:fill="D9E2F3" w:themeFill="accent1" w:themeFillTint="33"/>
          </w:tcPr>
          <w:p w14:paraId="750A8276" w14:textId="5A38BD23" w:rsidR="004E7FCF" w:rsidRPr="00B64F78" w:rsidRDefault="004E7FCF" w:rsidP="005A1CD3">
            <w:pPr>
              <w:pStyle w:val="BodyText"/>
            </w:pPr>
            <w:r w:rsidRPr="00335066">
              <w:rPr>
                <w:b/>
              </w:rPr>
              <w:t>The Government will look to make improvements to the legislation to ensure greater transparency and accountability in</w:t>
            </w:r>
            <w:r w:rsidR="0042443D">
              <w:rPr>
                <w:b/>
              </w:rPr>
              <w:t xml:space="preserve"> </w:t>
            </w:r>
            <w:r w:rsidR="21E16714" w:rsidRPr="18178D25">
              <w:rPr>
                <w:b/>
                <w:bCs/>
              </w:rPr>
              <w:t>how</w:t>
            </w:r>
            <w:r w:rsidRPr="00335066">
              <w:rPr>
                <w:b/>
              </w:rPr>
              <w:t xml:space="preserve"> service rates and charges and special rates and charges</w:t>
            </w:r>
            <w:r w:rsidR="7422B9BC" w:rsidRPr="18178D25">
              <w:rPr>
                <w:b/>
                <w:bCs/>
              </w:rPr>
              <w:t xml:space="preserve"> are applied</w:t>
            </w:r>
            <w:r w:rsidRPr="00335066">
              <w:rPr>
                <w:b/>
              </w:rPr>
              <w:t>.</w:t>
            </w:r>
          </w:p>
        </w:tc>
      </w:tr>
      <w:tr w:rsidR="004E7FCF" w:rsidRPr="00AD4E26" w14:paraId="06398D54" w14:textId="5DF2A3D3" w:rsidTr="009B081A">
        <w:trPr>
          <w:cantSplit/>
        </w:trPr>
        <w:tc>
          <w:tcPr>
            <w:tcW w:w="2670" w:type="pct"/>
            <w:gridSpan w:val="2"/>
          </w:tcPr>
          <w:p w14:paraId="369947AC" w14:textId="77777777" w:rsidR="004E7FCF" w:rsidRPr="00AD4E26" w:rsidRDefault="004E7FCF" w:rsidP="005A1CD3">
            <w:pPr>
              <w:pStyle w:val="BodyText"/>
              <w:ind w:left="0" w:right="0"/>
            </w:pPr>
            <w:r w:rsidRPr="00AD4E26">
              <w:rPr>
                <w:b/>
              </w:rPr>
              <w:t>Recommendation 33</w:t>
            </w:r>
            <w:r w:rsidRPr="00AD4E26">
              <w:t xml:space="preserve">: That the section of legislation referring to “collection and disposal of refuse” be amended to ensure that all applicable waste management activities and efficient costs that are directly related to the service provided, may be considered when setting the service rate (or charge). </w:t>
            </w:r>
          </w:p>
          <w:p w14:paraId="315F6927" w14:textId="77777777" w:rsidR="004E7FCF" w:rsidRPr="00AD4E26" w:rsidRDefault="004E7FCF" w:rsidP="005A1CD3">
            <w:pPr>
              <w:pStyle w:val="BodyText"/>
              <w:ind w:left="0" w:right="0"/>
            </w:pPr>
          </w:p>
        </w:tc>
        <w:tc>
          <w:tcPr>
            <w:tcW w:w="2330" w:type="pct"/>
            <w:shd w:val="clear" w:color="auto" w:fill="auto"/>
          </w:tcPr>
          <w:p w14:paraId="723BC609" w14:textId="77777777" w:rsidR="004E7FCF" w:rsidRDefault="004E7FCF" w:rsidP="005A1CD3">
            <w:pPr>
              <w:pStyle w:val="BodyText"/>
            </w:pPr>
            <w:r>
              <w:t xml:space="preserve">Support in full </w:t>
            </w:r>
          </w:p>
          <w:p w14:paraId="6F10ECC2" w14:textId="4DBCD21D" w:rsidR="004E7FCF" w:rsidRDefault="004E7FCF" w:rsidP="005A1CD3">
            <w:pPr>
              <w:pStyle w:val="BodyText"/>
            </w:pPr>
            <w:r>
              <w:t xml:space="preserve">The proposed reform will improve transparency and clarity </w:t>
            </w:r>
            <w:r w:rsidR="7CE3307D">
              <w:t>in</w:t>
            </w:r>
            <w:r>
              <w:t xml:space="preserve"> the make-up of waste charges</w:t>
            </w:r>
            <w:r w:rsidR="000126CE">
              <w:t>.</w:t>
            </w:r>
          </w:p>
        </w:tc>
      </w:tr>
      <w:tr w:rsidR="004E7FCF" w:rsidRPr="00AD4E26" w14:paraId="3CEA52D2" w14:textId="760B4F62" w:rsidTr="009B081A">
        <w:trPr>
          <w:cantSplit/>
        </w:trPr>
        <w:tc>
          <w:tcPr>
            <w:tcW w:w="2670" w:type="pct"/>
            <w:gridSpan w:val="2"/>
          </w:tcPr>
          <w:p w14:paraId="68EF7461" w14:textId="77777777" w:rsidR="004E7FCF" w:rsidRPr="00AD4E26" w:rsidRDefault="004E7FCF" w:rsidP="005A1CD3">
            <w:pPr>
              <w:pStyle w:val="BodyText"/>
              <w:ind w:left="0" w:right="0"/>
            </w:pPr>
            <w:r w:rsidRPr="00AD4E26">
              <w:rPr>
                <w:b/>
              </w:rPr>
              <w:t>Recommendation 34</w:t>
            </w:r>
            <w:r w:rsidRPr="00AD4E26">
              <w:t xml:space="preserve">: That “the provision of a water supply” be removed from the provisions for a service rate (or charge). </w:t>
            </w:r>
          </w:p>
          <w:p w14:paraId="4550952A" w14:textId="77777777" w:rsidR="004E7FCF" w:rsidRPr="00AD4E26" w:rsidRDefault="004E7FCF" w:rsidP="005A1CD3">
            <w:pPr>
              <w:pStyle w:val="BodyText"/>
              <w:ind w:left="0" w:right="0"/>
            </w:pPr>
          </w:p>
        </w:tc>
        <w:tc>
          <w:tcPr>
            <w:tcW w:w="2330" w:type="pct"/>
            <w:shd w:val="clear" w:color="auto" w:fill="auto"/>
          </w:tcPr>
          <w:p w14:paraId="3ACCD4EF" w14:textId="77777777" w:rsidR="004E7FCF" w:rsidRDefault="004E7FCF" w:rsidP="005A1CD3">
            <w:pPr>
              <w:pStyle w:val="BodyText"/>
            </w:pPr>
            <w:r>
              <w:t>Support in full</w:t>
            </w:r>
          </w:p>
        </w:tc>
      </w:tr>
      <w:tr w:rsidR="004E7FCF" w:rsidRPr="00AD4E26" w14:paraId="2C9DE517" w14:textId="5E521A74" w:rsidTr="009B081A">
        <w:trPr>
          <w:cantSplit/>
        </w:trPr>
        <w:tc>
          <w:tcPr>
            <w:tcW w:w="2670" w:type="pct"/>
            <w:gridSpan w:val="2"/>
          </w:tcPr>
          <w:p w14:paraId="04780B33" w14:textId="77777777" w:rsidR="004E7FCF" w:rsidRPr="00AD4E26" w:rsidRDefault="004E7FCF" w:rsidP="005A1CD3">
            <w:pPr>
              <w:pStyle w:val="BodyText"/>
              <w:ind w:left="0" w:right="0"/>
            </w:pPr>
            <w:r w:rsidRPr="00AD4E26">
              <w:rPr>
                <w:b/>
              </w:rPr>
              <w:lastRenderedPageBreak/>
              <w:t>Recommendation 35:</w:t>
            </w:r>
            <w:r w:rsidRPr="00AD4E26">
              <w:t xml:space="preserve"> That the </w:t>
            </w:r>
            <w:r w:rsidRPr="00AD4E26">
              <w:rPr>
                <w:i/>
              </w:rPr>
              <w:t>Local Government Act 1989</w:t>
            </w:r>
            <w:r w:rsidRPr="00AD4E26">
              <w:t xml:space="preserve"> be amended to require that the declaration of special rates and charges schemes include a project timeframe and plan, that councils report on progress against the plan in their annual reports and that councils review and report to stakeholders on the schemes on a regular basis to promote their timely completion and ongoing relevance.</w:t>
            </w:r>
          </w:p>
        </w:tc>
        <w:tc>
          <w:tcPr>
            <w:tcW w:w="2330" w:type="pct"/>
            <w:shd w:val="clear" w:color="auto" w:fill="auto"/>
          </w:tcPr>
          <w:p w14:paraId="71BF1733" w14:textId="77777777" w:rsidR="004E7FCF" w:rsidRPr="00B62DEE" w:rsidRDefault="004E7FCF" w:rsidP="005A1CD3">
            <w:pPr>
              <w:pStyle w:val="BodyText"/>
            </w:pPr>
            <w:r w:rsidRPr="00B62DEE">
              <w:t xml:space="preserve">Support in part </w:t>
            </w:r>
          </w:p>
          <w:p w14:paraId="31CF9C0C" w14:textId="5FD579AD" w:rsidR="004E7FCF" w:rsidRPr="00B62DEE" w:rsidRDefault="004E7FCF" w:rsidP="005A1CD3">
            <w:pPr>
              <w:pStyle w:val="BodyText"/>
            </w:pPr>
            <w:r w:rsidRPr="00B62DEE">
              <w:t xml:space="preserve">The Government supports a requirement for special rate and charge schemes to include a project timeframe and plan where appropriate. </w:t>
            </w:r>
          </w:p>
          <w:p w14:paraId="4E589C7F" w14:textId="77777777" w:rsidR="00145EBE" w:rsidRPr="00B62DEE" w:rsidRDefault="005948DA" w:rsidP="005948DA">
            <w:pPr>
              <w:pStyle w:val="BodyText"/>
            </w:pPr>
            <w:r w:rsidRPr="00B62DEE">
              <w:t>The r</w:t>
            </w:r>
            <w:r w:rsidR="004E7FCF" w:rsidRPr="00B62DEE">
              <w:t xml:space="preserve">eform will provide greater certainty and clarity for ratepayers subject to special rates and charges. </w:t>
            </w:r>
          </w:p>
          <w:p w14:paraId="4A5D2AB3" w14:textId="79EC58FA" w:rsidR="004E7FCF" w:rsidRPr="00B62DEE" w:rsidRDefault="00A4416F" w:rsidP="005948DA">
            <w:pPr>
              <w:pStyle w:val="BodyText"/>
            </w:pPr>
            <w:r w:rsidRPr="00B62DEE">
              <w:t xml:space="preserve">As such schemes </w:t>
            </w:r>
            <w:r w:rsidR="00974785" w:rsidRPr="00B62DEE">
              <w:t>are subject to specific</w:t>
            </w:r>
            <w:r w:rsidRPr="00B62DEE">
              <w:t xml:space="preserve"> accountability </w:t>
            </w:r>
            <w:r w:rsidR="004B17E2" w:rsidRPr="00B62DEE">
              <w:t xml:space="preserve">requirements in legislation, </w:t>
            </w:r>
            <w:r w:rsidR="007B6985" w:rsidRPr="00B62DEE">
              <w:t xml:space="preserve">including </w:t>
            </w:r>
            <w:r w:rsidR="00F21761" w:rsidRPr="00B62DEE">
              <w:t xml:space="preserve">mandatory </w:t>
            </w:r>
            <w:r w:rsidR="007B6985" w:rsidRPr="00B62DEE">
              <w:t>consultation</w:t>
            </w:r>
            <w:r w:rsidR="00F21761" w:rsidRPr="00B62DEE">
              <w:t xml:space="preserve"> with affected ratepayers, t</w:t>
            </w:r>
            <w:r w:rsidR="004E7FCF" w:rsidRPr="00B62DEE">
              <w:t xml:space="preserve">he Government </w:t>
            </w:r>
            <w:r w:rsidR="47A290A2" w:rsidRPr="00B62DEE">
              <w:t xml:space="preserve">will not require </w:t>
            </w:r>
            <w:r w:rsidR="4CCCB1B7" w:rsidRPr="00B62DEE">
              <w:t xml:space="preserve">the </w:t>
            </w:r>
            <w:r w:rsidR="004E7FCF" w:rsidRPr="00B62DEE">
              <w:t xml:space="preserve">progress of such schemes to be disclosed in </w:t>
            </w:r>
            <w:r w:rsidR="00A25570" w:rsidRPr="00B62DEE">
              <w:t>a</w:t>
            </w:r>
            <w:r w:rsidR="004E7FCF" w:rsidRPr="00B62DEE">
              <w:t xml:space="preserve"> council’s annual report</w:t>
            </w:r>
            <w:r w:rsidR="004F37BC" w:rsidRPr="00B62DEE">
              <w:t xml:space="preserve"> which would add to reporting burden</w:t>
            </w:r>
            <w:r w:rsidR="004E7FCF" w:rsidRPr="00B62DEE">
              <w:t>.</w:t>
            </w:r>
            <w:r w:rsidR="00145EBE" w:rsidRPr="00B62DEE">
              <w:t xml:space="preserve"> </w:t>
            </w:r>
          </w:p>
        </w:tc>
      </w:tr>
      <w:tr w:rsidR="004E7FCF" w:rsidRPr="00AD4E26" w14:paraId="273EF6B1" w14:textId="79A8482C" w:rsidTr="009B081A">
        <w:trPr>
          <w:cantSplit/>
        </w:trPr>
        <w:tc>
          <w:tcPr>
            <w:tcW w:w="2670" w:type="pct"/>
            <w:gridSpan w:val="2"/>
          </w:tcPr>
          <w:p w14:paraId="406A67C4" w14:textId="77777777" w:rsidR="004E7FCF" w:rsidRPr="00AD4E26" w:rsidRDefault="004E7FCF" w:rsidP="005A1CD3">
            <w:pPr>
              <w:pStyle w:val="BodyText"/>
              <w:ind w:left="0" w:right="0"/>
            </w:pPr>
            <w:r w:rsidRPr="00AD4E26">
              <w:rPr>
                <w:b/>
              </w:rPr>
              <w:t>Recommendation 36</w:t>
            </w:r>
            <w:r w:rsidRPr="00AD4E26">
              <w:t>: That where a special rates or charges scheme relates to infrastructure, the Act clearly specify a limited timeframe between the declaration of a scheme and the initiation of the project.</w:t>
            </w:r>
          </w:p>
        </w:tc>
        <w:tc>
          <w:tcPr>
            <w:tcW w:w="2330" w:type="pct"/>
            <w:shd w:val="clear" w:color="auto" w:fill="auto"/>
          </w:tcPr>
          <w:p w14:paraId="4ADCF4F9" w14:textId="77777777" w:rsidR="004E7FCF" w:rsidRPr="00B62DEE" w:rsidRDefault="004E7FCF" w:rsidP="005A1CD3">
            <w:pPr>
              <w:pStyle w:val="BodyText"/>
            </w:pPr>
            <w:r w:rsidRPr="00B62DEE">
              <w:t xml:space="preserve">Support in full </w:t>
            </w:r>
          </w:p>
          <w:p w14:paraId="173306FD" w14:textId="2866E3E4" w:rsidR="004E7FCF" w:rsidRPr="00B62DEE" w:rsidRDefault="004E7FCF" w:rsidP="005A1CD3">
            <w:pPr>
              <w:pStyle w:val="BodyText"/>
            </w:pPr>
            <w:r w:rsidRPr="00B62DEE">
              <w:t>The reform will ensure special rate or charge schemes cannot remain a potential charge on a property, creating uncertainty for ratepayers both current and future.</w:t>
            </w:r>
          </w:p>
        </w:tc>
      </w:tr>
      <w:tr w:rsidR="004E7FCF" w:rsidRPr="00AD4E26" w14:paraId="72706C70" w14:textId="40A51010" w:rsidTr="009B081A">
        <w:trPr>
          <w:cantSplit/>
        </w:trPr>
        <w:tc>
          <w:tcPr>
            <w:tcW w:w="2670" w:type="pct"/>
            <w:gridSpan w:val="2"/>
          </w:tcPr>
          <w:p w14:paraId="358AB620" w14:textId="77777777" w:rsidR="004E7FCF" w:rsidRPr="00AD4E26" w:rsidRDefault="004E7FCF" w:rsidP="005A1CD3">
            <w:pPr>
              <w:pStyle w:val="BodyText"/>
              <w:ind w:left="0" w:right="0"/>
            </w:pPr>
            <w:r w:rsidRPr="00AD4E26">
              <w:rPr>
                <w:b/>
              </w:rPr>
              <w:t>Recommendation 37</w:t>
            </w:r>
            <w:r w:rsidRPr="00AD4E26">
              <w:t>: That the legislative and administrative arrangements for Environmental Upgrade Agreements be reviewed to determine how they might be simplified and how best to communicate the risks and benefits to ratepayers.</w:t>
            </w:r>
          </w:p>
        </w:tc>
        <w:tc>
          <w:tcPr>
            <w:tcW w:w="2330" w:type="pct"/>
            <w:shd w:val="clear" w:color="auto" w:fill="auto"/>
          </w:tcPr>
          <w:p w14:paraId="67420693" w14:textId="62A44C2F" w:rsidR="004E7FCF" w:rsidRDefault="004E7FCF" w:rsidP="005A1CD3">
            <w:pPr>
              <w:pStyle w:val="BodyText"/>
            </w:pPr>
            <w:r w:rsidRPr="003326D0">
              <w:rPr>
                <w:iCs/>
              </w:rPr>
              <w:t xml:space="preserve">Support in principle </w:t>
            </w:r>
          </w:p>
          <w:p w14:paraId="6A22FCE6" w14:textId="77777777" w:rsidR="004E7FCF" w:rsidRDefault="004E7FCF" w:rsidP="005A1CD3">
            <w:pPr>
              <w:pStyle w:val="BodyText"/>
            </w:pPr>
            <w:r>
              <w:t xml:space="preserve">The Government notes the need to </w:t>
            </w:r>
            <w:r w:rsidRPr="004F79D1">
              <w:t>further</w:t>
            </w:r>
            <w:r w:rsidRPr="00BF4D85">
              <w:rPr>
                <w:i/>
                <w:iCs/>
              </w:rPr>
              <w:t xml:space="preserve"> </w:t>
            </w:r>
            <w:r>
              <w:t>consider how best to undertake a review and its scope.</w:t>
            </w:r>
          </w:p>
          <w:p w14:paraId="1A60019C" w14:textId="6888A024" w:rsidR="004E7FCF" w:rsidRDefault="004E7FCF" w:rsidP="005A1CD3">
            <w:pPr>
              <w:pStyle w:val="BodyText"/>
            </w:pPr>
            <w:r>
              <w:t xml:space="preserve">A review must consider the need to balance the accessibility of Environmental Upgrade </w:t>
            </w:r>
            <w:r w:rsidR="00C30AFC">
              <w:t>Agreements</w:t>
            </w:r>
            <w:r>
              <w:t xml:space="preserve"> with the importance of protections for ratepayers owing to the charge that is placed on a property as security for financing.</w:t>
            </w:r>
          </w:p>
        </w:tc>
      </w:tr>
      <w:tr w:rsidR="004E7FCF" w:rsidRPr="00AD4E26" w14:paraId="0C5E4C46" w14:textId="00B4F5B8" w:rsidTr="009B081A">
        <w:trPr>
          <w:cantSplit/>
        </w:trPr>
        <w:tc>
          <w:tcPr>
            <w:tcW w:w="1526" w:type="pct"/>
            <w:shd w:val="clear" w:color="auto" w:fill="D9E2F3" w:themeFill="accent1" w:themeFillTint="33"/>
          </w:tcPr>
          <w:p w14:paraId="26738C37" w14:textId="70363120" w:rsidR="004E7FCF" w:rsidRPr="00B64F78" w:rsidRDefault="004E7FCF" w:rsidP="00C113F8">
            <w:pPr>
              <w:pStyle w:val="Heading3"/>
              <w:outlineLvl w:val="2"/>
            </w:pPr>
            <w:r>
              <w:t>Reforming Alternative Rating Arrangements</w:t>
            </w:r>
          </w:p>
        </w:tc>
        <w:tc>
          <w:tcPr>
            <w:tcW w:w="3474" w:type="pct"/>
            <w:gridSpan w:val="2"/>
            <w:shd w:val="clear" w:color="auto" w:fill="D9E2F3" w:themeFill="accent1" w:themeFillTint="33"/>
          </w:tcPr>
          <w:p w14:paraId="39D6F2EC" w14:textId="18353140" w:rsidR="004E7FCF" w:rsidRPr="00B64F78" w:rsidRDefault="004E7FCF" w:rsidP="005A1CD3">
            <w:pPr>
              <w:pStyle w:val="BodyText"/>
            </w:pPr>
            <w:r w:rsidRPr="00335066">
              <w:rPr>
                <w:b/>
              </w:rPr>
              <w:t>The Government accepts that alternative rating arrangements for specific land uses pose problems for equity</w:t>
            </w:r>
            <w:r>
              <w:rPr>
                <w:b/>
              </w:rPr>
              <w:t xml:space="preserve"> when compared to the rating arrangements for </w:t>
            </w:r>
            <w:r w:rsidR="50C62EA2" w:rsidRPr="04C70344">
              <w:rPr>
                <w:b/>
                <w:bCs/>
              </w:rPr>
              <w:t>most</w:t>
            </w:r>
            <w:r>
              <w:rPr>
                <w:b/>
              </w:rPr>
              <w:t xml:space="preserve"> ratepayers</w:t>
            </w:r>
            <w:r w:rsidRPr="00335066">
              <w:rPr>
                <w:b/>
              </w:rPr>
              <w:t>.</w:t>
            </w:r>
            <w:r>
              <w:rPr>
                <w:b/>
              </w:rPr>
              <w:t xml:space="preserve"> </w:t>
            </w:r>
            <w:r w:rsidRPr="00335066">
              <w:rPr>
                <w:b/>
              </w:rPr>
              <w:t>It also recognises the longstanding nature of many of these arrangements and the importance of fully understanding the implications of change.</w:t>
            </w:r>
          </w:p>
        </w:tc>
      </w:tr>
      <w:tr w:rsidR="004E7FCF" w:rsidRPr="00AD4E26" w14:paraId="37379A79" w14:textId="2378DBE2" w:rsidTr="009B081A">
        <w:trPr>
          <w:cantSplit/>
        </w:trPr>
        <w:tc>
          <w:tcPr>
            <w:tcW w:w="2670" w:type="pct"/>
            <w:gridSpan w:val="2"/>
          </w:tcPr>
          <w:p w14:paraId="18A0C2B8" w14:textId="77777777" w:rsidR="004E7FCF" w:rsidRPr="00AD4E26" w:rsidRDefault="004E7FCF" w:rsidP="005A1CD3">
            <w:pPr>
              <w:pStyle w:val="BodyText"/>
              <w:ind w:left="0" w:right="0"/>
            </w:pPr>
            <w:r w:rsidRPr="00AD4E26">
              <w:rPr>
                <w:b/>
              </w:rPr>
              <w:t>Recommendation 38</w:t>
            </w:r>
            <w:r w:rsidRPr="00AD4E26">
              <w:t xml:space="preserve">: That in the absence of a clear policy rationale, section 94 of the </w:t>
            </w:r>
            <w:r w:rsidRPr="00AD4E26">
              <w:rPr>
                <w:i/>
              </w:rPr>
              <w:t>Electricity Industry Act 2000</w:t>
            </w:r>
            <w:r w:rsidRPr="00AD4E26">
              <w:t xml:space="preserve"> be repealed to bring the rating of all power generation companies under the </w:t>
            </w:r>
            <w:r w:rsidRPr="00AD4E26">
              <w:rPr>
                <w:i/>
              </w:rPr>
              <w:t>Local Government Act 1989</w:t>
            </w:r>
            <w:r w:rsidRPr="00AD4E26">
              <w:t xml:space="preserve">. </w:t>
            </w:r>
          </w:p>
          <w:p w14:paraId="6A5AC38A" w14:textId="77777777" w:rsidR="004E7FCF" w:rsidRPr="00AD4E26" w:rsidRDefault="004E7FCF" w:rsidP="005A1CD3">
            <w:pPr>
              <w:pStyle w:val="BodyText"/>
              <w:ind w:left="0" w:right="0"/>
            </w:pPr>
          </w:p>
          <w:p w14:paraId="370C75E7" w14:textId="77777777" w:rsidR="004E7FCF" w:rsidRPr="00AD4E26" w:rsidRDefault="004E7FCF" w:rsidP="005A1CD3">
            <w:pPr>
              <w:pStyle w:val="BodyText"/>
              <w:ind w:left="0" w:right="0"/>
            </w:pPr>
          </w:p>
        </w:tc>
        <w:tc>
          <w:tcPr>
            <w:tcW w:w="2330" w:type="pct"/>
            <w:shd w:val="clear" w:color="auto" w:fill="auto"/>
          </w:tcPr>
          <w:p w14:paraId="7CF983E6" w14:textId="4BAF280F" w:rsidR="004E7FCF" w:rsidRDefault="553EF2EB" w:rsidP="0081700B">
            <w:pPr>
              <w:pStyle w:val="BodyText"/>
            </w:pPr>
            <w:r>
              <w:t>Do n</w:t>
            </w:r>
            <w:r w:rsidR="004E7FCF">
              <w:t>ot support</w:t>
            </w:r>
          </w:p>
          <w:p w14:paraId="0B460A31" w14:textId="19A0B00D" w:rsidR="004E7FCF" w:rsidRDefault="004E7FCF" w:rsidP="0081700B">
            <w:pPr>
              <w:pStyle w:val="BodyText"/>
            </w:pPr>
            <w:r>
              <w:t>The Government</w:t>
            </w:r>
            <w:r w:rsidR="007C626F">
              <w:t xml:space="preserve"> </w:t>
            </w:r>
            <w:r w:rsidR="3BBA850B">
              <w:t xml:space="preserve">does not support </w:t>
            </w:r>
            <w:r>
              <w:t xml:space="preserve">reform to the current arrangements. </w:t>
            </w:r>
          </w:p>
          <w:p w14:paraId="72E91C82" w14:textId="51A7020A" w:rsidR="004E7FCF" w:rsidRDefault="00E82B81" w:rsidP="0081700B">
            <w:pPr>
              <w:pStyle w:val="BodyText"/>
            </w:pPr>
            <w:r>
              <w:t xml:space="preserve">Changes to the rating of power generators </w:t>
            </w:r>
            <w:r w:rsidR="00147030">
              <w:t>w</w:t>
            </w:r>
            <w:r>
              <w:t xml:space="preserve">ould </w:t>
            </w:r>
            <w:r w:rsidR="004E7FCF" w:rsidRPr="000508C5">
              <w:t>increase business uncertainty and risk</w:t>
            </w:r>
            <w:r>
              <w:t xml:space="preserve"> </w:t>
            </w:r>
            <w:r w:rsidR="00147030">
              <w:t>for</w:t>
            </w:r>
            <w:r>
              <w:t xml:space="preserve"> the energy sector</w:t>
            </w:r>
            <w:r w:rsidR="004E7FCF" w:rsidRPr="000508C5">
              <w:t xml:space="preserve"> during the </w:t>
            </w:r>
            <w:r w:rsidR="41A7B262">
              <w:t>coronavirus (C</w:t>
            </w:r>
            <w:r w:rsidR="004E7FCF">
              <w:t>OVID</w:t>
            </w:r>
            <w:r w:rsidR="004E7FCF" w:rsidRPr="000508C5">
              <w:t>-19</w:t>
            </w:r>
            <w:r w:rsidR="2F248CE4">
              <w:t>)</w:t>
            </w:r>
            <w:r w:rsidR="004E7FCF" w:rsidRPr="000508C5">
              <w:t xml:space="preserve"> pandemic and post</w:t>
            </w:r>
            <w:r w:rsidR="2C795413">
              <w:t>-</w:t>
            </w:r>
            <w:r w:rsidR="004E7FCF" w:rsidRPr="000508C5">
              <w:t>pandemic recovery.</w:t>
            </w:r>
            <w:r>
              <w:t xml:space="preserve">  </w:t>
            </w:r>
          </w:p>
          <w:p w14:paraId="2B8855C5" w14:textId="514B4CFB" w:rsidR="004E7FCF" w:rsidRPr="00877241" w:rsidRDefault="004E7FCF" w:rsidP="00CA724C">
            <w:pPr>
              <w:pStyle w:val="BodyText"/>
              <w:ind w:left="0"/>
              <w:rPr>
                <w:i/>
                <w:iCs/>
              </w:rPr>
            </w:pPr>
          </w:p>
        </w:tc>
      </w:tr>
      <w:tr w:rsidR="004E7FCF" w:rsidRPr="00AD4E26" w14:paraId="0354A5BF" w14:textId="350B13BE" w:rsidTr="009B081A">
        <w:trPr>
          <w:cantSplit/>
        </w:trPr>
        <w:tc>
          <w:tcPr>
            <w:tcW w:w="2670" w:type="pct"/>
            <w:gridSpan w:val="2"/>
          </w:tcPr>
          <w:p w14:paraId="6B2DE1BB" w14:textId="77777777" w:rsidR="004E7FCF" w:rsidRPr="00AD4E26" w:rsidRDefault="004E7FCF" w:rsidP="005A1CD3">
            <w:pPr>
              <w:pStyle w:val="BodyText"/>
              <w:ind w:left="0" w:right="0"/>
            </w:pPr>
            <w:r w:rsidRPr="00AD4E26">
              <w:rPr>
                <w:b/>
              </w:rPr>
              <w:lastRenderedPageBreak/>
              <w:t>Recommendation 39</w:t>
            </w:r>
            <w:r w:rsidRPr="00AD4E26">
              <w:t xml:space="preserve">: If section 94 of the </w:t>
            </w:r>
            <w:r w:rsidRPr="00AD4E26">
              <w:rPr>
                <w:i/>
              </w:rPr>
              <w:t>Electricity Industry Act 2000</w:t>
            </w:r>
            <w:r w:rsidRPr="00AD4E26">
              <w:t xml:space="preserve"> (EIA) is repealed, that a transition arrangement and timeframe for electricity generators to be rated under the </w:t>
            </w:r>
            <w:r w:rsidRPr="00AD4E26">
              <w:rPr>
                <w:i/>
              </w:rPr>
              <w:t>Local Government Act 1989</w:t>
            </w:r>
            <w:r w:rsidRPr="00AD4E26">
              <w:t xml:space="preserve"> (LGA) should be implemented. (For example, the difference in rates payable under the EIA and the LGA could be phased in evenly over three years).</w:t>
            </w:r>
          </w:p>
          <w:p w14:paraId="5A39B19A" w14:textId="77777777" w:rsidR="004E7FCF" w:rsidRPr="00AD4E26" w:rsidRDefault="004E7FCF" w:rsidP="005A1CD3">
            <w:pPr>
              <w:pStyle w:val="BodyText"/>
              <w:ind w:left="0" w:right="0"/>
              <w:rPr>
                <w:b/>
              </w:rPr>
            </w:pPr>
          </w:p>
        </w:tc>
        <w:tc>
          <w:tcPr>
            <w:tcW w:w="2330" w:type="pct"/>
            <w:shd w:val="clear" w:color="auto" w:fill="auto"/>
          </w:tcPr>
          <w:p w14:paraId="26A31A86" w14:textId="2E811B15" w:rsidR="004E7FCF" w:rsidRDefault="51EDBD09" w:rsidP="00CA724C">
            <w:pPr>
              <w:pStyle w:val="BodyText"/>
            </w:pPr>
            <w:r>
              <w:t>Do n</w:t>
            </w:r>
            <w:r w:rsidR="004E7FCF">
              <w:t>ot support</w:t>
            </w:r>
          </w:p>
          <w:p w14:paraId="5A3D4CE3" w14:textId="5C5D7A22" w:rsidR="004E7FCF" w:rsidRDefault="3D0644A3" w:rsidP="00CA724C">
            <w:pPr>
              <w:pStyle w:val="BodyText"/>
            </w:pPr>
            <w:r>
              <w:t>In line with the response to</w:t>
            </w:r>
            <w:r w:rsidR="004E7FCF">
              <w:t xml:space="preserve"> recommendation 38, the Government </w:t>
            </w:r>
            <w:r w:rsidR="4A48DB6F">
              <w:t>does</w:t>
            </w:r>
            <w:r w:rsidR="004E7FCF">
              <w:t xml:space="preserve"> not support reform to the current arrangements. </w:t>
            </w:r>
          </w:p>
          <w:p w14:paraId="39272721" w14:textId="7A92932E" w:rsidR="004E7FCF" w:rsidRDefault="00E82B81" w:rsidP="005A1CD3">
            <w:pPr>
              <w:pStyle w:val="BodyText"/>
            </w:pPr>
            <w:r w:rsidRPr="00E82B81">
              <w:t xml:space="preserve">Changes to the rating of power generators </w:t>
            </w:r>
            <w:r w:rsidR="00147030">
              <w:t>w</w:t>
            </w:r>
            <w:r w:rsidRPr="00E82B81">
              <w:t xml:space="preserve">ould increase business uncertainty and risk </w:t>
            </w:r>
            <w:r w:rsidR="00147030">
              <w:t>for</w:t>
            </w:r>
            <w:r w:rsidRPr="00E82B81">
              <w:t xml:space="preserve"> the energy sector during the coronavirus (COVID-19) pandemic and post-pandemic recovery.  </w:t>
            </w:r>
          </w:p>
        </w:tc>
      </w:tr>
      <w:tr w:rsidR="004E7FCF" w:rsidRPr="00AD4E26" w14:paraId="20DD5DF5" w14:textId="3C00B406" w:rsidTr="009B081A">
        <w:trPr>
          <w:cantSplit/>
        </w:trPr>
        <w:tc>
          <w:tcPr>
            <w:tcW w:w="2670" w:type="pct"/>
            <w:gridSpan w:val="2"/>
          </w:tcPr>
          <w:p w14:paraId="61674330" w14:textId="77777777" w:rsidR="004E7FCF" w:rsidRPr="00AD4E26" w:rsidRDefault="004E7FCF" w:rsidP="005A1CD3">
            <w:pPr>
              <w:pStyle w:val="BodyText"/>
              <w:ind w:left="0" w:right="0"/>
            </w:pPr>
            <w:r w:rsidRPr="00AD4E26">
              <w:rPr>
                <w:b/>
              </w:rPr>
              <w:t>Recommendation 40:</w:t>
            </w:r>
            <w:r w:rsidRPr="00AD4E26">
              <w:t xml:space="preserve"> That section 4 of the </w:t>
            </w:r>
            <w:r w:rsidRPr="00A551E2">
              <w:rPr>
                <w:i/>
                <w:iCs/>
              </w:rPr>
              <w:t>Cultural and Recreational Lands Act 1963</w:t>
            </w:r>
            <w:r w:rsidRPr="00AD4E26">
              <w:t xml:space="preserve"> be repealed, removing the requirement for councils to consider services provided and community benefits relating to cultural and recreational lands when setting rates for such lands.</w:t>
            </w:r>
          </w:p>
          <w:p w14:paraId="5189681F" w14:textId="77777777" w:rsidR="004E7FCF" w:rsidRPr="00AD4E26" w:rsidRDefault="004E7FCF" w:rsidP="005A1CD3">
            <w:pPr>
              <w:pStyle w:val="BodyText"/>
              <w:ind w:left="0" w:right="0"/>
            </w:pPr>
          </w:p>
        </w:tc>
        <w:tc>
          <w:tcPr>
            <w:tcW w:w="2330" w:type="pct"/>
            <w:shd w:val="clear" w:color="auto" w:fill="auto"/>
          </w:tcPr>
          <w:p w14:paraId="4AA46FED" w14:textId="4208E25D" w:rsidR="004E7FCF" w:rsidRDefault="239A4342" w:rsidP="00951D89">
            <w:pPr>
              <w:pStyle w:val="BodyText"/>
            </w:pPr>
            <w:r>
              <w:t>Do n</w:t>
            </w:r>
            <w:r w:rsidR="004E7FCF">
              <w:t>ot support</w:t>
            </w:r>
          </w:p>
          <w:p w14:paraId="2166B728" w14:textId="74CB344F" w:rsidR="004E7FCF" w:rsidRDefault="004E7FCF" w:rsidP="00951D89">
            <w:pPr>
              <w:pStyle w:val="BodyText"/>
            </w:pPr>
            <w:r>
              <w:t xml:space="preserve">The Government </w:t>
            </w:r>
            <w:r w:rsidR="7FD2452C">
              <w:t xml:space="preserve">does not support </w:t>
            </w:r>
            <w:r>
              <w:t xml:space="preserve">reform to current arrangements. </w:t>
            </w:r>
          </w:p>
          <w:p w14:paraId="37EF1981" w14:textId="0728B2F6" w:rsidR="004E7FCF" w:rsidRDefault="004E7FCF" w:rsidP="005A1CD3">
            <w:pPr>
              <w:pStyle w:val="BodyText"/>
            </w:pPr>
            <w:r w:rsidRPr="000508C5">
              <w:t xml:space="preserve">Such significant change </w:t>
            </w:r>
            <w:r w:rsidR="00147030">
              <w:t>w</w:t>
            </w:r>
            <w:r w:rsidRPr="000508C5">
              <w:t xml:space="preserve">ould </w:t>
            </w:r>
            <w:r w:rsidR="00BF5F1D">
              <w:t>increase</w:t>
            </w:r>
            <w:r w:rsidRPr="000508C5">
              <w:t xml:space="preserve"> uncertainty and risk</w:t>
            </w:r>
            <w:r w:rsidR="00BF5F1D">
              <w:t xml:space="preserve"> for cultural and recreational land</w:t>
            </w:r>
            <w:r w:rsidRPr="000508C5">
              <w:t xml:space="preserve"> during the </w:t>
            </w:r>
            <w:r w:rsidR="487479D4">
              <w:t>coronavirus (</w:t>
            </w:r>
            <w:r w:rsidRPr="000508C5">
              <w:t>COVID-19</w:t>
            </w:r>
            <w:r w:rsidR="4A088425">
              <w:t>)</w:t>
            </w:r>
            <w:r w:rsidRPr="000508C5">
              <w:t xml:space="preserve"> pandemic and post</w:t>
            </w:r>
            <w:r w:rsidR="6B381307">
              <w:t>-</w:t>
            </w:r>
            <w:r w:rsidRPr="000508C5">
              <w:t>pandemic recovery.</w:t>
            </w:r>
          </w:p>
        </w:tc>
      </w:tr>
      <w:tr w:rsidR="004E7FCF" w:rsidRPr="00AD4E26" w14:paraId="02EA91C3" w14:textId="1DD52D1A" w:rsidTr="009B081A">
        <w:trPr>
          <w:cantSplit/>
        </w:trPr>
        <w:tc>
          <w:tcPr>
            <w:tcW w:w="2670" w:type="pct"/>
            <w:gridSpan w:val="2"/>
          </w:tcPr>
          <w:p w14:paraId="676A3C9E" w14:textId="77777777" w:rsidR="004E7FCF" w:rsidRPr="00AD4E26" w:rsidRDefault="004E7FCF" w:rsidP="005A1CD3">
            <w:pPr>
              <w:pStyle w:val="BodyText"/>
              <w:ind w:left="0" w:right="0"/>
              <w:rPr>
                <w:b/>
              </w:rPr>
            </w:pPr>
            <w:r w:rsidRPr="00AD4E26">
              <w:rPr>
                <w:b/>
              </w:rPr>
              <w:t>Recommendation 41:</w:t>
            </w:r>
            <w:r w:rsidRPr="00AD4E26">
              <w:t xml:space="preserve"> That the rating of cultural and recreational land by councils be brought under the </w:t>
            </w:r>
            <w:r w:rsidRPr="00AD4E26">
              <w:rPr>
                <w:i/>
              </w:rPr>
              <w:t>Local Government Act 1989</w:t>
            </w:r>
            <w:r w:rsidRPr="00AD4E26">
              <w:t>, with any rate reductions to be determined under the proposed public benefit test for exemptions and to comply with the regulations to be established (as proposed in Recommendation 2).</w:t>
            </w:r>
          </w:p>
        </w:tc>
        <w:tc>
          <w:tcPr>
            <w:tcW w:w="2330" w:type="pct"/>
            <w:shd w:val="clear" w:color="auto" w:fill="auto"/>
          </w:tcPr>
          <w:p w14:paraId="03EC8683" w14:textId="36E49D86" w:rsidR="004E7FCF" w:rsidRDefault="52A76BC6" w:rsidP="00D12A00">
            <w:pPr>
              <w:pStyle w:val="BodyText"/>
            </w:pPr>
            <w:r>
              <w:t>Do n</w:t>
            </w:r>
            <w:r w:rsidR="004E7FCF">
              <w:t>ot support</w:t>
            </w:r>
          </w:p>
          <w:p w14:paraId="23F0F7AE" w14:textId="5A3BA45F" w:rsidR="004E7FCF" w:rsidRDefault="004E7FCF" w:rsidP="00D12A00">
            <w:pPr>
              <w:pStyle w:val="BodyText"/>
            </w:pPr>
            <w:r>
              <w:t>The Government</w:t>
            </w:r>
            <w:r w:rsidR="00AB36A1">
              <w:t xml:space="preserve"> </w:t>
            </w:r>
            <w:r w:rsidR="113A108B">
              <w:t>does not support</w:t>
            </w:r>
            <w:r>
              <w:t xml:space="preserve"> reform to the</w:t>
            </w:r>
            <w:r w:rsidR="00AB36A1">
              <w:t xml:space="preserve"> </w:t>
            </w:r>
            <w:r>
              <w:t xml:space="preserve">current arrangements. </w:t>
            </w:r>
          </w:p>
          <w:p w14:paraId="40183E5A" w14:textId="4FE96245" w:rsidR="004E7FCF" w:rsidRDefault="00BF5F1D" w:rsidP="005A1CD3">
            <w:pPr>
              <w:pStyle w:val="BodyText"/>
            </w:pPr>
            <w:r w:rsidRPr="00BF5F1D">
              <w:t xml:space="preserve">Such significant change </w:t>
            </w:r>
            <w:r w:rsidR="00147030">
              <w:t>w</w:t>
            </w:r>
            <w:r w:rsidRPr="00BF5F1D">
              <w:t>ould increase uncertainty and risk for cultural and recreational land during the coronavirus (COVID-19) pandemic and post-pandemic recovery.</w:t>
            </w:r>
          </w:p>
        </w:tc>
      </w:tr>
      <w:tr w:rsidR="004E7FCF" w:rsidRPr="00AD4E26" w14:paraId="258BE53B" w14:textId="0CCA37C5" w:rsidTr="009B081A">
        <w:trPr>
          <w:cantSplit/>
        </w:trPr>
        <w:tc>
          <w:tcPr>
            <w:tcW w:w="2670" w:type="pct"/>
            <w:gridSpan w:val="2"/>
          </w:tcPr>
          <w:p w14:paraId="7BE6AAD8" w14:textId="77777777" w:rsidR="004E7FCF" w:rsidRPr="00AD4E26" w:rsidRDefault="004E7FCF" w:rsidP="005A1CD3">
            <w:pPr>
              <w:pStyle w:val="BodyText"/>
              <w:ind w:left="0" w:right="0"/>
            </w:pPr>
            <w:r w:rsidRPr="00AD4E26">
              <w:rPr>
                <w:b/>
              </w:rPr>
              <w:t>Recommendation 42:</w:t>
            </w:r>
            <w:r w:rsidRPr="00AD4E26">
              <w:t xml:space="preserve"> That the Victorian Government and the City of Melbourne explore the impact of repealing s.28 of the </w:t>
            </w:r>
            <w:r w:rsidRPr="00AD4E26">
              <w:rPr>
                <w:i/>
              </w:rPr>
              <w:t>City of Melbourne Act 2001</w:t>
            </w:r>
            <w:r w:rsidRPr="00AD4E26">
              <w:t xml:space="preserve"> to bring the City of Melbourne’s rating provisions in line with the Local Government Act 1989. </w:t>
            </w:r>
          </w:p>
          <w:p w14:paraId="5B352BD6" w14:textId="77777777" w:rsidR="004E7FCF" w:rsidRPr="00AD4E26" w:rsidRDefault="004E7FCF" w:rsidP="005A1CD3">
            <w:pPr>
              <w:pStyle w:val="BodyText"/>
              <w:ind w:left="0" w:right="0"/>
            </w:pPr>
          </w:p>
          <w:p w14:paraId="21DF9BF7" w14:textId="77777777" w:rsidR="004E7FCF" w:rsidRPr="00AD4E26" w:rsidRDefault="004E7FCF" w:rsidP="005A1CD3">
            <w:pPr>
              <w:pStyle w:val="BodyText"/>
              <w:ind w:left="0" w:right="0"/>
            </w:pPr>
          </w:p>
        </w:tc>
        <w:tc>
          <w:tcPr>
            <w:tcW w:w="2330" w:type="pct"/>
            <w:shd w:val="clear" w:color="auto" w:fill="auto"/>
          </w:tcPr>
          <w:p w14:paraId="2835D224" w14:textId="2DB1FA4F" w:rsidR="004E7FCF" w:rsidRDefault="004E7FCF" w:rsidP="005A1CD3">
            <w:pPr>
              <w:pStyle w:val="BodyText"/>
            </w:pPr>
            <w:r>
              <w:t>Support in full</w:t>
            </w:r>
          </w:p>
          <w:p w14:paraId="4F7992F3" w14:textId="68F19904" w:rsidR="004E7FCF" w:rsidRDefault="004E7FCF" w:rsidP="005A1CD3">
            <w:pPr>
              <w:pStyle w:val="BodyText"/>
            </w:pPr>
            <w:r>
              <w:t xml:space="preserve">The Government notes the benefits of simplicity and placing rating arrangements in a single Act. </w:t>
            </w:r>
          </w:p>
        </w:tc>
      </w:tr>
      <w:tr w:rsidR="004E7FCF" w:rsidRPr="00AD4E26" w14:paraId="591F347B" w14:textId="03E2DF99" w:rsidTr="009B081A">
        <w:trPr>
          <w:cantSplit/>
        </w:trPr>
        <w:tc>
          <w:tcPr>
            <w:tcW w:w="1526" w:type="pct"/>
            <w:shd w:val="clear" w:color="auto" w:fill="D9E2F3" w:themeFill="accent1" w:themeFillTint="33"/>
          </w:tcPr>
          <w:p w14:paraId="65CF4B7E" w14:textId="4D2F267F" w:rsidR="004E7FCF" w:rsidRPr="00B64F78" w:rsidRDefault="004E7FCF" w:rsidP="00C113F8">
            <w:pPr>
              <w:pStyle w:val="Heading3"/>
              <w:outlineLvl w:val="2"/>
            </w:pPr>
            <w:r>
              <w:t>Making Rate Payments Fairer</w:t>
            </w:r>
          </w:p>
        </w:tc>
        <w:tc>
          <w:tcPr>
            <w:tcW w:w="3474" w:type="pct"/>
            <w:gridSpan w:val="2"/>
            <w:shd w:val="clear" w:color="auto" w:fill="D9E2F3" w:themeFill="accent1" w:themeFillTint="33"/>
          </w:tcPr>
          <w:p w14:paraId="5C9010B7" w14:textId="17881C00" w:rsidR="004E7FCF" w:rsidRPr="00B64F78" w:rsidRDefault="004E7FCF" w:rsidP="005A1CD3">
            <w:pPr>
              <w:pStyle w:val="BodyText"/>
            </w:pPr>
            <w:r w:rsidRPr="00C96F03">
              <w:rPr>
                <w:b/>
              </w:rPr>
              <w:t xml:space="preserve">The Government </w:t>
            </w:r>
            <w:r w:rsidR="4CE9929D" w:rsidRPr="10E03FDF">
              <w:rPr>
                <w:b/>
                <w:bCs/>
              </w:rPr>
              <w:t>fully supports</w:t>
            </w:r>
            <w:r w:rsidRPr="00C96F03">
              <w:rPr>
                <w:b/>
              </w:rPr>
              <w:t xml:space="preserve"> rate payment arrangements that are convenient for ratepayers and efficient for local governments.</w:t>
            </w:r>
          </w:p>
        </w:tc>
      </w:tr>
      <w:tr w:rsidR="004E7FCF" w:rsidRPr="00AD4E26" w14:paraId="26CA3947" w14:textId="568E7D00" w:rsidTr="009B081A">
        <w:trPr>
          <w:cantSplit/>
        </w:trPr>
        <w:tc>
          <w:tcPr>
            <w:tcW w:w="2670" w:type="pct"/>
            <w:gridSpan w:val="2"/>
          </w:tcPr>
          <w:p w14:paraId="1D2D41CE" w14:textId="77777777" w:rsidR="004E7FCF" w:rsidRPr="00AD4E26" w:rsidRDefault="004E7FCF" w:rsidP="005A1CD3">
            <w:pPr>
              <w:pStyle w:val="BodyText"/>
              <w:ind w:left="0" w:right="0"/>
            </w:pPr>
            <w:r w:rsidRPr="00AD4E26">
              <w:rPr>
                <w:b/>
              </w:rPr>
              <w:t>Recommendation 43:</w:t>
            </w:r>
            <w:r w:rsidRPr="00AD4E26">
              <w:t xml:space="preserve"> That the Victorian Government work with the local government sector to develop and implement a best practice rates payment arrangement (including any legislative changes and systems required) to support flexibility and convenience for both councils and ratepayers. </w:t>
            </w:r>
          </w:p>
        </w:tc>
        <w:tc>
          <w:tcPr>
            <w:tcW w:w="2330" w:type="pct"/>
            <w:shd w:val="clear" w:color="auto" w:fill="auto"/>
          </w:tcPr>
          <w:p w14:paraId="2DCE3032" w14:textId="77777777" w:rsidR="004E7FCF" w:rsidRDefault="004E7FCF" w:rsidP="005A1CD3">
            <w:pPr>
              <w:pStyle w:val="BodyText"/>
            </w:pPr>
            <w:r>
              <w:t xml:space="preserve">Support in full </w:t>
            </w:r>
          </w:p>
          <w:p w14:paraId="15AD3862" w14:textId="5BA6F4E7" w:rsidR="004E7FCF" w:rsidRDefault="004E7FCF" w:rsidP="005A1CD3">
            <w:pPr>
              <w:pStyle w:val="BodyText"/>
            </w:pPr>
            <w:r>
              <w:t>A best</w:t>
            </w:r>
            <w:r w:rsidR="57E8AB4F">
              <w:t>-</w:t>
            </w:r>
            <w:r>
              <w:t>practice rate payment arrangement would benefit over 3 million ratepayers with greater billing convenience and flexibility.</w:t>
            </w:r>
          </w:p>
        </w:tc>
      </w:tr>
      <w:tr w:rsidR="004E7FCF" w:rsidRPr="00AD4E26" w14:paraId="6B2B746B" w14:textId="3825DEDD" w:rsidTr="009B081A">
        <w:trPr>
          <w:cantSplit/>
        </w:trPr>
        <w:tc>
          <w:tcPr>
            <w:tcW w:w="2670" w:type="pct"/>
            <w:gridSpan w:val="2"/>
          </w:tcPr>
          <w:p w14:paraId="37042A77" w14:textId="77777777" w:rsidR="004E7FCF" w:rsidRPr="00AD4E26" w:rsidRDefault="004E7FCF" w:rsidP="005A1CD3">
            <w:pPr>
              <w:pStyle w:val="BodyText"/>
              <w:ind w:left="0" w:right="0"/>
            </w:pPr>
            <w:r w:rsidRPr="00AD4E26">
              <w:rPr>
                <w:b/>
              </w:rPr>
              <w:t>Recommendation 44:</w:t>
            </w:r>
            <w:r w:rsidRPr="00AD4E26">
              <w:t xml:space="preserve"> That legislation formalise a hierarchy for the allocation of payments received. The hierarchy should be determined in consultation with stakeholders.</w:t>
            </w:r>
          </w:p>
        </w:tc>
        <w:tc>
          <w:tcPr>
            <w:tcW w:w="2330" w:type="pct"/>
            <w:shd w:val="clear" w:color="auto" w:fill="auto"/>
          </w:tcPr>
          <w:p w14:paraId="4737A75D" w14:textId="579F2E3D" w:rsidR="004E7FCF" w:rsidRDefault="004E7FCF" w:rsidP="005A1CD3">
            <w:pPr>
              <w:pStyle w:val="BodyText"/>
            </w:pPr>
            <w:r>
              <w:t>Support in full</w:t>
            </w:r>
          </w:p>
          <w:p w14:paraId="00A53110" w14:textId="6B45A580" w:rsidR="00A75918" w:rsidRDefault="004E7FCF" w:rsidP="005A1CD3">
            <w:pPr>
              <w:pStyle w:val="BodyText"/>
            </w:pPr>
            <w:r>
              <w:t>The proposal w</w:t>
            </w:r>
            <w:r w:rsidR="5B7FCF1A">
              <w:t>ill</w:t>
            </w:r>
            <w:r>
              <w:t xml:space="preserve"> ensure greater certainty and clarity for councils, ratepayers and the Victorian Government.</w:t>
            </w:r>
            <w:r w:rsidR="00A75918">
              <w:t xml:space="preserve"> </w:t>
            </w:r>
          </w:p>
          <w:p w14:paraId="3DE51FBC" w14:textId="2836BF9C" w:rsidR="004E7FCF" w:rsidRDefault="00A75918" w:rsidP="005A1CD3">
            <w:pPr>
              <w:pStyle w:val="BodyText"/>
            </w:pPr>
            <w:r>
              <w:t xml:space="preserve">The Government will identify the </w:t>
            </w:r>
            <w:r w:rsidR="00263E89">
              <w:t>most suitable</w:t>
            </w:r>
            <w:r>
              <w:t xml:space="preserve"> arrangements for implementation</w:t>
            </w:r>
          </w:p>
        </w:tc>
      </w:tr>
      <w:tr w:rsidR="004E7FCF" w:rsidRPr="00AD4E26" w14:paraId="3F2376C2" w14:textId="32A0A68A" w:rsidTr="009B081A">
        <w:trPr>
          <w:cantSplit/>
        </w:trPr>
        <w:tc>
          <w:tcPr>
            <w:tcW w:w="2670" w:type="pct"/>
            <w:gridSpan w:val="2"/>
          </w:tcPr>
          <w:p w14:paraId="7D1E0DE6" w14:textId="77777777" w:rsidR="004E7FCF" w:rsidRPr="00AD4E26" w:rsidRDefault="004E7FCF" w:rsidP="005A1CD3">
            <w:pPr>
              <w:pStyle w:val="BodyText"/>
              <w:ind w:left="0" w:right="0"/>
            </w:pPr>
            <w:r w:rsidRPr="00AD4E26">
              <w:rPr>
                <w:b/>
              </w:rPr>
              <w:lastRenderedPageBreak/>
              <w:t>Recommendation 45:</w:t>
            </w:r>
            <w:r w:rsidRPr="00AD4E26">
              <w:t xml:space="preserve"> That the Victorian Government facilitate the development of a template for rates notices to be used across councils, which is consistent with best practice written communication principles. </w:t>
            </w:r>
          </w:p>
        </w:tc>
        <w:tc>
          <w:tcPr>
            <w:tcW w:w="2330" w:type="pct"/>
            <w:shd w:val="clear" w:color="auto" w:fill="auto"/>
          </w:tcPr>
          <w:p w14:paraId="78387D37" w14:textId="4FC8385C" w:rsidR="00687427" w:rsidRDefault="008E6CB6" w:rsidP="4349909C">
            <w:pPr>
              <w:pStyle w:val="BodyText"/>
              <w:ind w:left="0"/>
            </w:pPr>
            <w:r>
              <w:t xml:space="preserve">  </w:t>
            </w:r>
            <w:r w:rsidR="004E7FCF">
              <w:t>Support in full</w:t>
            </w:r>
          </w:p>
          <w:p w14:paraId="65217D01" w14:textId="4F26F4E4" w:rsidR="004E7FCF" w:rsidRDefault="008E6CB6" w:rsidP="00871A1A">
            <w:pPr>
              <w:pStyle w:val="BodyText"/>
            </w:pPr>
            <w:r>
              <w:t xml:space="preserve">The Government supports this recommendation in full </w:t>
            </w:r>
            <w:r w:rsidR="004E7FCF">
              <w:t>subject to prescribed information being retained.</w:t>
            </w:r>
          </w:p>
          <w:p w14:paraId="0A2E80CE" w14:textId="248DB602" w:rsidR="004E7FCF" w:rsidRPr="00B64F78" w:rsidRDefault="004E7FCF" w:rsidP="005A1CD3">
            <w:pPr>
              <w:pStyle w:val="BodyText"/>
            </w:pPr>
            <w:r>
              <w:t>The proposal w</w:t>
            </w:r>
            <w:r w:rsidR="29B7775C">
              <w:t>ill</w:t>
            </w:r>
            <w:r>
              <w:t xml:space="preserve"> improve transparency and clarity for ratepayers.</w:t>
            </w:r>
          </w:p>
        </w:tc>
      </w:tr>
      <w:tr w:rsidR="004E7FCF" w:rsidRPr="00AD4E26" w14:paraId="24A03B47" w14:textId="3057DC7A" w:rsidTr="009B081A">
        <w:trPr>
          <w:cantSplit/>
        </w:trPr>
        <w:tc>
          <w:tcPr>
            <w:tcW w:w="2670" w:type="pct"/>
            <w:gridSpan w:val="2"/>
          </w:tcPr>
          <w:p w14:paraId="4E8FC346" w14:textId="77777777" w:rsidR="004E7FCF" w:rsidRPr="00AD4E26" w:rsidRDefault="004E7FCF" w:rsidP="005A1CD3">
            <w:pPr>
              <w:pStyle w:val="BodyText"/>
              <w:ind w:left="0" w:right="0"/>
            </w:pPr>
            <w:r w:rsidRPr="00AD4E26">
              <w:rPr>
                <w:b/>
              </w:rPr>
              <w:t>Recommendation 46:</w:t>
            </w:r>
            <w:r w:rsidRPr="00AD4E26">
              <w:t xml:space="preserve"> That the owner and occupier are listed separately on the rate notice (if the rate notice is paid by the occupier). </w:t>
            </w:r>
          </w:p>
        </w:tc>
        <w:tc>
          <w:tcPr>
            <w:tcW w:w="2330" w:type="pct"/>
            <w:shd w:val="clear" w:color="auto" w:fill="auto"/>
          </w:tcPr>
          <w:p w14:paraId="57840465" w14:textId="485973CE" w:rsidR="004E7FCF" w:rsidRDefault="004E7FCF" w:rsidP="005A1CD3">
            <w:pPr>
              <w:pStyle w:val="BodyText"/>
            </w:pPr>
            <w:r>
              <w:t xml:space="preserve">Support in full </w:t>
            </w:r>
          </w:p>
          <w:p w14:paraId="476221AE" w14:textId="7A1EDAAC" w:rsidR="004E7FCF" w:rsidRDefault="004E7FCF" w:rsidP="005A1CD3">
            <w:pPr>
              <w:pStyle w:val="BodyText"/>
            </w:pPr>
            <w:r>
              <w:t>The Government notes the need to clearly identify the liable ratepayer on the rate notice, along with implications for the liability of land tax, Fire Services Property Levy</w:t>
            </w:r>
            <w:r w:rsidR="00887166">
              <w:t>.</w:t>
            </w:r>
          </w:p>
          <w:p w14:paraId="39B2DD03" w14:textId="41C68CD0" w:rsidR="004E7FCF" w:rsidRDefault="004E7FCF" w:rsidP="005A1CD3">
            <w:pPr>
              <w:pStyle w:val="BodyText"/>
            </w:pPr>
            <w:r w:rsidRPr="00065637">
              <w:t>The proposal would improve transparency and clarity for ratepayers</w:t>
            </w:r>
            <w:r>
              <w:t xml:space="preserve"> and occupants of properties</w:t>
            </w:r>
            <w:r w:rsidRPr="00065637">
              <w:t>.</w:t>
            </w:r>
          </w:p>
        </w:tc>
      </w:tr>
      <w:tr w:rsidR="004E7FCF" w:rsidRPr="00AD4E26" w14:paraId="7772E79B" w14:textId="244AAC5B" w:rsidTr="009B081A">
        <w:trPr>
          <w:cantSplit/>
        </w:trPr>
        <w:tc>
          <w:tcPr>
            <w:tcW w:w="1526" w:type="pct"/>
            <w:shd w:val="clear" w:color="auto" w:fill="D9E2F3" w:themeFill="accent1" w:themeFillTint="33"/>
          </w:tcPr>
          <w:p w14:paraId="7AF58E07" w14:textId="637B5635" w:rsidR="004E7FCF" w:rsidRPr="00B64F78" w:rsidRDefault="004E7FCF" w:rsidP="00C113F8">
            <w:pPr>
              <w:pStyle w:val="Heading3"/>
              <w:outlineLvl w:val="2"/>
            </w:pPr>
            <w:r>
              <w:t>Rate Administration and Governance for the 21</w:t>
            </w:r>
            <w:r w:rsidRPr="00C113F8">
              <w:rPr>
                <w:vertAlign w:val="superscript"/>
              </w:rPr>
              <w:t>st</w:t>
            </w:r>
            <w:r>
              <w:t xml:space="preserve"> Century</w:t>
            </w:r>
          </w:p>
        </w:tc>
        <w:tc>
          <w:tcPr>
            <w:tcW w:w="3474" w:type="pct"/>
            <w:gridSpan w:val="2"/>
            <w:shd w:val="clear" w:color="auto" w:fill="D9E2F3" w:themeFill="accent1" w:themeFillTint="33"/>
          </w:tcPr>
          <w:p w14:paraId="3956AD3C" w14:textId="75C81B98" w:rsidR="004E7FCF" w:rsidRPr="00B64F78" w:rsidRDefault="004E7FCF" w:rsidP="005A1CD3">
            <w:pPr>
              <w:pStyle w:val="BodyText"/>
            </w:pPr>
            <w:r w:rsidRPr="009B1A62">
              <w:rPr>
                <w:b/>
              </w:rPr>
              <w:t>The Government</w:t>
            </w:r>
            <w:r w:rsidR="007E25AE">
              <w:rPr>
                <w:b/>
              </w:rPr>
              <w:t xml:space="preserve"> </w:t>
            </w:r>
            <w:r w:rsidR="14EC05AD" w:rsidRPr="4883A876">
              <w:rPr>
                <w:b/>
                <w:bCs/>
              </w:rPr>
              <w:t>supports</w:t>
            </w:r>
            <w:r>
              <w:rPr>
                <w:b/>
              </w:rPr>
              <w:t xml:space="preserve"> recommended reforms to </w:t>
            </w:r>
            <w:r w:rsidRPr="009B1A62">
              <w:rPr>
                <w:b/>
              </w:rPr>
              <w:t>rate administration and governance</w:t>
            </w:r>
            <w:r w:rsidR="009D6B04">
              <w:rPr>
                <w:b/>
              </w:rPr>
              <w:t>.</w:t>
            </w:r>
            <w:r w:rsidRPr="009B1A62">
              <w:rPr>
                <w:b/>
              </w:rPr>
              <w:t xml:space="preserve"> </w:t>
            </w:r>
            <w:r>
              <w:rPr>
                <w:b/>
              </w:rPr>
              <w:t xml:space="preserve"> </w:t>
            </w:r>
            <w:r w:rsidRPr="009B1A62">
              <w:rPr>
                <w:b/>
              </w:rPr>
              <w:t xml:space="preserve">It notes that the </w:t>
            </w:r>
            <w:r w:rsidRPr="00C63F16">
              <w:rPr>
                <w:b/>
                <w:i/>
                <w:iCs/>
              </w:rPr>
              <w:t>Local Government Act 2020</w:t>
            </w:r>
            <w:r w:rsidR="00FC2774">
              <w:rPr>
                <w:b/>
                <w:i/>
                <w:iCs/>
              </w:rPr>
              <w:t xml:space="preserve"> </w:t>
            </w:r>
            <w:r w:rsidRPr="69B11932">
              <w:rPr>
                <w:b/>
                <w:bCs/>
              </w:rPr>
              <w:t>highlight</w:t>
            </w:r>
            <w:r w:rsidR="647E79E7" w:rsidRPr="69B11932">
              <w:rPr>
                <w:b/>
                <w:bCs/>
              </w:rPr>
              <w:t>s</w:t>
            </w:r>
            <w:r w:rsidRPr="009B1A62">
              <w:rPr>
                <w:b/>
              </w:rPr>
              <w:t xml:space="preserve"> the importance of greater public transparency and accountability in council planning and decision making.</w:t>
            </w:r>
          </w:p>
        </w:tc>
      </w:tr>
      <w:tr w:rsidR="004E7FCF" w:rsidRPr="00AD4E26" w14:paraId="2FD73D0E" w14:textId="550E0821" w:rsidTr="009B081A">
        <w:trPr>
          <w:cantSplit/>
        </w:trPr>
        <w:tc>
          <w:tcPr>
            <w:tcW w:w="2670" w:type="pct"/>
            <w:gridSpan w:val="2"/>
          </w:tcPr>
          <w:p w14:paraId="0E2C1D7F" w14:textId="77777777" w:rsidR="004E7FCF" w:rsidRPr="00AD4E26" w:rsidRDefault="004E7FCF" w:rsidP="005A1CD3">
            <w:pPr>
              <w:pStyle w:val="BodyText"/>
              <w:ind w:left="0" w:right="0"/>
            </w:pPr>
            <w:r w:rsidRPr="00AD4E26">
              <w:rPr>
                <w:b/>
              </w:rPr>
              <w:t xml:space="preserve">Recommendation 47: </w:t>
            </w:r>
            <w:r w:rsidRPr="00AD4E26">
              <w:t>That legislative reforms require councils to prepare a four-year rating strategy which aligns with their four-year resource plans and that annual budgets align with their four-year resource plans and their four-year rating strategies.</w:t>
            </w:r>
          </w:p>
        </w:tc>
        <w:tc>
          <w:tcPr>
            <w:tcW w:w="2330" w:type="pct"/>
            <w:shd w:val="clear" w:color="auto" w:fill="auto"/>
          </w:tcPr>
          <w:p w14:paraId="7F1F207D" w14:textId="77777777" w:rsidR="004E7FCF" w:rsidRDefault="004E7FCF" w:rsidP="005A1CD3">
            <w:pPr>
              <w:pStyle w:val="BodyText"/>
            </w:pPr>
            <w:r>
              <w:t>Support in full</w:t>
            </w:r>
          </w:p>
          <w:p w14:paraId="660D4A74" w14:textId="7C204891" w:rsidR="004E7FCF" w:rsidRDefault="004E7FCF" w:rsidP="005A1CD3">
            <w:pPr>
              <w:pStyle w:val="BodyText"/>
            </w:pPr>
            <w:r>
              <w:t xml:space="preserve">The proposal highlights the importance of transparency and accountability of councils in rate setting process and its relationship with planning and budgeting strategies. </w:t>
            </w:r>
          </w:p>
          <w:p w14:paraId="6713034B" w14:textId="05D1CC78" w:rsidR="004E7FCF" w:rsidRPr="00917CE0" w:rsidRDefault="12A98A65" w:rsidP="005A1CD3">
            <w:pPr>
              <w:pStyle w:val="BodyText"/>
            </w:pPr>
            <w:r>
              <w:t>The</w:t>
            </w:r>
            <w:r w:rsidR="004E7FCF">
              <w:t xml:space="preserve"> </w:t>
            </w:r>
            <w:r w:rsidR="004E7FCF" w:rsidRPr="75342DAF">
              <w:rPr>
                <w:i/>
                <w:iCs/>
              </w:rPr>
              <w:t>Local Government Act 2020</w:t>
            </w:r>
            <w:r w:rsidR="004E7FCF">
              <w:t xml:space="preserve"> </w:t>
            </w:r>
            <w:r w:rsidR="0D00DA3E">
              <w:t>requires</w:t>
            </w:r>
            <w:r w:rsidR="004E7FCF">
              <w:t xml:space="preserve"> councils to have a four-year Revenue and Rating Strategy</w:t>
            </w:r>
            <w:r w:rsidR="00AB36A1">
              <w:t xml:space="preserve"> </w:t>
            </w:r>
            <w:r w:rsidR="004E7FCF">
              <w:t>publish</w:t>
            </w:r>
            <w:r w:rsidR="12D62DD1">
              <w:t>ed</w:t>
            </w:r>
            <w:r w:rsidR="004E7FCF">
              <w:t xml:space="preserve"> on their website. The Government considers this recommendation acquitted.</w:t>
            </w:r>
          </w:p>
        </w:tc>
      </w:tr>
      <w:tr w:rsidR="004E7FCF" w:rsidRPr="00AD4E26" w14:paraId="56DD73C5" w14:textId="5923BC88" w:rsidTr="009B081A">
        <w:trPr>
          <w:cantSplit/>
        </w:trPr>
        <w:tc>
          <w:tcPr>
            <w:tcW w:w="2670" w:type="pct"/>
            <w:gridSpan w:val="2"/>
          </w:tcPr>
          <w:p w14:paraId="6F4E0F2F" w14:textId="77777777" w:rsidR="004E7FCF" w:rsidRPr="00AD4E26" w:rsidRDefault="004E7FCF" w:rsidP="005A1CD3">
            <w:pPr>
              <w:pStyle w:val="BodyText"/>
              <w:ind w:left="0" w:right="0"/>
            </w:pPr>
            <w:r w:rsidRPr="00AD4E26">
              <w:rPr>
                <w:b/>
              </w:rPr>
              <w:t>Recommendation 48</w:t>
            </w:r>
            <w:r w:rsidRPr="00AD4E26">
              <w:t>: That the regulations (see Recommendation 2) include a requirement for councils to report on:</w:t>
            </w:r>
          </w:p>
          <w:p w14:paraId="20A97AC2" w14:textId="77777777" w:rsidR="004E7FCF" w:rsidRPr="00AD4E26" w:rsidRDefault="004E7FCF" w:rsidP="005A1CD3">
            <w:pPr>
              <w:pStyle w:val="BodyText"/>
              <w:ind w:left="0" w:right="0"/>
            </w:pPr>
            <w:r w:rsidRPr="00AD4E26">
              <w:t>The objectives of their rating strategy within the context of the council’s four-year resource plan;</w:t>
            </w:r>
          </w:p>
          <w:p w14:paraId="20D7218C" w14:textId="77777777" w:rsidR="004E7FCF" w:rsidRPr="00AD4E26" w:rsidRDefault="004E7FCF" w:rsidP="005A1CD3">
            <w:pPr>
              <w:pStyle w:val="BodyText"/>
              <w:ind w:left="0" w:right="0"/>
            </w:pPr>
            <w:r w:rsidRPr="00AD4E26">
              <w:t>The evidence on which they have based their rating strategy to meet those objectives;</w:t>
            </w:r>
          </w:p>
          <w:p w14:paraId="782EACC1" w14:textId="77777777" w:rsidR="004E7FCF" w:rsidRPr="00AD4E26" w:rsidRDefault="004E7FCF" w:rsidP="005A1CD3">
            <w:pPr>
              <w:pStyle w:val="BodyText"/>
              <w:ind w:left="0" w:right="0"/>
            </w:pPr>
            <w:r w:rsidRPr="00AD4E26">
              <w:t>The method by which they have engaged their communities in the consultation and discussion of the rating strategy; and</w:t>
            </w:r>
          </w:p>
          <w:p w14:paraId="31A67175" w14:textId="77777777" w:rsidR="004E7FCF" w:rsidRPr="00AD4E26" w:rsidRDefault="004E7FCF" w:rsidP="005A1CD3">
            <w:pPr>
              <w:pStyle w:val="BodyText"/>
              <w:ind w:left="0" w:right="0"/>
            </w:pPr>
            <w:r w:rsidRPr="00AD4E26">
              <w:t>The method by which they will review and evaluate the rating strategy.</w:t>
            </w:r>
          </w:p>
          <w:p w14:paraId="595B6D65" w14:textId="77777777" w:rsidR="004E7FCF" w:rsidRPr="00AD4E26" w:rsidRDefault="004E7FCF" w:rsidP="005A1CD3">
            <w:pPr>
              <w:pStyle w:val="BodyText"/>
              <w:ind w:left="0" w:right="0"/>
            </w:pPr>
          </w:p>
        </w:tc>
        <w:tc>
          <w:tcPr>
            <w:tcW w:w="2330" w:type="pct"/>
            <w:shd w:val="clear" w:color="auto" w:fill="auto"/>
          </w:tcPr>
          <w:p w14:paraId="0BD1AF35" w14:textId="77777777" w:rsidR="004E7FCF" w:rsidRDefault="004E7FCF" w:rsidP="005A1CD3">
            <w:pPr>
              <w:pStyle w:val="BodyText"/>
            </w:pPr>
            <w:r>
              <w:t>Support in principle</w:t>
            </w:r>
          </w:p>
          <w:p w14:paraId="28D4E3D3" w14:textId="4208103A" w:rsidR="004E7FCF" w:rsidRPr="00B64F78" w:rsidRDefault="004E7FCF" w:rsidP="005A1CD3">
            <w:pPr>
              <w:pStyle w:val="BodyText"/>
            </w:pPr>
            <w:r>
              <w:t>The Government notes the range of mechanisms to achieve the policy aims of this recommendation and the need to explore each.</w:t>
            </w:r>
          </w:p>
        </w:tc>
      </w:tr>
      <w:tr w:rsidR="004E7FCF" w:rsidRPr="00AD4E26" w14:paraId="0AD6813E" w14:textId="02840BB0" w:rsidTr="009B081A">
        <w:trPr>
          <w:cantSplit/>
        </w:trPr>
        <w:tc>
          <w:tcPr>
            <w:tcW w:w="2670" w:type="pct"/>
            <w:gridSpan w:val="2"/>
          </w:tcPr>
          <w:p w14:paraId="08AF30D3" w14:textId="77777777" w:rsidR="004E7FCF" w:rsidRPr="00AD4E26" w:rsidRDefault="004E7FCF" w:rsidP="005A1CD3">
            <w:pPr>
              <w:pStyle w:val="BodyText"/>
              <w:ind w:left="0" w:right="0"/>
            </w:pPr>
            <w:r w:rsidRPr="00AD4E26">
              <w:rPr>
                <w:b/>
              </w:rPr>
              <w:lastRenderedPageBreak/>
              <w:t>Recommendation 49</w:t>
            </w:r>
            <w:r w:rsidRPr="00AD4E26">
              <w:t>: That the regulations (see Recommendation 2) require the Council to approve the rating strategy publicly and to publish it.</w:t>
            </w:r>
          </w:p>
        </w:tc>
        <w:tc>
          <w:tcPr>
            <w:tcW w:w="2330" w:type="pct"/>
            <w:shd w:val="clear" w:color="auto" w:fill="auto"/>
          </w:tcPr>
          <w:p w14:paraId="0D563D33" w14:textId="77777777" w:rsidR="004E7FCF" w:rsidRDefault="004E7FCF" w:rsidP="005A1CD3">
            <w:pPr>
              <w:pStyle w:val="BodyText"/>
            </w:pPr>
            <w:r>
              <w:t>Support in full</w:t>
            </w:r>
          </w:p>
          <w:p w14:paraId="7C6E9DDE" w14:textId="7114FCBA" w:rsidR="004E7FCF" w:rsidRPr="00854E2A" w:rsidRDefault="004E7FCF" w:rsidP="005A1CD3">
            <w:pPr>
              <w:pStyle w:val="BodyText"/>
            </w:pPr>
            <w:r>
              <w:t xml:space="preserve">The </w:t>
            </w:r>
            <w:r>
              <w:rPr>
                <w:i/>
                <w:iCs/>
              </w:rPr>
              <w:t>Local Government Act 2020</w:t>
            </w:r>
            <w:r>
              <w:t xml:space="preserve"> require councils </w:t>
            </w:r>
            <w:r w:rsidR="7D2CDB3A">
              <w:t>to</w:t>
            </w:r>
            <w:r>
              <w:t xml:space="preserve"> prepare and adopt a Revenue and Rating Plan.  The Government considers this recommendation acquitted. </w:t>
            </w:r>
          </w:p>
        </w:tc>
      </w:tr>
      <w:tr w:rsidR="004E7FCF" w:rsidRPr="00AD4E26" w14:paraId="044F745E" w14:textId="463AF921" w:rsidTr="009B081A">
        <w:trPr>
          <w:cantSplit/>
        </w:trPr>
        <w:tc>
          <w:tcPr>
            <w:tcW w:w="2670" w:type="pct"/>
            <w:gridSpan w:val="2"/>
          </w:tcPr>
          <w:p w14:paraId="6228CFC2" w14:textId="77777777" w:rsidR="004E7FCF" w:rsidRPr="00AD4E26" w:rsidRDefault="004E7FCF" w:rsidP="005A1CD3">
            <w:pPr>
              <w:pStyle w:val="BodyText"/>
              <w:ind w:left="0" w:right="0"/>
            </w:pPr>
            <w:r w:rsidRPr="00AD4E26">
              <w:rPr>
                <w:b/>
              </w:rPr>
              <w:t>Recommendation 50</w:t>
            </w:r>
            <w:r w:rsidRPr="00AD4E26">
              <w:t xml:space="preserve">: That a sector wide culture development program be established to assist councils to develop the governance, leadership, skills and knowledge required to engage communities in a manner consistent with the policies and practices set out by the Local Government Bill 2019. </w:t>
            </w:r>
          </w:p>
          <w:p w14:paraId="52B73412" w14:textId="77777777" w:rsidR="004E7FCF" w:rsidRPr="00AD4E26" w:rsidRDefault="004E7FCF" w:rsidP="005A1CD3">
            <w:pPr>
              <w:pStyle w:val="BodyText"/>
              <w:ind w:left="0" w:right="0"/>
            </w:pPr>
          </w:p>
        </w:tc>
        <w:tc>
          <w:tcPr>
            <w:tcW w:w="2330" w:type="pct"/>
            <w:shd w:val="clear" w:color="auto" w:fill="auto"/>
          </w:tcPr>
          <w:p w14:paraId="2DF8B525" w14:textId="77777777" w:rsidR="004E7FCF" w:rsidRDefault="004E7FCF" w:rsidP="005A1CD3">
            <w:pPr>
              <w:pStyle w:val="BodyText"/>
            </w:pPr>
            <w:r>
              <w:t>Support in full</w:t>
            </w:r>
          </w:p>
          <w:p w14:paraId="56A0EADF" w14:textId="06981EF3" w:rsidR="00641F1F" w:rsidRDefault="004E7FCF" w:rsidP="00641F1F">
            <w:pPr>
              <w:pStyle w:val="BodyText"/>
            </w:pPr>
            <w:r>
              <w:t>Improved governance, leadership and community engagement in rating will benefit all local governments and their communities.</w:t>
            </w:r>
            <w:r w:rsidR="00641F1F">
              <w:t xml:space="preserve">  The </w:t>
            </w:r>
            <w:r w:rsidR="00641F1F">
              <w:rPr>
                <w:i/>
                <w:iCs/>
              </w:rPr>
              <w:t>Local Government Act</w:t>
            </w:r>
            <w:r w:rsidR="00641F1F">
              <w:rPr>
                <w:i/>
              </w:rPr>
              <w:t xml:space="preserve"> 2020</w:t>
            </w:r>
            <w:r w:rsidR="00641F1F">
              <w:t xml:space="preserve"> requires deliberative community engagement </w:t>
            </w:r>
            <w:r w:rsidR="00DC4B81">
              <w:t xml:space="preserve">to be undertaken </w:t>
            </w:r>
            <w:r w:rsidR="00641F1F">
              <w:t>by councils.</w:t>
            </w:r>
          </w:p>
          <w:p w14:paraId="2C17800A" w14:textId="765F510A" w:rsidR="004E7FCF" w:rsidRPr="00B64F78" w:rsidRDefault="004E7FCF" w:rsidP="005A1CD3">
            <w:pPr>
              <w:pStyle w:val="BodyText"/>
            </w:pPr>
          </w:p>
        </w:tc>
      </w:tr>
      <w:tr w:rsidR="004E7FCF" w:rsidRPr="00AD4E26" w14:paraId="1377054B" w14:textId="4D91DA28" w:rsidTr="009B081A">
        <w:trPr>
          <w:cantSplit/>
        </w:trPr>
        <w:tc>
          <w:tcPr>
            <w:tcW w:w="2670" w:type="pct"/>
            <w:gridSpan w:val="2"/>
          </w:tcPr>
          <w:p w14:paraId="772FF6EA" w14:textId="77777777" w:rsidR="004E7FCF" w:rsidRPr="00AD4E26" w:rsidRDefault="004E7FCF" w:rsidP="005A1CD3">
            <w:pPr>
              <w:pStyle w:val="BodyText"/>
              <w:ind w:left="0" w:right="0"/>
            </w:pPr>
            <w:r w:rsidRPr="00AD4E26">
              <w:rPr>
                <w:b/>
              </w:rPr>
              <w:t>Recommendation 51</w:t>
            </w:r>
            <w:r w:rsidRPr="00AD4E26">
              <w:t>: That further work is undertaken to assess the merits of replacing the Notice of Acquisition with a file from Land Use Victoria (Titles Office), to understand the benefits and associated costs of consolidating the administration of rating systems across the sector and to identify the potential for improved interfaces between rates administration and relevant Victorian Government functions.</w:t>
            </w:r>
          </w:p>
        </w:tc>
        <w:tc>
          <w:tcPr>
            <w:tcW w:w="2330" w:type="pct"/>
            <w:shd w:val="clear" w:color="auto" w:fill="auto"/>
          </w:tcPr>
          <w:p w14:paraId="3CBFF297" w14:textId="77777777" w:rsidR="004E7FCF" w:rsidRDefault="004E7FCF" w:rsidP="005A1CD3">
            <w:pPr>
              <w:pStyle w:val="BodyText"/>
            </w:pPr>
            <w:r>
              <w:t>Support in full</w:t>
            </w:r>
          </w:p>
          <w:p w14:paraId="15C9D788" w14:textId="79EEC7D0" w:rsidR="004E7FCF" w:rsidRDefault="004E7FCF" w:rsidP="005A1CD3">
            <w:pPr>
              <w:pStyle w:val="BodyText"/>
            </w:pPr>
            <w:r>
              <w:t>There are clear benefits with this reform</w:t>
            </w:r>
            <w:r w:rsidR="4D64E84B">
              <w:t>,</w:t>
            </w:r>
            <w:r>
              <w:t xml:space="preserve"> </w:t>
            </w:r>
            <w:proofErr w:type="gramStart"/>
            <w:r>
              <w:t>in particular increased</w:t>
            </w:r>
            <w:proofErr w:type="gramEnd"/>
            <w:r>
              <w:t xml:space="preserve"> data accuracy and reduced costs for rate administration.</w:t>
            </w:r>
          </w:p>
          <w:p w14:paraId="4D85D3DC" w14:textId="781697C8" w:rsidR="004E7FCF" w:rsidRPr="00B64F78" w:rsidRDefault="004E7FCF" w:rsidP="005A1CD3">
            <w:pPr>
              <w:pStyle w:val="BodyText"/>
            </w:pPr>
            <w:r>
              <w:t xml:space="preserve">The Government notes the need to fully understand any cost implications for councils. </w:t>
            </w:r>
          </w:p>
        </w:tc>
      </w:tr>
      <w:tr w:rsidR="004E7FCF" w:rsidRPr="00AD4E26" w14:paraId="44FB9178" w14:textId="231A734D" w:rsidTr="009B081A">
        <w:tc>
          <w:tcPr>
            <w:tcW w:w="2670" w:type="pct"/>
            <w:gridSpan w:val="2"/>
          </w:tcPr>
          <w:p w14:paraId="5812C099" w14:textId="77777777" w:rsidR="004E7FCF" w:rsidRPr="00AD4E26" w:rsidRDefault="004E7FCF" w:rsidP="005A1CD3">
            <w:pPr>
              <w:pStyle w:val="BodyText"/>
              <w:ind w:left="0" w:right="0"/>
            </w:pPr>
            <w:r w:rsidRPr="00AD4E26">
              <w:rPr>
                <w:b/>
              </w:rPr>
              <w:t>Recommendation 52</w:t>
            </w:r>
            <w:r w:rsidRPr="00AD4E26">
              <w:t>: That the Valuer-General’s Office and councils collaborate to redesign the valuation objections process to provide a single point of contact within the Valuer-General’s Office for ratepayers who have issues with their valuations, to improve responsiveness to ratepayers who seek information or review and to improve process efficiency.</w:t>
            </w:r>
          </w:p>
        </w:tc>
        <w:tc>
          <w:tcPr>
            <w:tcW w:w="2330" w:type="pct"/>
            <w:shd w:val="clear" w:color="auto" w:fill="auto"/>
          </w:tcPr>
          <w:p w14:paraId="210FC477" w14:textId="77777777" w:rsidR="004E7FCF" w:rsidRDefault="004E7FCF" w:rsidP="006F4AE8">
            <w:pPr>
              <w:pStyle w:val="BodyText"/>
            </w:pPr>
            <w:r>
              <w:t>Support in full</w:t>
            </w:r>
          </w:p>
          <w:p w14:paraId="1B72D4B4" w14:textId="6367F20C" w:rsidR="004E7FCF" w:rsidRDefault="004E7FCF" w:rsidP="005A1CD3">
            <w:pPr>
              <w:pStyle w:val="BodyText"/>
            </w:pPr>
            <w:r>
              <w:t>There are clear benefits</w:t>
            </w:r>
            <w:r w:rsidR="00E262D8">
              <w:t xml:space="preserve"> in this reform</w:t>
            </w:r>
            <w:r>
              <w:t xml:space="preserve"> for rate administration and ratepayer convenience, with additional benefits for system integrity and transparency.</w:t>
            </w:r>
          </w:p>
          <w:p w14:paraId="7D5534C7" w14:textId="3788F02E" w:rsidR="004E7FCF" w:rsidRPr="00B64F78" w:rsidRDefault="004E7FCF" w:rsidP="005A1CD3">
            <w:pPr>
              <w:pStyle w:val="BodyText"/>
            </w:pPr>
            <w:r>
              <w:t xml:space="preserve">The Government notes the September 2020 launch of the Valuer-General Victoria’s </w:t>
            </w:r>
            <w:r w:rsidRPr="00BF0894">
              <w:t>Rating Valuations Objection Portal</w:t>
            </w:r>
            <w:r>
              <w:t xml:space="preserve"> for centralised objections for participating councils.</w:t>
            </w:r>
          </w:p>
        </w:tc>
      </w:tr>
      <w:tr w:rsidR="004E7FCF" w:rsidRPr="00AD4E26" w14:paraId="51BD4C52" w14:textId="751108CC" w:rsidTr="009B081A">
        <w:tc>
          <w:tcPr>
            <w:tcW w:w="1526" w:type="pct"/>
            <w:shd w:val="clear" w:color="auto" w:fill="D9E2F3" w:themeFill="accent1" w:themeFillTint="33"/>
          </w:tcPr>
          <w:p w14:paraId="03A44753" w14:textId="02D3874F" w:rsidR="004E7FCF" w:rsidRPr="00B64F78" w:rsidRDefault="004E7FCF" w:rsidP="00C113F8">
            <w:pPr>
              <w:pStyle w:val="Heading3"/>
              <w:outlineLvl w:val="2"/>
            </w:pPr>
            <w:r>
              <w:t>Other Opportunities to Improve Confidence in the Rating System</w:t>
            </w:r>
          </w:p>
        </w:tc>
        <w:tc>
          <w:tcPr>
            <w:tcW w:w="3474" w:type="pct"/>
            <w:gridSpan w:val="2"/>
            <w:shd w:val="clear" w:color="auto" w:fill="D9E2F3" w:themeFill="accent1" w:themeFillTint="33"/>
          </w:tcPr>
          <w:p w14:paraId="5050E88F" w14:textId="77777777" w:rsidR="004E7FCF" w:rsidRPr="00B64F78" w:rsidRDefault="004E7FCF" w:rsidP="005A1CD3">
            <w:pPr>
              <w:pStyle w:val="BodyText"/>
            </w:pPr>
          </w:p>
        </w:tc>
      </w:tr>
      <w:tr w:rsidR="004E7FCF" w:rsidRPr="00AD4E26" w14:paraId="123EFD6F" w14:textId="6354D9BE" w:rsidTr="009B081A">
        <w:trPr>
          <w:cantSplit/>
        </w:trPr>
        <w:tc>
          <w:tcPr>
            <w:tcW w:w="2670" w:type="pct"/>
            <w:gridSpan w:val="2"/>
          </w:tcPr>
          <w:p w14:paraId="6625C253" w14:textId="77777777" w:rsidR="004E7FCF" w:rsidRPr="00AD4E26" w:rsidRDefault="004E7FCF" w:rsidP="005A1CD3">
            <w:pPr>
              <w:pStyle w:val="BodyText"/>
              <w:ind w:left="0" w:right="0"/>
            </w:pPr>
            <w:r w:rsidRPr="00AD4E26">
              <w:rPr>
                <w:b/>
              </w:rPr>
              <w:t>Recommendation 53:</w:t>
            </w:r>
            <w:r w:rsidRPr="00AD4E26">
              <w:t xml:space="preserve"> That the Valuer-General’s methodology and data be reviewed at least every two years by a suitably qualified and independent agency as part of a program dedicated to the continuous improvement of the rating system.</w:t>
            </w:r>
          </w:p>
        </w:tc>
        <w:tc>
          <w:tcPr>
            <w:tcW w:w="2330" w:type="pct"/>
            <w:shd w:val="clear" w:color="auto" w:fill="auto"/>
          </w:tcPr>
          <w:p w14:paraId="007DD16D" w14:textId="7591C27D" w:rsidR="004E7FCF" w:rsidRPr="00871A1A" w:rsidRDefault="004E7FCF" w:rsidP="007D66FB">
            <w:pPr>
              <w:pStyle w:val="BodyText"/>
              <w:rPr>
                <w:highlight w:val="yellow"/>
              </w:rPr>
            </w:pPr>
            <w:r w:rsidRPr="009F7845">
              <w:t xml:space="preserve">The Government notes that the Panel’s Terms of Reference specifically excluded consideration of the </w:t>
            </w:r>
            <w:r w:rsidRPr="007D66FB">
              <w:rPr>
                <w:i/>
                <w:iCs/>
              </w:rPr>
              <w:t>Valuation of Land Act 1960</w:t>
            </w:r>
            <w:r w:rsidRPr="009F7845">
              <w:t>.</w:t>
            </w:r>
          </w:p>
        </w:tc>
      </w:tr>
      <w:tr w:rsidR="004E7FCF" w:rsidRPr="00AD4E26" w14:paraId="63995B15" w14:textId="622E8D09" w:rsidTr="009B081A">
        <w:trPr>
          <w:cantSplit/>
        </w:trPr>
        <w:tc>
          <w:tcPr>
            <w:tcW w:w="2670" w:type="pct"/>
            <w:gridSpan w:val="2"/>
          </w:tcPr>
          <w:p w14:paraId="158D3C55" w14:textId="77777777" w:rsidR="004E7FCF" w:rsidRPr="00AD4E26" w:rsidRDefault="004E7FCF" w:rsidP="005A1CD3">
            <w:pPr>
              <w:pStyle w:val="BodyText"/>
              <w:ind w:left="0" w:right="0"/>
            </w:pPr>
            <w:r w:rsidRPr="00AD4E26">
              <w:rPr>
                <w:b/>
              </w:rPr>
              <w:t>Recommendation 54:</w:t>
            </w:r>
            <w:r w:rsidRPr="00AD4E26">
              <w:t xml:space="preserve"> That work be undertaken to explore whether the valuation model can be improved by reducing its dependence on observed market prices and increase its reliance on property characteristics which are more stable than market prices (such as: size of land, floor space, distance from service centres, etc.) </w:t>
            </w:r>
          </w:p>
        </w:tc>
        <w:tc>
          <w:tcPr>
            <w:tcW w:w="2330" w:type="pct"/>
            <w:shd w:val="clear" w:color="auto" w:fill="auto"/>
          </w:tcPr>
          <w:p w14:paraId="726504E0" w14:textId="1161B32C" w:rsidR="004E7FCF" w:rsidRPr="00B17927" w:rsidRDefault="004E7FCF" w:rsidP="00B17927">
            <w:pPr>
              <w:rPr>
                <w:highlight w:val="yellow"/>
              </w:rPr>
            </w:pPr>
            <w:r w:rsidRPr="00B17927">
              <w:rPr>
                <w:sz w:val="20"/>
              </w:rPr>
              <w:t xml:space="preserve">The Government notes that the Panel’s Terms of Reference specifically excluded consideration by the Panel of the principal functions of the </w:t>
            </w:r>
            <w:r w:rsidRPr="00DF2892">
              <w:rPr>
                <w:i/>
                <w:iCs/>
                <w:sz w:val="20"/>
              </w:rPr>
              <w:t>Valuation of Land Act 1960</w:t>
            </w:r>
            <w:r w:rsidRPr="00B17927">
              <w:rPr>
                <w:sz w:val="20"/>
              </w:rPr>
              <w:t>.</w:t>
            </w:r>
          </w:p>
        </w:tc>
      </w:tr>
      <w:tr w:rsidR="004E7FCF" w:rsidRPr="00AD4E26" w14:paraId="0BBB3EEB" w14:textId="68A73764" w:rsidTr="009B081A">
        <w:trPr>
          <w:cantSplit/>
        </w:trPr>
        <w:tc>
          <w:tcPr>
            <w:tcW w:w="2670" w:type="pct"/>
            <w:gridSpan w:val="2"/>
          </w:tcPr>
          <w:p w14:paraId="0D482AB8" w14:textId="77777777" w:rsidR="004E7FCF" w:rsidRPr="00AD4E26" w:rsidRDefault="004E7FCF" w:rsidP="005A1CD3">
            <w:pPr>
              <w:pStyle w:val="BodyText"/>
              <w:ind w:left="0" w:right="0"/>
            </w:pPr>
            <w:r w:rsidRPr="00AD4E26">
              <w:rPr>
                <w:b/>
              </w:rPr>
              <w:lastRenderedPageBreak/>
              <w:t>Recommendation 55:</w:t>
            </w:r>
            <w:r w:rsidRPr="00AD4E26">
              <w:t xml:space="preserve"> That the Victorian Government work with relevant peak bodies and councils to design a performance development program which ensures improved alignment between councils’ longer-term strategic plans for their communities, their ten-year financial and asset plans, their four-year priorities and associated resource plans and four-year revenue and rating plans. These, in turn, should inform their annual budgets.</w:t>
            </w:r>
          </w:p>
        </w:tc>
        <w:tc>
          <w:tcPr>
            <w:tcW w:w="2330" w:type="pct"/>
            <w:shd w:val="clear" w:color="auto" w:fill="auto"/>
          </w:tcPr>
          <w:p w14:paraId="6CACF04D" w14:textId="6F5CB851" w:rsidR="004E7FCF" w:rsidRDefault="004E7FCF" w:rsidP="005A1CD3">
            <w:pPr>
              <w:pStyle w:val="BodyText"/>
            </w:pPr>
            <w:r>
              <w:t>Support in full</w:t>
            </w:r>
          </w:p>
          <w:p w14:paraId="16D7A8EA" w14:textId="3109E319" w:rsidR="004E7FCF" w:rsidRDefault="004E7FCF" w:rsidP="005A1CD3">
            <w:pPr>
              <w:pStyle w:val="BodyText"/>
              <w:rPr>
                <w:i/>
                <w:iCs/>
              </w:rPr>
            </w:pPr>
            <w:r>
              <w:t xml:space="preserve">The Government is working with the local government sector to implement the long-term planning, asset and financial management requirements </w:t>
            </w:r>
            <w:r w:rsidR="418F168B">
              <w:t>in</w:t>
            </w:r>
            <w:r>
              <w:t xml:space="preserve"> the </w:t>
            </w:r>
            <w:r>
              <w:rPr>
                <w:i/>
                <w:iCs/>
              </w:rPr>
              <w:t xml:space="preserve">Local Government Act 2020.  </w:t>
            </w:r>
          </w:p>
          <w:p w14:paraId="03D790DB" w14:textId="325B8247" w:rsidR="004E7FCF" w:rsidRPr="00B64F78" w:rsidRDefault="004E7FCF" w:rsidP="005A1CD3">
            <w:pPr>
              <w:pStyle w:val="BodyText"/>
            </w:pPr>
          </w:p>
        </w:tc>
      </w:tr>
      <w:tr w:rsidR="004E7FCF" w:rsidRPr="00AD4E26" w14:paraId="053037B0" w14:textId="5A65F2A8" w:rsidTr="009B081A">
        <w:trPr>
          <w:cantSplit/>
        </w:trPr>
        <w:tc>
          <w:tcPr>
            <w:tcW w:w="2670" w:type="pct"/>
            <w:gridSpan w:val="2"/>
          </w:tcPr>
          <w:p w14:paraId="2969714C" w14:textId="77777777" w:rsidR="004E7FCF" w:rsidRPr="00AD4E26" w:rsidRDefault="004E7FCF" w:rsidP="005A1CD3">
            <w:pPr>
              <w:pStyle w:val="BodyText"/>
              <w:ind w:left="0" w:right="0"/>
            </w:pPr>
            <w:r w:rsidRPr="00AD4E26">
              <w:rPr>
                <w:b/>
              </w:rPr>
              <w:t>Recommendation 56:</w:t>
            </w:r>
            <w:r w:rsidRPr="00AD4E26">
              <w:t xml:space="preserve"> That the improvement program outlined in the 2017 Report of the Rural and Regional Councils Sustainability Reform Program report is reviewed to inform future projects and programs to address improved equity across all councils in Victoria.</w:t>
            </w:r>
          </w:p>
        </w:tc>
        <w:tc>
          <w:tcPr>
            <w:tcW w:w="2330" w:type="pct"/>
            <w:shd w:val="clear" w:color="auto" w:fill="auto"/>
          </w:tcPr>
          <w:p w14:paraId="06620ED0" w14:textId="005745F5" w:rsidR="004E7FCF" w:rsidRDefault="004E7FCF" w:rsidP="005A1CD3">
            <w:pPr>
              <w:pStyle w:val="BodyText"/>
            </w:pPr>
            <w:r>
              <w:t xml:space="preserve">Support in </w:t>
            </w:r>
            <w:r w:rsidR="008E0D75">
              <w:t>full</w:t>
            </w:r>
          </w:p>
          <w:p w14:paraId="6335CB12" w14:textId="15B0E8A2" w:rsidR="004E7FCF" w:rsidRPr="00B64F78" w:rsidRDefault="004E7FCF" w:rsidP="009B081A">
            <w:pPr>
              <w:pStyle w:val="BodyText"/>
            </w:pPr>
            <w:r w:rsidRPr="00356474">
              <w:t>The Government</w:t>
            </w:r>
            <w:r>
              <w:t xml:space="preserve"> </w:t>
            </w:r>
            <w:r w:rsidR="71CCBABA">
              <w:t>supports</w:t>
            </w:r>
            <w:r>
              <w:t xml:space="preserve"> the long-term sustainability of rural and regional councils</w:t>
            </w:r>
            <w:r w:rsidR="00553A2B">
              <w:t xml:space="preserve"> through dedicated programs of support</w:t>
            </w:r>
            <w:r>
              <w:t xml:space="preserve">. </w:t>
            </w:r>
            <w:r w:rsidR="000E629D">
              <w:t xml:space="preserve"> </w:t>
            </w:r>
            <w:r w:rsidR="00553A2B">
              <w:t>The Victorian Government will continue to advocate to the Commonwealth Government for the need to increase funding to compensate for the freeze in indexation of the Financial Assistance Grants pool between 2013-14 and 2016-17.</w:t>
            </w:r>
          </w:p>
        </w:tc>
      </w:tr>
    </w:tbl>
    <w:p w14:paraId="08234703" w14:textId="77777777" w:rsidR="00424608" w:rsidRDefault="00424608" w:rsidP="00424608"/>
    <w:sectPr w:rsidR="00424608" w:rsidSect="00503D8C">
      <w:footerReference w:type="default" r:id="rId12"/>
      <w:footerReference w:type="first" r:id="rId13"/>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228BA" w14:textId="77777777" w:rsidR="00B87300" w:rsidRDefault="00B87300" w:rsidP="00AB198A">
      <w:pPr>
        <w:spacing w:after="0" w:line="240" w:lineRule="auto"/>
      </w:pPr>
      <w:r>
        <w:separator/>
      </w:r>
    </w:p>
  </w:endnote>
  <w:endnote w:type="continuationSeparator" w:id="0">
    <w:p w14:paraId="66CF5E9A" w14:textId="77777777" w:rsidR="00B87300" w:rsidRDefault="00B87300" w:rsidP="00AB198A">
      <w:pPr>
        <w:spacing w:after="0" w:line="240" w:lineRule="auto"/>
      </w:pPr>
      <w:r>
        <w:continuationSeparator/>
      </w:r>
    </w:p>
  </w:endnote>
  <w:endnote w:type="continuationNotice" w:id="1">
    <w:p w14:paraId="420C9BA1" w14:textId="77777777" w:rsidR="00B87300" w:rsidRDefault="00B873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653455"/>
      <w:docPartObj>
        <w:docPartGallery w:val="Page Numbers (Bottom of Page)"/>
        <w:docPartUnique/>
      </w:docPartObj>
    </w:sdtPr>
    <w:sdtEndPr>
      <w:rPr>
        <w:noProof/>
      </w:rPr>
    </w:sdtEndPr>
    <w:sdtContent>
      <w:p w14:paraId="56B080CE" w14:textId="0DC75D01" w:rsidR="00F02D59" w:rsidRDefault="00503D8C">
        <w:pPr>
          <w:pStyle w:val="Footer"/>
          <w:jc w:val="center"/>
        </w:pPr>
        <w:r>
          <w:t xml:space="preserve">Page </w:t>
        </w:r>
        <w:r w:rsidR="00F02D59">
          <w:fldChar w:fldCharType="begin"/>
        </w:r>
        <w:r w:rsidR="00F02D59">
          <w:instrText xml:space="preserve"> PAGE   \* MERGEFORMAT </w:instrText>
        </w:r>
        <w:r w:rsidR="00F02D59">
          <w:fldChar w:fldCharType="separate"/>
        </w:r>
        <w:r w:rsidR="00F02D59">
          <w:rPr>
            <w:noProof/>
          </w:rPr>
          <w:t>2</w:t>
        </w:r>
        <w:r w:rsidR="00F02D59">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14</w:t>
        </w:r>
        <w:r>
          <w:rPr>
            <w:noProof/>
          </w:rPr>
          <w:fldChar w:fldCharType="end"/>
        </w:r>
      </w:p>
    </w:sdtContent>
  </w:sdt>
  <w:p w14:paraId="2E3187DD" w14:textId="49262043" w:rsidR="00AB198A" w:rsidRDefault="00AB1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BCAD" w14:textId="05AAEBB4" w:rsidR="00503D8C" w:rsidRDefault="00503D8C" w:rsidP="00503D8C">
    <w:pPr>
      <w:pStyle w:val="Footer"/>
      <w:jc w:val="center"/>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C4A4B" w14:textId="77777777" w:rsidR="00B87300" w:rsidRDefault="00B87300" w:rsidP="00AB198A">
      <w:pPr>
        <w:spacing w:after="0" w:line="240" w:lineRule="auto"/>
      </w:pPr>
      <w:r>
        <w:separator/>
      </w:r>
    </w:p>
  </w:footnote>
  <w:footnote w:type="continuationSeparator" w:id="0">
    <w:p w14:paraId="1B46B7EA" w14:textId="77777777" w:rsidR="00B87300" w:rsidRDefault="00B87300" w:rsidP="00AB198A">
      <w:pPr>
        <w:spacing w:after="0" w:line="240" w:lineRule="auto"/>
      </w:pPr>
      <w:r>
        <w:continuationSeparator/>
      </w:r>
    </w:p>
  </w:footnote>
  <w:footnote w:type="continuationNotice" w:id="1">
    <w:p w14:paraId="3ACACE60" w14:textId="77777777" w:rsidR="00B87300" w:rsidRDefault="00B873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64C627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475E671E"/>
    <w:lvl w:ilvl="0" w:tplc="04E66444">
      <w:start w:val="1"/>
      <w:numFmt w:val="decimal"/>
      <w:lvlText w:val="%1."/>
      <w:lvlJc w:val="left"/>
      <w:pPr>
        <w:tabs>
          <w:tab w:val="num" w:pos="926"/>
        </w:tabs>
        <w:ind w:left="926" w:hanging="360"/>
      </w:pPr>
    </w:lvl>
    <w:lvl w:ilvl="1" w:tplc="069E3D54">
      <w:numFmt w:val="decimal"/>
      <w:lvlText w:val=""/>
      <w:lvlJc w:val="left"/>
    </w:lvl>
    <w:lvl w:ilvl="2" w:tplc="31B413B2">
      <w:numFmt w:val="decimal"/>
      <w:lvlText w:val=""/>
      <w:lvlJc w:val="left"/>
    </w:lvl>
    <w:lvl w:ilvl="3" w:tplc="F402A9BC">
      <w:numFmt w:val="decimal"/>
      <w:lvlText w:val=""/>
      <w:lvlJc w:val="left"/>
    </w:lvl>
    <w:lvl w:ilvl="4" w:tplc="1ABC1E1E">
      <w:numFmt w:val="decimal"/>
      <w:lvlText w:val=""/>
      <w:lvlJc w:val="left"/>
    </w:lvl>
    <w:lvl w:ilvl="5" w:tplc="AF221E4C">
      <w:numFmt w:val="decimal"/>
      <w:lvlText w:val=""/>
      <w:lvlJc w:val="left"/>
    </w:lvl>
    <w:lvl w:ilvl="6" w:tplc="AE0EF01A">
      <w:numFmt w:val="decimal"/>
      <w:lvlText w:val=""/>
      <w:lvlJc w:val="left"/>
    </w:lvl>
    <w:lvl w:ilvl="7" w:tplc="C68EC9A4">
      <w:numFmt w:val="decimal"/>
      <w:lvlText w:val=""/>
      <w:lvlJc w:val="left"/>
    </w:lvl>
    <w:lvl w:ilvl="8" w:tplc="3E2C7D22">
      <w:numFmt w:val="decimal"/>
      <w:lvlText w:val=""/>
      <w:lvlJc w:val="left"/>
    </w:lvl>
  </w:abstractNum>
  <w:abstractNum w:abstractNumId="3" w15:restartNumberingAfterBreak="0">
    <w:nsid w:val="FFFFFF7F"/>
    <w:multiLevelType w:val="multilevel"/>
    <w:tmpl w:val="0692474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127A2F8C"/>
    <w:lvl w:ilvl="0" w:tplc="46C0C072">
      <w:start w:val="1"/>
      <w:numFmt w:val="bullet"/>
      <w:lvlText w:val=""/>
      <w:lvlJc w:val="left"/>
      <w:pPr>
        <w:tabs>
          <w:tab w:val="num" w:pos="1492"/>
        </w:tabs>
        <w:ind w:left="1492" w:hanging="360"/>
      </w:pPr>
      <w:rPr>
        <w:rFonts w:ascii="Symbol" w:hAnsi="Symbol" w:hint="default"/>
      </w:rPr>
    </w:lvl>
    <w:lvl w:ilvl="1" w:tplc="8228C5D8">
      <w:numFmt w:val="decimal"/>
      <w:lvlText w:val=""/>
      <w:lvlJc w:val="left"/>
    </w:lvl>
    <w:lvl w:ilvl="2" w:tplc="6D62ABB4">
      <w:numFmt w:val="decimal"/>
      <w:lvlText w:val=""/>
      <w:lvlJc w:val="left"/>
    </w:lvl>
    <w:lvl w:ilvl="3" w:tplc="AE8001CA">
      <w:numFmt w:val="decimal"/>
      <w:lvlText w:val=""/>
      <w:lvlJc w:val="left"/>
    </w:lvl>
    <w:lvl w:ilvl="4" w:tplc="EE5A9FAE">
      <w:numFmt w:val="decimal"/>
      <w:lvlText w:val=""/>
      <w:lvlJc w:val="left"/>
    </w:lvl>
    <w:lvl w:ilvl="5" w:tplc="75FE0F18">
      <w:numFmt w:val="decimal"/>
      <w:lvlText w:val=""/>
      <w:lvlJc w:val="left"/>
    </w:lvl>
    <w:lvl w:ilvl="6" w:tplc="652CBCE2">
      <w:numFmt w:val="decimal"/>
      <w:lvlText w:val=""/>
      <w:lvlJc w:val="left"/>
    </w:lvl>
    <w:lvl w:ilvl="7" w:tplc="A0F092FE">
      <w:numFmt w:val="decimal"/>
      <w:lvlText w:val=""/>
      <w:lvlJc w:val="left"/>
    </w:lvl>
    <w:lvl w:ilvl="8" w:tplc="9912B8E2">
      <w:numFmt w:val="decimal"/>
      <w:lvlText w:val=""/>
      <w:lvlJc w:val="left"/>
    </w:lvl>
  </w:abstractNum>
  <w:abstractNum w:abstractNumId="5" w15:restartNumberingAfterBreak="0">
    <w:nsid w:val="FFFFFF81"/>
    <w:multiLevelType w:val="multilevel"/>
    <w:tmpl w:val="6FF819D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60A891A"/>
    <w:lvl w:ilvl="0" w:tplc="E578ED4A">
      <w:start w:val="1"/>
      <w:numFmt w:val="decimal"/>
      <w:lvlText w:val="%1."/>
      <w:lvlJc w:val="left"/>
      <w:pPr>
        <w:tabs>
          <w:tab w:val="num" w:pos="360"/>
        </w:tabs>
        <w:ind w:left="360" w:hanging="360"/>
      </w:pPr>
    </w:lvl>
    <w:lvl w:ilvl="1" w:tplc="B812F904">
      <w:numFmt w:val="decimal"/>
      <w:lvlText w:val=""/>
      <w:lvlJc w:val="left"/>
    </w:lvl>
    <w:lvl w:ilvl="2" w:tplc="A9360486">
      <w:numFmt w:val="decimal"/>
      <w:lvlText w:val=""/>
      <w:lvlJc w:val="left"/>
    </w:lvl>
    <w:lvl w:ilvl="3" w:tplc="CC2A09E6">
      <w:numFmt w:val="decimal"/>
      <w:lvlText w:val=""/>
      <w:lvlJc w:val="left"/>
    </w:lvl>
    <w:lvl w:ilvl="4" w:tplc="FF66B4EA">
      <w:numFmt w:val="decimal"/>
      <w:lvlText w:val=""/>
      <w:lvlJc w:val="left"/>
    </w:lvl>
    <w:lvl w:ilvl="5" w:tplc="082CCEDA">
      <w:numFmt w:val="decimal"/>
      <w:lvlText w:val=""/>
      <w:lvlJc w:val="left"/>
    </w:lvl>
    <w:lvl w:ilvl="6" w:tplc="2A5447C4">
      <w:numFmt w:val="decimal"/>
      <w:lvlText w:val=""/>
      <w:lvlJc w:val="left"/>
    </w:lvl>
    <w:lvl w:ilvl="7" w:tplc="AEB850E2">
      <w:numFmt w:val="decimal"/>
      <w:lvlText w:val=""/>
      <w:lvlJc w:val="left"/>
    </w:lvl>
    <w:lvl w:ilvl="8" w:tplc="6D6EB2C0">
      <w:numFmt w:val="decimal"/>
      <w:lvlText w:val=""/>
      <w:lvlJc w:val="left"/>
    </w:lvl>
  </w:abstractNum>
  <w:abstractNum w:abstractNumId="9" w15:restartNumberingAfterBreak="0">
    <w:nsid w:val="FFFFFF89"/>
    <w:multiLevelType w:val="hybridMultilevel"/>
    <w:tmpl w:val="A43ACE5E"/>
    <w:lvl w:ilvl="0" w:tplc="7FA68B74">
      <w:start w:val="1"/>
      <w:numFmt w:val="bullet"/>
      <w:pStyle w:val="ListBullet"/>
      <w:lvlText w:val=""/>
      <w:lvlJc w:val="left"/>
      <w:pPr>
        <w:tabs>
          <w:tab w:val="num" w:pos="360"/>
        </w:tabs>
        <w:ind w:left="360" w:hanging="360"/>
      </w:pPr>
      <w:rPr>
        <w:rFonts w:ascii="Symbol" w:hAnsi="Symbol" w:hint="default"/>
      </w:rPr>
    </w:lvl>
    <w:lvl w:ilvl="1" w:tplc="7A384B12">
      <w:numFmt w:val="decimal"/>
      <w:lvlText w:val=""/>
      <w:lvlJc w:val="left"/>
    </w:lvl>
    <w:lvl w:ilvl="2" w:tplc="5F387264">
      <w:numFmt w:val="decimal"/>
      <w:lvlText w:val=""/>
      <w:lvlJc w:val="left"/>
    </w:lvl>
    <w:lvl w:ilvl="3" w:tplc="CA2A5D18">
      <w:numFmt w:val="decimal"/>
      <w:lvlText w:val=""/>
      <w:lvlJc w:val="left"/>
    </w:lvl>
    <w:lvl w:ilvl="4" w:tplc="F9747D0C">
      <w:numFmt w:val="decimal"/>
      <w:lvlText w:val=""/>
      <w:lvlJc w:val="left"/>
    </w:lvl>
    <w:lvl w:ilvl="5" w:tplc="DB668AE4">
      <w:numFmt w:val="decimal"/>
      <w:lvlText w:val=""/>
      <w:lvlJc w:val="left"/>
    </w:lvl>
    <w:lvl w:ilvl="6" w:tplc="F5B0F06A">
      <w:numFmt w:val="decimal"/>
      <w:lvlText w:val=""/>
      <w:lvlJc w:val="left"/>
    </w:lvl>
    <w:lvl w:ilvl="7" w:tplc="9208A8BA">
      <w:numFmt w:val="decimal"/>
      <w:lvlText w:val=""/>
      <w:lvlJc w:val="left"/>
    </w:lvl>
    <w:lvl w:ilvl="8" w:tplc="90CC44A6">
      <w:numFmt w:val="decimal"/>
      <w:lvlText w:val=""/>
      <w:lvlJc w:val="left"/>
    </w:lvl>
  </w:abstractNum>
  <w:abstractNum w:abstractNumId="10" w15:restartNumberingAfterBreak="0">
    <w:nsid w:val="068B37FE"/>
    <w:multiLevelType w:val="hybridMultilevel"/>
    <w:tmpl w:val="704ECC20"/>
    <w:name w:val="DEPIListBullets"/>
    <w:lvl w:ilvl="0" w:tplc="65364DD0">
      <w:start w:val="1"/>
      <w:numFmt w:val="bullet"/>
      <w:lvlText w:val="•"/>
      <w:lvlJc w:val="left"/>
      <w:pPr>
        <w:tabs>
          <w:tab w:val="num" w:pos="340"/>
        </w:tabs>
        <w:ind w:left="340" w:hanging="170"/>
      </w:pPr>
      <w:rPr>
        <w:rFonts w:ascii="Calibri" w:hAnsi="Calibri" w:hint="default"/>
        <w:b w:val="0"/>
        <w:i w:val="0"/>
        <w:color w:val="000000" w:themeColor="text1"/>
        <w:position w:val="0"/>
        <w:sz w:val="20"/>
      </w:rPr>
    </w:lvl>
    <w:lvl w:ilvl="1" w:tplc="90E89A3E">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BDDE7D96">
      <w:start w:val="1"/>
      <w:numFmt w:val="bullet"/>
      <w:pStyle w:val="ListBullet3"/>
      <w:lvlText w:val=""/>
      <w:lvlJc w:val="left"/>
      <w:pPr>
        <w:tabs>
          <w:tab w:val="num" w:pos="680"/>
        </w:tabs>
        <w:ind w:left="680" w:hanging="170"/>
      </w:pPr>
      <w:rPr>
        <w:rFonts w:ascii="Symbol" w:hAnsi="Symbol" w:hint="default"/>
        <w:b w:val="0"/>
        <w:i w:val="0"/>
        <w:color w:val="000000" w:themeColor="text1"/>
        <w:spacing w:val="0"/>
        <w:w w:val="100"/>
        <w:position w:val="3"/>
        <w:sz w:val="18"/>
        <w:szCs w:val="16"/>
      </w:rPr>
    </w:lvl>
    <w:lvl w:ilvl="3" w:tplc="68B096B0">
      <w:start w:val="1"/>
      <w:numFmt w:val="none"/>
      <w:lvlText w:val=""/>
      <w:lvlJc w:val="left"/>
      <w:pPr>
        <w:tabs>
          <w:tab w:val="num" w:pos="680"/>
        </w:tabs>
        <w:ind w:left="850" w:hanging="170"/>
      </w:pPr>
      <w:rPr>
        <w:rFonts w:hint="default"/>
      </w:rPr>
    </w:lvl>
    <w:lvl w:ilvl="4" w:tplc="42FA060A">
      <w:start w:val="1"/>
      <w:numFmt w:val="none"/>
      <w:lvlText w:val=""/>
      <w:lvlJc w:val="left"/>
      <w:pPr>
        <w:tabs>
          <w:tab w:val="num" w:pos="850"/>
        </w:tabs>
        <w:ind w:left="1020" w:hanging="170"/>
      </w:pPr>
      <w:rPr>
        <w:rFonts w:hint="default"/>
      </w:rPr>
    </w:lvl>
    <w:lvl w:ilvl="5" w:tplc="18EA4F8C">
      <w:start w:val="1"/>
      <w:numFmt w:val="none"/>
      <w:lvlText w:val=""/>
      <w:lvlJc w:val="left"/>
      <w:pPr>
        <w:tabs>
          <w:tab w:val="num" w:pos="1020"/>
        </w:tabs>
        <w:ind w:left="1190" w:hanging="170"/>
      </w:pPr>
      <w:rPr>
        <w:rFonts w:hint="default"/>
      </w:rPr>
    </w:lvl>
    <w:lvl w:ilvl="6" w:tplc="19E85D5A">
      <w:start w:val="1"/>
      <w:numFmt w:val="none"/>
      <w:lvlText w:val=""/>
      <w:lvlJc w:val="left"/>
      <w:pPr>
        <w:tabs>
          <w:tab w:val="num" w:pos="1190"/>
        </w:tabs>
        <w:ind w:left="1360" w:hanging="170"/>
      </w:pPr>
      <w:rPr>
        <w:rFonts w:hint="default"/>
      </w:rPr>
    </w:lvl>
    <w:lvl w:ilvl="7" w:tplc="ABE295CE">
      <w:start w:val="1"/>
      <w:numFmt w:val="none"/>
      <w:lvlText w:val=""/>
      <w:lvlJc w:val="left"/>
      <w:pPr>
        <w:tabs>
          <w:tab w:val="num" w:pos="1360"/>
        </w:tabs>
        <w:ind w:left="1530" w:hanging="170"/>
      </w:pPr>
      <w:rPr>
        <w:rFonts w:hint="default"/>
      </w:rPr>
    </w:lvl>
    <w:lvl w:ilvl="8" w:tplc="7F485250">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hybridMultilevel"/>
    <w:tmpl w:val="75CA4D72"/>
    <w:name w:val="DEPITableBullets"/>
    <w:lvl w:ilvl="0" w:tplc="90F8DD1A">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tplc="F31C364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5A40DCC6">
      <w:start w:val="1"/>
      <w:numFmt w:val="bullet"/>
      <w:pStyle w:val="TableTextBullet3"/>
      <w:lvlText w:val=""/>
      <w:lvlJc w:val="left"/>
      <w:pPr>
        <w:tabs>
          <w:tab w:val="num" w:pos="624"/>
        </w:tabs>
        <w:ind w:left="624" w:hanging="170"/>
      </w:pPr>
      <w:rPr>
        <w:rFonts w:ascii="Symbol" w:hAnsi="Symbol" w:hint="default"/>
        <w:position w:val="3"/>
        <w:sz w:val="18"/>
      </w:rPr>
    </w:lvl>
    <w:lvl w:ilvl="3" w:tplc="58263A56">
      <w:start w:val="1"/>
      <w:numFmt w:val="none"/>
      <w:lvlText w:val=""/>
      <w:lvlJc w:val="left"/>
      <w:pPr>
        <w:ind w:left="2767" w:hanging="360"/>
      </w:pPr>
      <w:rPr>
        <w:rFonts w:hint="default"/>
      </w:rPr>
    </w:lvl>
    <w:lvl w:ilvl="4" w:tplc="74CE9DC6">
      <w:start w:val="1"/>
      <w:numFmt w:val="none"/>
      <w:lvlText w:val=""/>
      <w:lvlJc w:val="left"/>
      <w:pPr>
        <w:ind w:left="3487" w:hanging="360"/>
      </w:pPr>
      <w:rPr>
        <w:rFonts w:hint="default"/>
      </w:rPr>
    </w:lvl>
    <w:lvl w:ilvl="5" w:tplc="45FAEF6E">
      <w:start w:val="1"/>
      <w:numFmt w:val="none"/>
      <w:lvlText w:val=""/>
      <w:lvlJc w:val="left"/>
      <w:pPr>
        <w:ind w:left="4207" w:hanging="360"/>
      </w:pPr>
      <w:rPr>
        <w:rFonts w:hint="default"/>
      </w:rPr>
    </w:lvl>
    <w:lvl w:ilvl="6" w:tplc="E9C237A2">
      <w:start w:val="1"/>
      <w:numFmt w:val="none"/>
      <w:lvlText w:val=""/>
      <w:lvlJc w:val="left"/>
      <w:pPr>
        <w:ind w:left="4927" w:hanging="360"/>
      </w:pPr>
      <w:rPr>
        <w:rFonts w:hint="default"/>
      </w:rPr>
    </w:lvl>
    <w:lvl w:ilvl="7" w:tplc="9BE06A82">
      <w:start w:val="1"/>
      <w:numFmt w:val="none"/>
      <w:lvlText w:val=""/>
      <w:lvlJc w:val="left"/>
      <w:pPr>
        <w:ind w:left="5647" w:hanging="360"/>
      </w:pPr>
      <w:rPr>
        <w:rFonts w:hint="default"/>
      </w:rPr>
    </w:lvl>
    <w:lvl w:ilvl="8" w:tplc="876826BA">
      <w:start w:val="1"/>
      <w:numFmt w:val="none"/>
      <w:lvlText w:val=""/>
      <w:lvlJc w:val="left"/>
      <w:pPr>
        <w:ind w:left="6367" w:hanging="360"/>
      </w:pPr>
      <w:rPr>
        <w:rFonts w:hint="default"/>
      </w:rPr>
    </w:lvl>
  </w:abstractNum>
  <w:abstractNum w:abstractNumId="14" w15:restartNumberingAfterBreak="0">
    <w:nsid w:val="1F275C51"/>
    <w:multiLevelType w:val="hybridMultilevel"/>
    <w:tmpl w:val="14E88F38"/>
    <w:name w:val="DEPIListAlpha"/>
    <w:lvl w:ilvl="0" w:tplc="3C56255A">
      <w:start w:val="1"/>
      <w:numFmt w:val="lowerLetter"/>
      <w:pStyle w:val="ListAlpha"/>
      <w:lvlText w:val="%1."/>
      <w:lvlJc w:val="left"/>
      <w:pPr>
        <w:ind w:left="340" w:hanging="340"/>
      </w:pPr>
      <w:rPr>
        <w:rFonts w:hint="default"/>
      </w:rPr>
    </w:lvl>
    <w:lvl w:ilvl="1" w:tplc="38DC9DC2">
      <w:start w:val="1"/>
      <w:numFmt w:val="lowerRoman"/>
      <w:pStyle w:val="ListAlpha2"/>
      <w:lvlText w:val="%2."/>
      <w:lvlJc w:val="left"/>
      <w:pPr>
        <w:ind w:left="709" w:hanging="369"/>
      </w:pPr>
      <w:rPr>
        <w:rFonts w:hint="default"/>
      </w:rPr>
    </w:lvl>
    <w:lvl w:ilvl="2" w:tplc="85046436">
      <w:start w:val="1"/>
      <w:numFmt w:val="bullet"/>
      <w:pStyle w:val="ListAlpha3"/>
      <w:lvlText w:val="–"/>
      <w:lvlJc w:val="left"/>
      <w:pPr>
        <w:ind w:left="1049" w:hanging="340"/>
      </w:pPr>
      <w:rPr>
        <w:rFonts w:ascii="Arial" w:hAnsi="Arial" w:hint="default"/>
        <w:color w:val="auto"/>
      </w:rPr>
    </w:lvl>
    <w:lvl w:ilvl="3" w:tplc="DC3A1A4E">
      <w:start w:val="1"/>
      <w:numFmt w:val="decimal"/>
      <w:lvlText w:val="%4."/>
      <w:lvlJc w:val="left"/>
      <w:pPr>
        <w:ind w:left="1816" w:hanging="454"/>
      </w:pPr>
      <w:rPr>
        <w:rFonts w:hint="default"/>
      </w:rPr>
    </w:lvl>
    <w:lvl w:ilvl="4" w:tplc="77CA141E">
      <w:start w:val="1"/>
      <w:numFmt w:val="lowerLetter"/>
      <w:lvlText w:val="%5."/>
      <w:lvlJc w:val="left"/>
      <w:pPr>
        <w:ind w:left="2270" w:hanging="454"/>
      </w:pPr>
      <w:rPr>
        <w:rFonts w:hint="default"/>
      </w:rPr>
    </w:lvl>
    <w:lvl w:ilvl="5" w:tplc="FFB2D508">
      <w:start w:val="1"/>
      <w:numFmt w:val="lowerRoman"/>
      <w:lvlText w:val="%6."/>
      <w:lvlJc w:val="right"/>
      <w:pPr>
        <w:ind w:left="2724" w:hanging="454"/>
      </w:pPr>
      <w:rPr>
        <w:rFonts w:hint="default"/>
      </w:rPr>
    </w:lvl>
    <w:lvl w:ilvl="6" w:tplc="358A54D4">
      <w:start w:val="1"/>
      <w:numFmt w:val="decimal"/>
      <w:lvlText w:val="%7."/>
      <w:lvlJc w:val="left"/>
      <w:pPr>
        <w:ind w:left="3178" w:hanging="454"/>
      </w:pPr>
      <w:rPr>
        <w:rFonts w:hint="default"/>
      </w:rPr>
    </w:lvl>
    <w:lvl w:ilvl="7" w:tplc="A112C280">
      <w:start w:val="1"/>
      <w:numFmt w:val="lowerLetter"/>
      <w:lvlText w:val="%8."/>
      <w:lvlJc w:val="left"/>
      <w:pPr>
        <w:ind w:left="3632" w:hanging="454"/>
      </w:pPr>
      <w:rPr>
        <w:rFonts w:hint="default"/>
      </w:rPr>
    </w:lvl>
    <w:lvl w:ilvl="8" w:tplc="5936CCDC">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545EC4"/>
    <w:multiLevelType w:val="multilevel"/>
    <w:tmpl w:val="87BE04D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0"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2"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D1D40AC"/>
    <w:multiLevelType w:val="hybridMultilevel"/>
    <w:tmpl w:val="4A4219B0"/>
    <w:name w:val="TableNumbering"/>
    <w:lvl w:ilvl="0" w:tplc="226E5BBE">
      <w:start w:val="1"/>
      <w:numFmt w:val="decimal"/>
      <w:pStyle w:val="TableTextNumbered"/>
      <w:lvlText w:val="%1."/>
      <w:lvlJc w:val="left"/>
      <w:pPr>
        <w:tabs>
          <w:tab w:val="num" w:pos="482"/>
        </w:tabs>
        <w:ind w:left="482" w:hanging="369"/>
      </w:pPr>
      <w:rPr>
        <w:rFonts w:hint="default"/>
      </w:rPr>
    </w:lvl>
    <w:lvl w:ilvl="1" w:tplc="20DCE824">
      <w:start w:val="1"/>
      <w:numFmt w:val="lowerLetter"/>
      <w:pStyle w:val="TableTextNumbered2"/>
      <w:lvlText w:val="%2."/>
      <w:lvlJc w:val="left"/>
      <w:pPr>
        <w:tabs>
          <w:tab w:val="num" w:pos="822"/>
        </w:tabs>
        <w:ind w:left="822" w:hanging="340"/>
      </w:pPr>
      <w:rPr>
        <w:rFonts w:hint="default"/>
      </w:rPr>
    </w:lvl>
    <w:lvl w:ilvl="2" w:tplc="4E50A222">
      <w:start w:val="1"/>
      <w:numFmt w:val="lowerRoman"/>
      <w:pStyle w:val="TableTextNumbered3"/>
      <w:lvlText w:val="%3."/>
      <w:lvlJc w:val="left"/>
      <w:pPr>
        <w:tabs>
          <w:tab w:val="num" w:pos="1219"/>
        </w:tabs>
        <w:ind w:left="1219" w:hanging="397"/>
      </w:pPr>
      <w:rPr>
        <w:rFonts w:hint="default"/>
      </w:rPr>
    </w:lvl>
    <w:lvl w:ilvl="3" w:tplc="6046D2E6">
      <w:start w:val="1"/>
      <w:numFmt w:val="none"/>
      <w:lvlText w:val=""/>
      <w:lvlJc w:val="left"/>
      <w:pPr>
        <w:ind w:left="1440" w:hanging="360"/>
      </w:pPr>
      <w:rPr>
        <w:rFonts w:hint="default"/>
      </w:rPr>
    </w:lvl>
    <w:lvl w:ilvl="4" w:tplc="5D5C2A7C">
      <w:start w:val="1"/>
      <w:numFmt w:val="none"/>
      <w:lvlText w:val=""/>
      <w:lvlJc w:val="left"/>
      <w:pPr>
        <w:ind w:left="1800" w:hanging="360"/>
      </w:pPr>
      <w:rPr>
        <w:rFonts w:hint="default"/>
      </w:rPr>
    </w:lvl>
    <w:lvl w:ilvl="5" w:tplc="35962722">
      <w:start w:val="1"/>
      <w:numFmt w:val="none"/>
      <w:lvlText w:val=""/>
      <w:lvlJc w:val="left"/>
      <w:pPr>
        <w:ind w:left="2160" w:hanging="360"/>
      </w:pPr>
      <w:rPr>
        <w:rFonts w:hint="default"/>
      </w:rPr>
    </w:lvl>
    <w:lvl w:ilvl="6" w:tplc="A23C7D18">
      <w:start w:val="1"/>
      <w:numFmt w:val="none"/>
      <w:lvlText w:val=""/>
      <w:lvlJc w:val="left"/>
      <w:pPr>
        <w:ind w:left="2520" w:hanging="360"/>
      </w:pPr>
      <w:rPr>
        <w:rFonts w:hint="default"/>
      </w:rPr>
    </w:lvl>
    <w:lvl w:ilvl="7" w:tplc="87AA2C0A">
      <w:start w:val="1"/>
      <w:numFmt w:val="none"/>
      <w:lvlText w:val=""/>
      <w:lvlJc w:val="left"/>
      <w:pPr>
        <w:ind w:left="2880" w:hanging="360"/>
      </w:pPr>
      <w:rPr>
        <w:rFonts w:hint="default"/>
      </w:rPr>
    </w:lvl>
    <w:lvl w:ilvl="8" w:tplc="ECC6010A">
      <w:start w:val="1"/>
      <w:numFmt w:val="none"/>
      <w:lvlText w:val=""/>
      <w:lvlJc w:val="left"/>
      <w:pPr>
        <w:ind w:left="3240" w:hanging="360"/>
      </w:pPr>
      <w:rPr>
        <w:rFonts w:hint="default"/>
      </w:rPr>
    </w:lvl>
  </w:abstractNum>
  <w:abstractNum w:abstractNumId="24" w15:restartNumberingAfterBreak="0">
    <w:nsid w:val="70250B03"/>
    <w:multiLevelType w:val="hybridMultilevel"/>
    <w:tmpl w:val="F3EA2326"/>
    <w:name w:val="DEPIQuoteBullets"/>
    <w:lvl w:ilvl="0" w:tplc="C09CA73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tplc="595EEC04">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163652E4">
      <w:start w:val="1"/>
      <w:numFmt w:val="bullet"/>
      <w:lvlText w:val="‒"/>
      <w:lvlJc w:val="left"/>
      <w:pPr>
        <w:tabs>
          <w:tab w:val="num" w:pos="1418"/>
        </w:tabs>
        <w:ind w:left="1418" w:hanging="283"/>
      </w:pPr>
      <w:rPr>
        <w:rFonts w:ascii="Calibri" w:hAnsi="Calibri" w:hint="default"/>
        <w:color w:val="44546A" w:themeColor="text2"/>
      </w:rPr>
    </w:lvl>
    <w:lvl w:ilvl="3" w:tplc="76A2C9E4">
      <w:start w:val="1"/>
      <w:numFmt w:val="bullet"/>
      <w:lvlText w:val=""/>
      <w:lvlJc w:val="left"/>
      <w:pPr>
        <w:ind w:left="1136" w:firstLine="283"/>
      </w:pPr>
      <w:rPr>
        <w:rFonts w:ascii="Symbol" w:hAnsi="Symbol" w:hint="default"/>
      </w:rPr>
    </w:lvl>
    <w:lvl w:ilvl="4" w:tplc="A6F44F8C">
      <w:start w:val="1"/>
      <w:numFmt w:val="bullet"/>
      <w:lvlText w:val=""/>
      <w:lvlJc w:val="left"/>
      <w:pPr>
        <w:ind w:left="1420" w:firstLine="283"/>
      </w:pPr>
      <w:rPr>
        <w:rFonts w:ascii="Symbol" w:hAnsi="Symbol" w:hint="default"/>
      </w:rPr>
    </w:lvl>
    <w:lvl w:ilvl="5" w:tplc="407AE214">
      <w:start w:val="1"/>
      <w:numFmt w:val="bullet"/>
      <w:lvlText w:val=""/>
      <w:lvlJc w:val="left"/>
      <w:pPr>
        <w:ind w:left="1704" w:firstLine="283"/>
      </w:pPr>
      <w:rPr>
        <w:rFonts w:ascii="Wingdings" w:hAnsi="Wingdings" w:hint="default"/>
      </w:rPr>
    </w:lvl>
    <w:lvl w:ilvl="6" w:tplc="D1B6DB5E">
      <w:start w:val="1"/>
      <w:numFmt w:val="bullet"/>
      <w:lvlText w:val=""/>
      <w:lvlJc w:val="left"/>
      <w:pPr>
        <w:ind w:left="1988" w:firstLine="283"/>
      </w:pPr>
      <w:rPr>
        <w:rFonts w:ascii="Wingdings" w:hAnsi="Wingdings" w:hint="default"/>
      </w:rPr>
    </w:lvl>
    <w:lvl w:ilvl="7" w:tplc="47BC5FA2">
      <w:start w:val="1"/>
      <w:numFmt w:val="bullet"/>
      <w:lvlText w:val=""/>
      <w:lvlJc w:val="left"/>
      <w:pPr>
        <w:ind w:left="2272" w:firstLine="283"/>
      </w:pPr>
      <w:rPr>
        <w:rFonts w:ascii="Symbol" w:hAnsi="Symbol" w:hint="default"/>
      </w:rPr>
    </w:lvl>
    <w:lvl w:ilvl="8" w:tplc="47DE603A">
      <w:start w:val="1"/>
      <w:numFmt w:val="bullet"/>
      <w:lvlText w:val=""/>
      <w:lvlJc w:val="left"/>
      <w:pPr>
        <w:ind w:left="2556" w:firstLine="283"/>
      </w:pPr>
      <w:rPr>
        <w:rFonts w:ascii="Symbol" w:hAnsi="Symbol" w:hint="default"/>
      </w:rPr>
    </w:lvl>
  </w:abstractNum>
  <w:abstractNum w:abstractNumId="25" w15:restartNumberingAfterBreak="0">
    <w:nsid w:val="727F4964"/>
    <w:multiLevelType w:val="hybridMultilevel"/>
    <w:tmpl w:val="B0509158"/>
    <w:lvl w:ilvl="0" w:tplc="1AC0A6BC">
      <w:start w:val="1"/>
      <w:numFmt w:val="decimal"/>
      <w:lvlText w:val="%1."/>
      <w:lvlJc w:val="left"/>
      <w:pPr>
        <w:tabs>
          <w:tab w:val="num" w:pos="340"/>
        </w:tabs>
        <w:ind w:left="340" w:hanging="340"/>
      </w:pPr>
      <w:rPr>
        <w:rFonts w:hint="default"/>
        <w:color w:val="000000" w:themeColor="text1"/>
        <w:spacing w:val="0"/>
        <w:sz w:val="22"/>
      </w:rPr>
    </w:lvl>
    <w:lvl w:ilvl="1" w:tplc="04DE1466">
      <w:start w:val="1"/>
      <w:numFmt w:val="lowerLetter"/>
      <w:lvlText w:val="%2."/>
      <w:lvlJc w:val="left"/>
      <w:pPr>
        <w:tabs>
          <w:tab w:val="num" w:pos="680"/>
        </w:tabs>
        <w:ind w:left="680" w:hanging="340"/>
      </w:pPr>
      <w:rPr>
        <w:rFonts w:hint="default"/>
        <w:color w:val="000000" w:themeColor="text1"/>
        <w:spacing w:val="0"/>
        <w:sz w:val="22"/>
      </w:rPr>
    </w:lvl>
    <w:lvl w:ilvl="2" w:tplc="F7482444">
      <w:start w:val="1"/>
      <w:numFmt w:val="lowerRoman"/>
      <w:lvlText w:val="%3."/>
      <w:lvlJc w:val="left"/>
      <w:pPr>
        <w:tabs>
          <w:tab w:val="num" w:pos="1049"/>
        </w:tabs>
        <w:ind w:left="1049" w:hanging="369"/>
      </w:pPr>
      <w:rPr>
        <w:rFonts w:hint="default"/>
        <w:color w:val="000000" w:themeColor="text1"/>
        <w:spacing w:val="0"/>
        <w:position w:val="0"/>
        <w:sz w:val="22"/>
        <w:szCs w:val="16"/>
      </w:rPr>
    </w:lvl>
    <w:lvl w:ilvl="3" w:tplc="AABA2062">
      <w:start w:val="1"/>
      <w:numFmt w:val="none"/>
      <w:lvlText w:val=""/>
      <w:lvlJc w:val="left"/>
      <w:pPr>
        <w:tabs>
          <w:tab w:val="num" w:pos="-31680"/>
        </w:tabs>
        <w:ind w:left="-32767" w:firstLine="0"/>
      </w:pPr>
      <w:rPr>
        <w:rFonts w:hint="default"/>
      </w:rPr>
    </w:lvl>
    <w:lvl w:ilvl="4" w:tplc="D042F4A8">
      <w:start w:val="1"/>
      <w:numFmt w:val="none"/>
      <w:lvlText w:val=""/>
      <w:lvlJc w:val="left"/>
      <w:pPr>
        <w:tabs>
          <w:tab w:val="num" w:pos="-31680"/>
        </w:tabs>
        <w:ind w:left="-32767" w:firstLine="0"/>
      </w:pPr>
      <w:rPr>
        <w:rFonts w:hint="default"/>
      </w:rPr>
    </w:lvl>
    <w:lvl w:ilvl="5" w:tplc="8E4A23E6">
      <w:start w:val="1"/>
      <w:numFmt w:val="none"/>
      <w:lvlText w:val=""/>
      <w:lvlJc w:val="left"/>
      <w:pPr>
        <w:tabs>
          <w:tab w:val="num" w:pos="-31680"/>
        </w:tabs>
        <w:ind w:left="-32767" w:firstLine="0"/>
      </w:pPr>
      <w:rPr>
        <w:rFonts w:hint="default"/>
      </w:rPr>
    </w:lvl>
    <w:lvl w:ilvl="6" w:tplc="72C21282">
      <w:start w:val="1"/>
      <w:numFmt w:val="none"/>
      <w:lvlText w:val=""/>
      <w:lvlJc w:val="left"/>
      <w:pPr>
        <w:tabs>
          <w:tab w:val="num" w:pos="-31680"/>
        </w:tabs>
        <w:ind w:left="-32767" w:firstLine="0"/>
      </w:pPr>
      <w:rPr>
        <w:rFonts w:hint="default"/>
      </w:rPr>
    </w:lvl>
    <w:lvl w:ilvl="7" w:tplc="810289EE">
      <w:start w:val="1"/>
      <w:numFmt w:val="none"/>
      <w:lvlText w:val=""/>
      <w:lvlJc w:val="left"/>
      <w:pPr>
        <w:tabs>
          <w:tab w:val="num" w:pos="-31680"/>
        </w:tabs>
        <w:ind w:left="-32767" w:firstLine="0"/>
      </w:pPr>
      <w:rPr>
        <w:rFonts w:hint="default"/>
      </w:rPr>
    </w:lvl>
    <w:lvl w:ilvl="8" w:tplc="FCE68716">
      <w:start w:val="1"/>
      <w:numFmt w:val="none"/>
      <w:lvlText w:val=""/>
      <w:lvlJc w:val="left"/>
      <w:pPr>
        <w:tabs>
          <w:tab w:val="num" w:pos="-31680"/>
        </w:tabs>
        <w:ind w:left="-32767" w:firstLine="0"/>
      </w:pPr>
      <w:rPr>
        <w:rFonts w:hint="default"/>
      </w:rPr>
    </w:lvl>
  </w:abstractNum>
  <w:abstractNum w:abstractNumId="26"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7839021E"/>
    <w:multiLevelType w:val="hybridMultilevel"/>
    <w:tmpl w:val="E0E09B5E"/>
    <w:name w:val="DEPIListNumbering"/>
    <w:lvl w:ilvl="0" w:tplc="3E48AA42">
      <w:start w:val="1"/>
      <w:numFmt w:val="decimal"/>
      <w:pStyle w:val="ListNumber"/>
      <w:lvlText w:val="%1."/>
      <w:lvlJc w:val="left"/>
      <w:pPr>
        <w:tabs>
          <w:tab w:val="num" w:pos="340"/>
        </w:tabs>
        <w:ind w:left="340" w:hanging="340"/>
      </w:pPr>
      <w:rPr>
        <w:rFonts w:hint="default"/>
        <w:color w:val="000000" w:themeColor="text1"/>
        <w:spacing w:val="0"/>
        <w:sz w:val="20"/>
      </w:rPr>
    </w:lvl>
    <w:lvl w:ilvl="1" w:tplc="216EBBD2">
      <w:start w:val="1"/>
      <w:numFmt w:val="lowerLetter"/>
      <w:pStyle w:val="ListNumber2"/>
      <w:lvlText w:val="%2."/>
      <w:lvlJc w:val="left"/>
      <w:pPr>
        <w:tabs>
          <w:tab w:val="num" w:pos="680"/>
        </w:tabs>
        <w:ind w:left="680" w:hanging="340"/>
      </w:pPr>
      <w:rPr>
        <w:rFonts w:hint="default"/>
        <w:color w:val="000000" w:themeColor="text1"/>
        <w:spacing w:val="0"/>
        <w:sz w:val="20"/>
      </w:rPr>
    </w:lvl>
    <w:lvl w:ilvl="2" w:tplc="DA06970A">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tplc="FC3E595C">
      <w:start w:val="1"/>
      <w:numFmt w:val="none"/>
      <w:lvlText w:val=""/>
      <w:lvlJc w:val="left"/>
      <w:pPr>
        <w:tabs>
          <w:tab w:val="num" w:pos="-31680"/>
        </w:tabs>
        <w:ind w:left="-32767" w:firstLine="0"/>
      </w:pPr>
      <w:rPr>
        <w:rFonts w:hint="default"/>
      </w:rPr>
    </w:lvl>
    <w:lvl w:ilvl="4" w:tplc="9E8E4B06">
      <w:start w:val="1"/>
      <w:numFmt w:val="none"/>
      <w:lvlText w:val=""/>
      <w:lvlJc w:val="left"/>
      <w:pPr>
        <w:tabs>
          <w:tab w:val="num" w:pos="-31680"/>
        </w:tabs>
        <w:ind w:left="-32767" w:firstLine="0"/>
      </w:pPr>
      <w:rPr>
        <w:rFonts w:hint="default"/>
      </w:rPr>
    </w:lvl>
    <w:lvl w:ilvl="5" w:tplc="9552FC56">
      <w:start w:val="1"/>
      <w:numFmt w:val="none"/>
      <w:lvlText w:val=""/>
      <w:lvlJc w:val="left"/>
      <w:pPr>
        <w:tabs>
          <w:tab w:val="num" w:pos="-31680"/>
        </w:tabs>
        <w:ind w:left="-32767" w:firstLine="0"/>
      </w:pPr>
      <w:rPr>
        <w:rFonts w:hint="default"/>
      </w:rPr>
    </w:lvl>
    <w:lvl w:ilvl="6" w:tplc="36108356">
      <w:start w:val="1"/>
      <w:numFmt w:val="none"/>
      <w:lvlText w:val=""/>
      <w:lvlJc w:val="left"/>
      <w:pPr>
        <w:tabs>
          <w:tab w:val="num" w:pos="-31680"/>
        </w:tabs>
        <w:ind w:left="-32767" w:firstLine="0"/>
      </w:pPr>
      <w:rPr>
        <w:rFonts w:hint="default"/>
      </w:rPr>
    </w:lvl>
    <w:lvl w:ilvl="7" w:tplc="06961992">
      <w:start w:val="1"/>
      <w:numFmt w:val="none"/>
      <w:lvlText w:val=""/>
      <w:lvlJc w:val="left"/>
      <w:pPr>
        <w:tabs>
          <w:tab w:val="num" w:pos="-31680"/>
        </w:tabs>
        <w:ind w:left="-32767" w:firstLine="0"/>
      </w:pPr>
      <w:rPr>
        <w:rFonts w:hint="default"/>
      </w:rPr>
    </w:lvl>
    <w:lvl w:ilvl="8" w:tplc="5DEA4628">
      <w:start w:val="1"/>
      <w:numFmt w:val="none"/>
      <w:lvlText w:val=""/>
      <w:lvlJc w:val="left"/>
      <w:pPr>
        <w:tabs>
          <w:tab w:val="num" w:pos="-31680"/>
        </w:tabs>
        <w:ind w:left="-32767" w:firstLine="0"/>
      </w:pPr>
      <w:rPr>
        <w:rFonts w:hint="default"/>
      </w:rPr>
    </w:lvl>
  </w:abstractNum>
  <w:num w:numId="1">
    <w:abstractNumId w:val="17"/>
  </w:num>
  <w:num w:numId="2">
    <w:abstractNumId w:val="23"/>
  </w:num>
  <w:num w:numId="3">
    <w:abstractNumId w:val="21"/>
  </w:num>
  <w:num w:numId="4">
    <w:abstractNumId w:val="27"/>
  </w:num>
  <w:num w:numId="5">
    <w:abstractNumId w:val="15"/>
  </w:num>
  <w:num w:numId="6">
    <w:abstractNumId w:val="12"/>
  </w:num>
  <w:num w:numId="7">
    <w:abstractNumId w:val="11"/>
  </w:num>
  <w:num w:numId="8">
    <w:abstractNumId w:val="10"/>
  </w:num>
  <w:num w:numId="9">
    <w:abstractNumId w:val="24"/>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num>
  <w:num w:numId="29">
    <w:abstractNumId w:val="18"/>
  </w:num>
  <w:num w:numId="30">
    <w:abstractNumId w:val="25"/>
  </w:num>
  <w:num w:numId="31">
    <w:abstractNumId w:val="8"/>
  </w:num>
  <w:num w:numId="32">
    <w:abstractNumId w:val="22"/>
  </w:num>
  <w:num w:numId="33">
    <w:abstractNumId w:val="19"/>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08"/>
    <w:rsid w:val="00000795"/>
    <w:rsid w:val="000015EA"/>
    <w:rsid w:val="00001E2E"/>
    <w:rsid w:val="00002D97"/>
    <w:rsid w:val="000033C9"/>
    <w:rsid w:val="0000449A"/>
    <w:rsid w:val="00004734"/>
    <w:rsid w:val="00004FB9"/>
    <w:rsid w:val="0000559D"/>
    <w:rsid w:val="0001078B"/>
    <w:rsid w:val="000113B1"/>
    <w:rsid w:val="000126CE"/>
    <w:rsid w:val="00012A01"/>
    <w:rsid w:val="000138FE"/>
    <w:rsid w:val="000148F1"/>
    <w:rsid w:val="00015910"/>
    <w:rsid w:val="00020F4C"/>
    <w:rsid w:val="00023224"/>
    <w:rsid w:val="00026216"/>
    <w:rsid w:val="00031232"/>
    <w:rsid w:val="000312C6"/>
    <w:rsid w:val="00031A80"/>
    <w:rsid w:val="00032025"/>
    <w:rsid w:val="0003316B"/>
    <w:rsid w:val="00034746"/>
    <w:rsid w:val="0003697F"/>
    <w:rsid w:val="000377F8"/>
    <w:rsid w:val="00040739"/>
    <w:rsid w:val="0004093B"/>
    <w:rsid w:val="00040E24"/>
    <w:rsid w:val="000416E2"/>
    <w:rsid w:val="00041D13"/>
    <w:rsid w:val="00044C71"/>
    <w:rsid w:val="0004600F"/>
    <w:rsid w:val="00047769"/>
    <w:rsid w:val="00047C1E"/>
    <w:rsid w:val="000508C5"/>
    <w:rsid w:val="0005096C"/>
    <w:rsid w:val="00051E77"/>
    <w:rsid w:val="00051FA7"/>
    <w:rsid w:val="000529B8"/>
    <w:rsid w:val="00054EA4"/>
    <w:rsid w:val="0005589F"/>
    <w:rsid w:val="00055CFE"/>
    <w:rsid w:val="00061598"/>
    <w:rsid w:val="00061E42"/>
    <w:rsid w:val="00063873"/>
    <w:rsid w:val="00063C45"/>
    <w:rsid w:val="00063D92"/>
    <w:rsid w:val="0006455F"/>
    <w:rsid w:val="00064656"/>
    <w:rsid w:val="00065637"/>
    <w:rsid w:val="00065891"/>
    <w:rsid w:val="000659A3"/>
    <w:rsid w:val="00065A5A"/>
    <w:rsid w:val="000672B8"/>
    <w:rsid w:val="00067771"/>
    <w:rsid w:val="00067821"/>
    <w:rsid w:val="000711B2"/>
    <w:rsid w:val="00071EF3"/>
    <w:rsid w:val="00072C8A"/>
    <w:rsid w:val="00072D41"/>
    <w:rsid w:val="000730D0"/>
    <w:rsid w:val="00074BA7"/>
    <w:rsid w:val="00074C2C"/>
    <w:rsid w:val="00074C8C"/>
    <w:rsid w:val="00075F04"/>
    <w:rsid w:val="000766E0"/>
    <w:rsid w:val="00076FCC"/>
    <w:rsid w:val="00077E54"/>
    <w:rsid w:val="000818D8"/>
    <w:rsid w:val="00082B71"/>
    <w:rsid w:val="00083EAE"/>
    <w:rsid w:val="00084751"/>
    <w:rsid w:val="00084F73"/>
    <w:rsid w:val="00086ED4"/>
    <w:rsid w:val="00087F47"/>
    <w:rsid w:val="000900B8"/>
    <w:rsid w:val="000900D6"/>
    <w:rsid w:val="0009074A"/>
    <w:rsid w:val="00090976"/>
    <w:rsid w:val="00090F42"/>
    <w:rsid w:val="0009126A"/>
    <w:rsid w:val="00093CA2"/>
    <w:rsid w:val="000946E9"/>
    <w:rsid w:val="00096892"/>
    <w:rsid w:val="00096A11"/>
    <w:rsid w:val="00096E54"/>
    <w:rsid w:val="000A117B"/>
    <w:rsid w:val="000A1290"/>
    <w:rsid w:val="000A16D8"/>
    <w:rsid w:val="000A18E6"/>
    <w:rsid w:val="000A302A"/>
    <w:rsid w:val="000A4BE0"/>
    <w:rsid w:val="000A5BE3"/>
    <w:rsid w:val="000A6C0B"/>
    <w:rsid w:val="000A6CCE"/>
    <w:rsid w:val="000A7FDA"/>
    <w:rsid w:val="000B0121"/>
    <w:rsid w:val="000B143E"/>
    <w:rsid w:val="000B1C24"/>
    <w:rsid w:val="000B210D"/>
    <w:rsid w:val="000B5A76"/>
    <w:rsid w:val="000C0123"/>
    <w:rsid w:val="000C07E8"/>
    <w:rsid w:val="000C0F99"/>
    <w:rsid w:val="000C2391"/>
    <w:rsid w:val="000C312B"/>
    <w:rsid w:val="000C4F0A"/>
    <w:rsid w:val="000C57CE"/>
    <w:rsid w:val="000C61E5"/>
    <w:rsid w:val="000C71D4"/>
    <w:rsid w:val="000C7BFE"/>
    <w:rsid w:val="000D0166"/>
    <w:rsid w:val="000D1F56"/>
    <w:rsid w:val="000D2ED2"/>
    <w:rsid w:val="000D3653"/>
    <w:rsid w:val="000D3DE3"/>
    <w:rsid w:val="000D4FA8"/>
    <w:rsid w:val="000D5D06"/>
    <w:rsid w:val="000D5FF8"/>
    <w:rsid w:val="000E0AAC"/>
    <w:rsid w:val="000E1064"/>
    <w:rsid w:val="000E11EA"/>
    <w:rsid w:val="000E1C01"/>
    <w:rsid w:val="000E2805"/>
    <w:rsid w:val="000E374D"/>
    <w:rsid w:val="000E629D"/>
    <w:rsid w:val="000E6D94"/>
    <w:rsid w:val="000F2940"/>
    <w:rsid w:val="000F2ECB"/>
    <w:rsid w:val="000F2F94"/>
    <w:rsid w:val="000F34D8"/>
    <w:rsid w:val="000F3822"/>
    <w:rsid w:val="000F496F"/>
    <w:rsid w:val="000F4ADE"/>
    <w:rsid w:val="000F4C5F"/>
    <w:rsid w:val="000F4F8D"/>
    <w:rsid w:val="000F638E"/>
    <w:rsid w:val="000F66B9"/>
    <w:rsid w:val="000F6B5F"/>
    <w:rsid w:val="0010014F"/>
    <w:rsid w:val="001012E4"/>
    <w:rsid w:val="00101B9B"/>
    <w:rsid w:val="001039B3"/>
    <w:rsid w:val="00104ECE"/>
    <w:rsid w:val="00104EEF"/>
    <w:rsid w:val="00104FD6"/>
    <w:rsid w:val="00107552"/>
    <w:rsid w:val="00111BF2"/>
    <w:rsid w:val="00111C1E"/>
    <w:rsid w:val="00112E7E"/>
    <w:rsid w:val="00113BE7"/>
    <w:rsid w:val="001223A9"/>
    <w:rsid w:val="00122677"/>
    <w:rsid w:val="00124A6A"/>
    <w:rsid w:val="00124E6F"/>
    <w:rsid w:val="00125868"/>
    <w:rsid w:val="001264EA"/>
    <w:rsid w:val="00127874"/>
    <w:rsid w:val="00127BAE"/>
    <w:rsid w:val="00127BFA"/>
    <w:rsid w:val="001322E2"/>
    <w:rsid w:val="00132C0B"/>
    <w:rsid w:val="00134E57"/>
    <w:rsid w:val="00134F16"/>
    <w:rsid w:val="0013641A"/>
    <w:rsid w:val="00137D20"/>
    <w:rsid w:val="00140BC1"/>
    <w:rsid w:val="00140EE5"/>
    <w:rsid w:val="00141775"/>
    <w:rsid w:val="00141D02"/>
    <w:rsid w:val="00141E50"/>
    <w:rsid w:val="00142DA4"/>
    <w:rsid w:val="00142EC1"/>
    <w:rsid w:val="00145EBE"/>
    <w:rsid w:val="00146A84"/>
    <w:rsid w:val="00146D00"/>
    <w:rsid w:val="00147030"/>
    <w:rsid w:val="0015011A"/>
    <w:rsid w:val="0015156C"/>
    <w:rsid w:val="00153C43"/>
    <w:rsid w:val="00153D70"/>
    <w:rsid w:val="0015613E"/>
    <w:rsid w:val="00157410"/>
    <w:rsid w:val="001619F6"/>
    <w:rsid w:val="001627D9"/>
    <w:rsid w:val="00162BAB"/>
    <w:rsid w:val="00163B3E"/>
    <w:rsid w:val="00164A8B"/>
    <w:rsid w:val="0016553F"/>
    <w:rsid w:val="00167F98"/>
    <w:rsid w:val="00170B5D"/>
    <w:rsid w:val="0017280F"/>
    <w:rsid w:val="00173042"/>
    <w:rsid w:val="001745CB"/>
    <w:rsid w:val="0017481C"/>
    <w:rsid w:val="00174B24"/>
    <w:rsid w:val="00174E4D"/>
    <w:rsid w:val="00175909"/>
    <w:rsid w:val="00182108"/>
    <w:rsid w:val="001829CA"/>
    <w:rsid w:val="00183164"/>
    <w:rsid w:val="00184FD4"/>
    <w:rsid w:val="0018726F"/>
    <w:rsid w:val="001930C9"/>
    <w:rsid w:val="001936D8"/>
    <w:rsid w:val="001951DB"/>
    <w:rsid w:val="00195ABC"/>
    <w:rsid w:val="00195F41"/>
    <w:rsid w:val="00196651"/>
    <w:rsid w:val="00196AC5"/>
    <w:rsid w:val="00196CCC"/>
    <w:rsid w:val="00197CF5"/>
    <w:rsid w:val="001A05B1"/>
    <w:rsid w:val="001A0ACB"/>
    <w:rsid w:val="001A17E7"/>
    <w:rsid w:val="001A1D84"/>
    <w:rsid w:val="001A2008"/>
    <w:rsid w:val="001A4222"/>
    <w:rsid w:val="001A5723"/>
    <w:rsid w:val="001A6666"/>
    <w:rsid w:val="001A7B48"/>
    <w:rsid w:val="001B0183"/>
    <w:rsid w:val="001B087F"/>
    <w:rsid w:val="001B093C"/>
    <w:rsid w:val="001B0A46"/>
    <w:rsid w:val="001B12A8"/>
    <w:rsid w:val="001B1C04"/>
    <w:rsid w:val="001B448C"/>
    <w:rsid w:val="001B486A"/>
    <w:rsid w:val="001B48B6"/>
    <w:rsid w:val="001C0794"/>
    <w:rsid w:val="001C3AF6"/>
    <w:rsid w:val="001C472F"/>
    <w:rsid w:val="001C5FF7"/>
    <w:rsid w:val="001C6A41"/>
    <w:rsid w:val="001C7E5D"/>
    <w:rsid w:val="001D01F1"/>
    <w:rsid w:val="001D044F"/>
    <w:rsid w:val="001D0C3C"/>
    <w:rsid w:val="001D14D1"/>
    <w:rsid w:val="001D2074"/>
    <w:rsid w:val="001D36F6"/>
    <w:rsid w:val="001D4096"/>
    <w:rsid w:val="001E06B2"/>
    <w:rsid w:val="001E12AE"/>
    <w:rsid w:val="001E3425"/>
    <w:rsid w:val="001E3ABD"/>
    <w:rsid w:val="001E4537"/>
    <w:rsid w:val="001E598E"/>
    <w:rsid w:val="001E61AF"/>
    <w:rsid w:val="001E6504"/>
    <w:rsid w:val="001F1403"/>
    <w:rsid w:val="001F27C4"/>
    <w:rsid w:val="001F4C62"/>
    <w:rsid w:val="001F5338"/>
    <w:rsid w:val="00200047"/>
    <w:rsid w:val="00201777"/>
    <w:rsid w:val="0020378F"/>
    <w:rsid w:val="00203F5E"/>
    <w:rsid w:val="002056F9"/>
    <w:rsid w:val="0020739F"/>
    <w:rsid w:val="00207AC0"/>
    <w:rsid w:val="00207EC2"/>
    <w:rsid w:val="00211792"/>
    <w:rsid w:val="00212387"/>
    <w:rsid w:val="0021242C"/>
    <w:rsid w:val="002127AD"/>
    <w:rsid w:val="0021295A"/>
    <w:rsid w:val="00214C32"/>
    <w:rsid w:val="002217E1"/>
    <w:rsid w:val="002223F6"/>
    <w:rsid w:val="0022468F"/>
    <w:rsid w:val="00224C8A"/>
    <w:rsid w:val="002307DE"/>
    <w:rsid w:val="00232B3D"/>
    <w:rsid w:val="00235940"/>
    <w:rsid w:val="00236653"/>
    <w:rsid w:val="0024152D"/>
    <w:rsid w:val="00242340"/>
    <w:rsid w:val="00243C6F"/>
    <w:rsid w:val="002440C9"/>
    <w:rsid w:val="00246C1D"/>
    <w:rsid w:val="00246EED"/>
    <w:rsid w:val="0025255C"/>
    <w:rsid w:val="00252D83"/>
    <w:rsid w:val="0025358A"/>
    <w:rsid w:val="002547CA"/>
    <w:rsid w:val="002550DC"/>
    <w:rsid w:val="002567BD"/>
    <w:rsid w:val="0025742D"/>
    <w:rsid w:val="002579D5"/>
    <w:rsid w:val="00262616"/>
    <w:rsid w:val="00262D65"/>
    <w:rsid w:val="00263E89"/>
    <w:rsid w:val="00264BBE"/>
    <w:rsid w:val="002701F9"/>
    <w:rsid w:val="002710BF"/>
    <w:rsid w:val="002722C6"/>
    <w:rsid w:val="00272AD1"/>
    <w:rsid w:val="002746BB"/>
    <w:rsid w:val="0028051E"/>
    <w:rsid w:val="0028197F"/>
    <w:rsid w:val="00281A70"/>
    <w:rsid w:val="00282CF2"/>
    <w:rsid w:val="00283FD5"/>
    <w:rsid w:val="002841F4"/>
    <w:rsid w:val="00285093"/>
    <w:rsid w:val="00286D4D"/>
    <w:rsid w:val="002871E7"/>
    <w:rsid w:val="0028786E"/>
    <w:rsid w:val="00290305"/>
    <w:rsid w:val="00290CF4"/>
    <w:rsid w:val="00291C59"/>
    <w:rsid w:val="00292829"/>
    <w:rsid w:val="00292E20"/>
    <w:rsid w:val="00293443"/>
    <w:rsid w:val="00294498"/>
    <w:rsid w:val="00294AD5"/>
    <w:rsid w:val="00297394"/>
    <w:rsid w:val="002A23A6"/>
    <w:rsid w:val="002A4B17"/>
    <w:rsid w:val="002A78AE"/>
    <w:rsid w:val="002A7E38"/>
    <w:rsid w:val="002A7FD5"/>
    <w:rsid w:val="002B0D98"/>
    <w:rsid w:val="002B3159"/>
    <w:rsid w:val="002B3271"/>
    <w:rsid w:val="002B4024"/>
    <w:rsid w:val="002B5C1C"/>
    <w:rsid w:val="002B5CBF"/>
    <w:rsid w:val="002C1B66"/>
    <w:rsid w:val="002C2E7D"/>
    <w:rsid w:val="002C5354"/>
    <w:rsid w:val="002D0C33"/>
    <w:rsid w:val="002D0D8C"/>
    <w:rsid w:val="002D4A76"/>
    <w:rsid w:val="002D57AD"/>
    <w:rsid w:val="002D5DF5"/>
    <w:rsid w:val="002D7CB2"/>
    <w:rsid w:val="002E02FD"/>
    <w:rsid w:val="002E3C12"/>
    <w:rsid w:val="002E61F6"/>
    <w:rsid w:val="002E6A83"/>
    <w:rsid w:val="002F00AD"/>
    <w:rsid w:val="002F0F82"/>
    <w:rsid w:val="002F2275"/>
    <w:rsid w:val="002F260B"/>
    <w:rsid w:val="002F2E90"/>
    <w:rsid w:val="002F3C01"/>
    <w:rsid w:val="002F57AA"/>
    <w:rsid w:val="002F59D5"/>
    <w:rsid w:val="002F5B0B"/>
    <w:rsid w:val="002F7704"/>
    <w:rsid w:val="00300A36"/>
    <w:rsid w:val="00300FD8"/>
    <w:rsid w:val="00302F13"/>
    <w:rsid w:val="00303DE9"/>
    <w:rsid w:val="00303F32"/>
    <w:rsid w:val="00304074"/>
    <w:rsid w:val="003049FD"/>
    <w:rsid w:val="00306C68"/>
    <w:rsid w:val="003125A9"/>
    <w:rsid w:val="003130B1"/>
    <w:rsid w:val="00313603"/>
    <w:rsid w:val="00313C99"/>
    <w:rsid w:val="00314529"/>
    <w:rsid w:val="00316A45"/>
    <w:rsid w:val="00323403"/>
    <w:rsid w:val="00323869"/>
    <w:rsid w:val="00324D3C"/>
    <w:rsid w:val="003272D1"/>
    <w:rsid w:val="003273B2"/>
    <w:rsid w:val="003274F6"/>
    <w:rsid w:val="00327CB3"/>
    <w:rsid w:val="003302AE"/>
    <w:rsid w:val="003326D0"/>
    <w:rsid w:val="00334921"/>
    <w:rsid w:val="00335066"/>
    <w:rsid w:val="00340604"/>
    <w:rsid w:val="0034306E"/>
    <w:rsid w:val="00345BB9"/>
    <w:rsid w:val="00347F18"/>
    <w:rsid w:val="00350035"/>
    <w:rsid w:val="0035087B"/>
    <w:rsid w:val="00350A2F"/>
    <w:rsid w:val="0035189B"/>
    <w:rsid w:val="00351CAC"/>
    <w:rsid w:val="003529F8"/>
    <w:rsid w:val="00353E60"/>
    <w:rsid w:val="00354464"/>
    <w:rsid w:val="00356474"/>
    <w:rsid w:val="003573AE"/>
    <w:rsid w:val="00357963"/>
    <w:rsid w:val="00360F84"/>
    <w:rsid w:val="00362148"/>
    <w:rsid w:val="0036257E"/>
    <w:rsid w:val="0036491F"/>
    <w:rsid w:val="00364A5B"/>
    <w:rsid w:val="00364E0A"/>
    <w:rsid w:val="00365BF8"/>
    <w:rsid w:val="003677E4"/>
    <w:rsid w:val="00370774"/>
    <w:rsid w:val="003708A7"/>
    <w:rsid w:val="00370E25"/>
    <w:rsid w:val="0037241A"/>
    <w:rsid w:val="00372630"/>
    <w:rsid w:val="003728EF"/>
    <w:rsid w:val="00373D28"/>
    <w:rsid w:val="00373F87"/>
    <w:rsid w:val="00374C11"/>
    <w:rsid w:val="00377161"/>
    <w:rsid w:val="00381085"/>
    <w:rsid w:val="00381906"/>
    <w:rsid w:val="00383FCC"/>
    <w:rsid w:val="0039110B"/>
    <w:rsid w:val="003926A6"/>
    <w:rsid w:val="00395480"/>
    <w:rsid w:val="0039555A"/>
    <w:rsid w:val="003A2127"/>
    <w:rsid w:val="003A3062"/>
    <w:rsid w:val="003A33B1"/>
    <w:rsid w:val="003A3B6E"/>
    <w:rsid w:val="003A48EF"/>
    <w:rsid w:val="003A53E0"/>
    <w:rsid w:val="003B0016"/>
    <w:rsid w:val="003B0DB9"/>
    <w:rsid w:val="003B1B28"/>
    <w:rsid w:val="003B371A"/>
    <w:rsid w:val="003B4007"/>
    <w:rsid w:val="003B5790"/>
    <w:rsid w:val="003B6310"/>
    <w:rsid w:val="003B66D6"/>
    <w:rsid w:val="003B797E"/>
    <w:rsid w:val="003C182C"/>
    <w:rsid w:val="003D09B0"/>
    <w:rsid w:val="003D1177"/>
    <w:rsid w:val="003D58EE"/>
    <w:rsid w:val="003D5BF1"/>
    <w:rsid w:val="003D6C4D"/>
    <w:rsid w:val="003D6C54"/>
    <w:rsid w:val="003E02C1"/>
    <w:rsid w:val="003E056B"/>
    <w:rsid w:val="003E0C90"/>
    <w:rsid w:val="003E3201"/>
    <w:rsid w:val="003E3A3D"/>
    <w:rsid w:val="003E3A9F"/>
    <w:rsid w:val="003E732B"/>
    <w:rsid w:val="003E777E"/>
    <w:rsid w:val="003E7BC6"/>
    <w:rsid w:val="003F2111"/>
    <w:rsid w:val="003F5477"/>
    <w:rsid w:val="003F5681"/>
    <w:rsid w:val="003F7977"/>
    <w:rsid w:val="00400612"/>
    <w:rsid w:val="00401766"/>
    <w:rsid w:val="00401BCA"/>
    <w:rsid w:val="004023E7"/>
    <w:rsid w:val="004025B7"/>
    <w:rsid w:val="00403AD1"/>
    <w:rsid w:val="0040503B"/>
    <w:rsid w:val="0040618D"/>
    <w:rsid w:val="004061A0"/>
    <w:rsid w:val="004073A5"/>
    <w:rsid w:val="00407B24"/>
    <w:rsid w:val="00411465"/>
    <w:rsid w:val="0041258D"/>
    <w:rsid w:val="00413907"/>
    <w:rsid w:val="00414941"/>
    <w:rsid w:val="00416238"/>
    <w:rsid w:val="0041629E"/>
    <w:rsid w:val="00417FBD"/>
    <w:rsid w:val="0042167C"/>
    <w:rsid w:val="00421E84"/>
    <w:rsid w:val="004230D9"/>
    <w:rsid w:val="00423EF2"/>
    <w:rsid w:val="0042443D"/>
    <w:rsid w:val="00424475"/>
    <w:rsid w:val="00424608"/>
    <w:rsid w:val="0042691E"/>
    <w:rsid w:val="0042733C"/>
    <w:rsid w:val="00427C82"/>
    <w:rsid w:val="00431A86"/>
    <w:rsid w:val="004326AD"/>
    <w:rsid w:val="00432772"/>
    <w:rsid w:val="00432868"/>
    <w:rsid w:val="00435865"/>
    <w:rsid w:val="0044002D"/>
    <w:rsid w:val="00441506"/>
    <w:rsid w:val="00441A5D"/>
    <w:rsid w:val="00442115"/>
    <w:rsid w:val="00443177"/>
    <w:rsid w:val="00443D0B"/>
    <w:rsid w:val="0044460A"/>
    <w:rsid w:val="00445E1B"/>
    <w:rsid w:val="004465AA"/>
    <w:rsid w:val="00451DC1"/>
    <w:rsid w:val="0045264A"/>
    <w:rsid w:val="004549F0"/>
    <w:rsid w:val="00454B3C"/>
    <w:rsid w:val="00455240"/>
    <w:rsid w:val="004552E0"/>
    <w:rsid w:val="00456C55"/>
    <w:rsid w:val="004579AD"/>
    <w:rsid w:val="00457C07"/>
    <w:rsid w:val="00461ABA"/>
    <w:rsid w:val="00462F5F"/>
    <w:rsid w:val="00463567"/>
    <w:rsid w:val="00464784"/>
    <w:rsid w:val="00467AA1"/>
    <w:rsid w:val="0047021B"/>
    <w:rsid w:val="0047247E"/>
    <w:rsid w:val="00472759"/>
    <w:rsid w:val="00477E07"/>
    <w:rsid w:val="00480A37"/>
    <w:rsid w:val="00485783"/>
    <w:rsid w:val="0048592C"/>
    <w:rsid w:val="004861F7"/>
    <w:rsid w:val="004866E2"/>
    <w:rsid w:val="00486C70"/>
    <w:rsid w:val="0048714D"/>
    <w:rsid w:val="00487343"/>
    <w:rsid w:val="004879CE"/>
    <w:rsid w:val="00490499"/>
    <w:rsid w:val="00490EE8"/>
    <w:rsid w:val="0049112E"/>
    <w:rsid w:val="004913ED"/>
    <w:rsid w:val="004916E4"/>
    <w:rsid w:val="00492C34"/>
    <w:rsid w:val="0049374A"/>
    <w:rsid w:val="00494269"/>
    <w:rsid w:val="0049527E"/>
    <w:rsid w:val="00495BD0"/>
    <w:rsid w:val="004961A2"/>
    <w:rsid w:val="0049647B"/>
    <w:rsid w:val="004965BC"/>
    <w:rsid w:val="00496F60"/>
    <w:rsid w:val="00497581"/>
    <w:rsid w:val="004A49F0"/>
    <w:rsid w:val="004A58AE"/>
    <w:rsid w:val="004A6936"/>
    <w:rsid w:val="004B02B5"/>
    <w:rsid w:val="004B0E28"/>
    <w:rsid w:val="004B17E2"/>
    <w:rsid w:val="004B50AA"/>
    <w:rsid w:val="004B5E56"/>
    <w:rsid w:val="004B6A28"/>
    <w:rsid w:val="004C07E3"/>
    <w:rsid w:val="004C0FC2"/>
    <w:rsid w:val="004C18EA"/>
    <w:rsid w:val="004C1D51"/>
    <w:rsid w:val="004C376F"/>
    <w:rsid w:val="004C4EE6"/>
    <w:rsid w:val="004C5E5F"/>
    <w:rsid w:val="004C76EA"/>
    <w:rsid w:val="004D3688"/>
    <w:rsid w:val="004D6A45"/>
    <w:rsid w:val="004D7176"/>
    <w:rsid w:val="004E31C3"/>
    <w:rsid w:val="004E3574"/>
    <w:rsid w:val="004E3CAA"/>
    <w:rsid w:val="004E4391"/>
    <w:rsid w:val="004E464E"/>
    <w:rsid w:val="004E47CD"/>
    <w:rsid w:val="004E4802"/>
    <w:rsid w:val="004E7978"/>
    <w:rsid w:val="004E7FCF"/>
    <w:rsid w:val="004F0292"/>
    <w:rsid w:val="004F0C52"/>
    <w:rsid w:val="004F16C0"/>
    <w:rsid w:val="004F2ED1"/>
    <w:rsid w:val="004F37BC"/>
    <w:rsid w:val="004F3A2F"/>
    <w:rsid w:val="004F6A1B"/>
    <w:rsid w:val="004F6BB0"/>
    <w:rsid w:val="004F720E"/>
    <w:rsid w:val="004F72D1"/>
    <w:rsid w:val="004F79D1"/>
    <w:rsid w:val="004F7F9F"/>
    <w:rsid w:val="0050326B"/>
    <w:rsid w:val="0050348A"/>
    <w:rsid w:val="005039C4"/>
    <w:rsid w:val="00503D8C"/>
    <w:rsid w:val="005057CF"/>
    <w:rsid w:val="0050589A"/>
    <w:rsid w:val="00505D97"/>
    <w:rsid w:val="00506B9E"/>
    <w:rsid w:val="00514ED3"/>
    <w:rsid w:val="00515057"/>
    <w:rsid w:val="0051679F"/>
    <w:rsid w:val="00516E8A"/>
    <w:rsid w:val="00520B2A"/>
    <w:rsid w:val="00520E4A"/>
    <w:rsid w:val="00520FD1"/>
    <w:rsid w:val="005210A9"/>
    <w:rsid w:val="0052386B"/>
    <w:rsid w:val="005240E0"/>
    <w:rsid w:val="00525BCD"/>
    <w:rsid w:val="00525E15"/>
    <w:rsid w:val="00526D89"/>
    <w:rsid w:val="005301BE"/>
    <w:rsid w:val="005301D6"/>
    <w:rsid w:val="005301EE"/>
    <w:rsid w:val="00530AC4"/>
    <w:rsid w:val="0053259B"/>
    <w:rsid w:val="005328F9"/>
    <w:rsid w:val="00533881"/>
    <w:rsid w:val="00536CC1"/>
    <w:rsid w:val="00536D4F"/>
    <w:rsid w:val="00537EA9"/>
    <w:rsid w:val="005435E7"/>
    <w:rsid w:val="0054449E"/>
    <w:rsid w:val="0054486A"/>
    <w:rsid w:val="00544C21"/>
    <w:rsid w:val="00550B64"/>
    <w:rsid w:val="005513C0"/>
    <w:rsid w:val="005519BB"/>
    <w:rsid w:val="00553A2B"/>
    <w:rsid w:val="00554244"/>
    <w:rsid w:val="00554498"/>
    <w:rsid w:val="0055452B"/>
    <w:rsid w:val="005560CF"/>
    <w:rsid w:val="005576AD"/>
    <w:rsid w:val="00557CAB"/>
    <w:rsid w:val="00560A51"/>
    <w:rsid w:val="0056126F"/>
    <w:rsid w:val="005616D2"/>
    <w:rsid w:val="00562702"/>
    <w:rsid w:val="005628A6"/>
    <w:rsid w:val="00563765"/>
    <w:rsid w:val="00566304"/>
    <w:rsid w:val="00570E41"/>
    <w:rsid w:val="00573848"/>
    <w:rsid w:val="00575F5D"/>
    <w:rsid w:val="005767BC"/>
    <w:rsid w:val="005768DF"/>
    <w:rsid w:val="0057759A"/>
    <w:rsid w:val="00580FAA"/>
    <w:rsid w:val="00581BCC"/>
    <w:rsid w:val="00583BCC"/>
    <w:rsid w:val="005875DD"/>
    <w:rsid w:val="005877B9"/>
    <w:rsid w:val="00587A9F"/>
    <w:rsid w:val="005948DA"/>
    <w:rsid w:val="005974A9"/>
    <w:rsid w:val="00597F41"/>
    <w:rsid w:val="005A0F0B"/>
    <w:rsid w:val="005A121C"/>
    <w:rsid w:val="005A1AC9"/>
    <w:rsid w:val="005A1CD3"/>
    <w:rsid w:val="005A2BFA"/>
    <w:rsid w:val="005A515E"/>
    <w:rsid w:val="005A5535"/>
    <w:rsid w:val="005A68F1"/>
    <w:rsid w:val="005B0248"/>
    <w:rsid w:val="005B2B1C"/>
    <w:rsid w:val="005B578D"/>
    <w:rsid w:val="005B6066"/>
    <w:rsid w:val="005B64A1"/>
    <w:rsid w:val="005B6560"/>
    <w:rsid w:val="005B6D5D"/>
    <w:rsid w:val="005C193C"/>
    <w:rsid w:val="005C203F"/>
    <w:rsid w:val="005C3289"/>
    <w:rsid w:val="005C3B2D"/>
    <w:rsid w:val="005C73AA"/>
    <w:rsid w:val="005D0181"/>
    <w:rsid w:val="005D46A9"/>
    <w:rsid w:val="005D50C9"/>
    <w:rsid w:val="005D5241"/>
    <w:rsid w:val="005D7F83"/>
    <w:rsid w:val="005E0D3F"/>
    <w:rsid w:val="005E1F2E"/>
    <w:rsid w:val="005E243A"/>
    <w:rsid w:val="005E401F"/>
    <w:rsid w:val="005E544D"/>
    <w:rsid w:val="005E575F"/>
    <w:rsid w:val="005E6320"/>
    <w:rsid w:val="005E6F41"/>
    <w:rsid w:val="005E76C9"/>
    <w:rsid w:val="005F2532"/>
    <w:rsid w:val="005F2B49"/>
    <w:rsid w:val="005F2B6A"/>
    <w:rsid w:val="005F311F"/>
    <w:rsid w:val="005F3679"/>
    <w:rsid w:val="005F3EFC"/>
    <w:rsid w:val="0060004C"/>
    <w:rsid w:val="00602E37"/>
    <w:rsid w:val="006031CD"/>
    <w:rsid w:val="00603790"/>
    <w:rsid w:val="0060402E"/>
    <w:rsid w:val="00604D53"/>
    <w:rsid w:val="00605CFD"/>
    <w:rsid w:val="00607190"/>
    <w:rsid w:val="00607E5C"/>
    <w:rsid w:val="006137B7"/>
    <w:rsid w:val="00613826"/>
    <w:rsid w:val="00614DA1"/>
    <w:rsid w:val="0061643A"/>
    <w:rsid w:val="00616651"/>
    <w:rsid w:val="00620FA2"/>
    <w:rsid w:val="00621E79"/>
    <w:rsid w:val="00621F8F"/>
    <w:rsid w:val="00626CE5"/>
    <w:rsid w:val="00626F68"/>
    <w:rsid w:val="00632C72"/>
    <w:rsid w:val="00632FDD"/>
    <w:rsid w:val="006338DC"/>
    <w:rsid w:val="00634F5F"/>
    <w:rsid w:val="0063546F"/>
    <w:rsid w:val="006362F3"/>
    <w:rsid w:val="00636A3B"/>
    <w:rsid w:val="00640C06"/>
    <w:rsid w:val="00640D31"/>
    <w:rsid w:val="0064146C"/>
    <w:rsid w:val="00641D3D"/>
    <w:rsid w:val="00641F1F"/>
    <w:rsid w:val="0064221F"/>
    <w:rsid w:val="00644E93"/>
    <w:rsid w:val="0065009F"/>
    <w:rsid w:val="006505F8"/>
    <w:rsid w:val="00650ACE"/>
    <w:rsid w:val="00654D6F"/>
    <w:rsid w:val="00656F8F"/>
    <w:rsid w:val="00657E35"/>
    <w:rsid w:val="006601FD"/>
    <w:rsid w:val="006632A2"/>
    <w:rsid w:val="006640EB"/>
    <w:rsid w:val="006641F0"/>
    <w:rsid w:val="00670159"/>
    <w:rsid w:val="006717F6"/>
    <w:rsid w:val="00673572"/>
    <w:rsid w:val="00674C9D"/>
    <w:rsid w:val="0067620C"/>
    <w:rsid w:val="006765C8"/>
    <w:rsid w:val="00677DCA"/>
    <w:rsid w:val="00681A9B"/>
    <w:rsid w:val="00682092"/>
    <w:rsid w:val="00682756"/>
    <w:rsid w:val="00682EB3"/>
    <w:rsid w:val="00683302"/>
    <w:rsid w:val="006834EA"/>
    <w:rsid w:val="00683779"/>
    <w:rsid w:val="006841CC"/>
    <w:rsid w:val="00686AAB"/>
    <w:rsid w:val="00687427"/>
    <w:rsid w:val="006902DA"/>
    <w:rsid w:val="00690CAF"/>
    <w:rsid w:val="00691006"/>
    <w:rsid w:val="0069503B"/>
    <w:rsid w:val="0069617F"/>
    <w:rsid w:val="006966C6"/>
    <w:rsid w:val="00697D8D"/>
    <w:rsid w:val="006A00D0"/>
    <w:rsid w:val="006A0971"/>
    <w:rsid w:val="006A47E6"/>
    <w:rsid w:val="006A4C29"/>
    <w:rsid w:val="006A591D"/>
    <w:rsid w:val="006A738C"/>
    <w:rsid w:val="006A7A93"/>
    <w:rsid w:val="006B1239"/>
    <w:rsid w:val="006B2464"/>
    <w:rsid w:val="006B405E"/>
    <w:rsid w:val="006B4809"/>
    <w:rsid w:val="006B4EA1"/>
    <w:rsid w:val="006B515F"/>
    <w:rsid w:val="006B5721"/>
    <w:rsid w:val="006B7D2D"/>
    <w:rsid w:val="006C1472"/>
    <w:rsid w:val="006C158D"/>
    <w:rsid w:val="006C21A1"/>
    <w:rsid w:val="006C3133"/>
    <w:rsid w:val="006C34DB"/>
    <w:rsid w:val="006C4070"/>
    <w:rsid w:val="006C43AC"/>
    <w:rsid w:val="006C4982"/>
    <w:rsid w:val="006C4C02"/>
    <w:rsid w:val="006C5C2F"/>
    <w:rsid w:val="006C6208"/>
    <w:rsid w:val="006C7FFC"/>
    <w:rsid w:val="006D034F"/>
    <w:rsid w:val="006D075F"/>
    <w:rsid w:val="006D1229"/>
    <w:rsid w:val="006D4A93"/>
    <w:rsid w:val="006D5E80"/>
    <w:rsid w:val="006D6623"/>
    <w:rsid w:val="006D74F9"/>
    <w:rsid w:val="006E0EC5"/>
    <w:rsid w:val="006E21C5"/>
    <w:rsid w:val="006E2490"/>
    <w:rsid w:val="006E3499"/>
    <w:rsid w:val="006E38E7"/>
    <w:rsid w:val="006E66E6"/>
    <w:rsid w:val="006E6A80"/>
    <w:rsid w:val="006E72A0"/>
    <w:rsid w:val="006E76F6"/>
    <w:rsid w:val="006F0FD4"/>
    <w:rsid w:val="006F12AB"/>
    <w:rsid w:val="006F1B34"/>
    <w:rsid w:val="006F4AE8"/>
    <w:rsid w:val="006F5F65"/>
    <w:rsid w:val="006F635A"/>
    <w:rsid w:val="006F6585"/>
    <w:rsid w:val="006F6ADA"/>
    <w:rsid w:val="006F790B"/>
    <w:rsid w:val="00700CC3"/>
    <w:rsid w:val="00700D48"/>
    <w:rsid w:val="00704548"/>
    <w:rsid w:val="007050E7"/>
    <w:rsid w:val="00705520"/>
    <w:rsid w:val="00707839"/>
    <w:rsid w:val="00707F69"/>
    <w:rsid w:val="00710860"/>
    <w:rsid w:val="00711F90"/>
    <w:rsid w:val="00712E2A"/>
    <w:rsid w:val="00713882"/>
    <w:rsid w:val="00713C68"/>
    <w:rsid w:val="00713F41"/>
    <w:rsid w:val="00715350"/>
    <w:rsid w:val="00720494"/>
    <w:rsid w:val="007206A1"/>
    <w:rsid w:val="00721FF5"/>
    <w:rsid w:val="007225D6"/>
    <w:rsid w:val="00724203"/>
    <w:rsid w:val="00724707"/>
    <w:rsid w:val="00726D5A"/>
    <w:rsid w:val="00727326"/>
    <w:rsid w:val="00735027"/>
    <w:rsid w:val="007355F5"/>
    <w:rsid w:val="00735AE4"/>
    <w:rsid w:val="00740DC2"/>
    <w:rsid w:val="007421A4"/>
    <w:rsid w:val="0074336E"/>
    <w:rsid w:val="00744A92"/>
    <w:rsid w:val="00745F89"/>
    <w:rsid w:val="00746070"/>
    <w:rsid w:val="007479AA"/>
    <w:rsid w:val="0075073C"/>
    <w:rsid w:val="00751398"/>
    <w:rsid w:val="00752748"/>
    <w:rsid w:val="007531F7"/>
    <w:rsid w:val="0075427F"/>
    <w:rsid w:val="0075515E"/>
    <w:rsid w:val="00756012"/>
    <w:rsid w:val="00756229"/>
    <w:rsid w:val="00757EE7"/>
    <w:rsid w:val="00761C30"/>
    <w:rsid w:val="00762A03"/>
    <w:rsid w:val="00762A80"/>
    <w:rsid w:val="00763068"/>
    <w:rsid w:val="00763B8B"/>
    <w:rsid w:val="0076613A"/>
    <w:rsid w:val="00767C06"/>
    <w:rsid w:val="0077119F"/>
    <w:rsid w:val="00773DE5"/>
    <w:rsid w:val="00775762"/>
    <w:rsid w:val="007769BB"/>
    <w:rsid w:val="00776CDA"/>
    <w:rsid w:val="00777CD8"/>
    <w:rsid w:val="00777E50"/>
    <w:rsid w:val="00780063"/>
    <w:rsid w:val="0078038B"/>
    <w:rsid w:val="007806DD"/>
    <w:rsid w:val="00780705"/>
    <w:rsid w:val="00781CAE"/>
    <w:rsid w:val="00784E99"/>
    <w:rsid w:val="00790884"/>
    <w:rsid w:val="00791C3A"/>
    <w:rsid w:val="0079231E"/>
    <w:rsid w:val="00792AB5"/>
    <w:rsid w:val="00793412"/>
    <w:rsid w:val="00793D87"/>
    <w:rsid w:val="007940D4"/>
    <w:rsid w:val="00794AB6"/>
    <w:rsid w:val="0079712D"/>
    <w:rsid w:val="007A0468"/>
    <w:rsid w:val="007A1731"/>
    <w:rsid w:val="007A5F55"/>
    <w:rsid w:val="007A63E0"/>
    <w:rsid w:val="007A6DB0"/>
    <w:rsid w:val="007B0519"/>
    <w:rsid w:val="007B2379"/>
    <w:rsid w:val="007B25AA"/>
    <w:rsid w:val="007B3F06"/>
    <w:rsid w:val="007B4A49"/>
    <w:rsid w:val="007B4B71"/>
    <w:rsid w:val="007B57CC"/>
    <w:rsid w:val="007B62E3"/>
    <w:rsid w:val="007B677E"/>
    <w:rsid w:val="007B6985"/>
    <w:rsid w:val="007B7703"/>
    <w:rsid w:val="007C1657"/>
    <w:rsid w:val="007C2FA4"/>
    <w:rsid w:val="007C31A6"/>
    <w:rsid w:val="007C34D7"/>
    <w:rsid w:val="007C4C50"/>
    <w:rsid w:val="007C53C0"/>
    <w:rsid w:val="007C5879"/>
    <w:rsid w:val="007C626F"/>
    <w:rsid w:val="007C6811"/>
    <w:rsid w:val="007C7947"/>
    <w:rsid w:val="007C7E72"/>
    <w:rsid w:val="007D1BDC"/>
    <w:rsid w:val="007D3A83"/>
    <w:rsid w:val="007D3AA5"/>
    <w:rsid w:val="007D3D0C"/>
    <w:rsid w:val="007D539A"/>
    <w:rsid w:val="007D6285"/>
    <w:rsid w:val="007D66FB"/>
    <w:rsid w:val="007D6E78"/>
    <w:rsid w:val="007E202A"/>
    <w:rsid w:val="007E231B"/>
    <w:rsid w:val="007E25AE"/>
    <w:rsid w:val="007E384F"/>
    <w:rsid w:val="007E5931"/>
    <w:rsid w:val="007E6EAF"/>
    <w:rsid w:val="007E775C"/>
    <w:rsid w:val="007E7B06"/>
    <w:rsid w:val="007F162D"/>
    <w:rsid w:val="007F2C2E"/>
    <w:rsid w:val="007F6475"/>
    <w:rsid w:val="007F668F"/>
    <w:rsid w:val="007F71FD"/>
    <w:rsid w:val="00800BE2"/>
    <w:rsid w:val="00802521"/>
    <w:rsid w:val="00804789"/>
    <w:rsid w:val="0080495C"/>
    <w:rsid w:val="008056C9"/>
    <w:rsid w:val="0080722E"/>
    <w:rsid w:val="008076BB"/>
    <w:rsid w:val="0081081F"/>
    <w:rsid w:val="00810D25"/>
    <w:rsid w:val="00815EAA"/>
    <w:rsid w:val="008167A6"/>
    <w:rsid w:val="0081700B"/>
    <w:rsid w:val="0082039E"/>
    <w:rsid w:val="00820848"/>
    <w:rsid w:val="0082126F"/>
    <w:rsid w:val="00825A2A"/>
    <w:rsid w:val="008271CB"/>
    <w:rsid w:val="008274C8"/>
    <w:rsid w:val="00827A8C"/>
    <w:rsid w:val="00832833"/>
    <w:rsid w:val="00836227"/>
    <w:rsid w:val="008367AC"/>
    <w:rsid w:val="00840B84"/>
    <w:rsid w:val="00841E0F"/>
    <w:rsid w:val="00843259"/>
    <w:rsid w:val="0084477B"/>
    <w:rsid w:val="008468A8"/>
    <w:rsid w:val="00847108"/>
    <w:rsid w:val="00847A52"/>
    <w:rsid w:val="00850093"/>
    <w:rsid w:val="00850265"/>
    <w:rsid w:val="008503B3"/>
    <w:rsid w:val="00851417"/>
    <w:rsid w:val="008541BA"/>
    <w:rsid w:val="00854E2A"/>
    <w:rsid w:val="00856D27"/>
    <w:rsid w:val="00857996"/>
    <w:rsid w:val="008629A8"/>
    <w:rsid w:val="00862AE3"/>
    <w:rsid w:val="00863B3C"/>
    <w:rsid w:val="0086452B"/>
    <w:rsid w:val="008653E8"/>
    <w:rsid w:val="00871A1A"/>
    <w:rsid w:val="008727DF"/>
    <w:rsid w:val="00874378"/>
    <w:rsid w:val="00874CF9"/>
    <w:rsid w:val="0087665B"/>
    <w:rsid w:val="008766BB"/>
    <w:rsid w:val="00877241"/>
    <w:rsid w:val="00885A9F"/>
    <w:rsid w:val="00885BD7"/>
    <w:rsid w:val="008863A9"/>
    <w:rsid w:val="00887166"/>
    <w:rsid w:val="00890A40"/>
    <w:rsid w:val="008923A0"/>
    <w:rsid w:val="008928CD"/>
    <w:rsid w:val="00893010"/>
    <w:rsid w:val="008933B6"/>
    <w:rsid w:val="0089347F"/>
    <w:rsid w:val="00893E15"/>
    <w:rsid w:val="00894B64"/>
    <w:rsid w:val="008956D0"/>
    <w:rsid w:val="008972A3"/>
    <w:rsid w:val="008A0C44"/>
    <w:rsid w:val="008A3FA8"/>
    <w:rsid w:val="008A46A2"/>
    <w:rsid w:val="008B17C2"/>
    <w:rsid w:val="008B180E"/>
    <w:rsid w:val="008B1E48"/>
    <w:rsid w:val="008B38BB"/>
    <w:rsid w:val="008B39CD"/>
    <w:rsid w:val="008B46F3"/>
    <w:rsid w:val="008B5047"/>
    <w:rsid w:val="008B5649"/>
    <w:rsid w:val="008B6926"/>
    <w:rsid w:val="008B6CB6"/>
    <w:rsid w:val="008C0E2A"/>
    <w:rsid w:val="008C1763"/>
    <w:rsid w:val="008C1A70"/>
    <w:rsid w:val="008C1BA8"/>
    <w:rsid w:val="008C2C72"/>
    <w:rsid w:val="008C2CA8"/>
    <w:rsid w:val="008C33B6"/>
    <w:rsid w:val="008C3E17"/>
    <w:rsid w:val="008C4A93"/>
    <w:rsid w:val="008C53C1"/>
    <w:rsid w:val="008C6B06"/>
    <w:rsid w:val="008C7D5E"/>
    <w:rsid w:val="008D38A5"/>
    <w:rsid w:val="008D5B4D"/>
    <w:rsid w:val="008D650E"/>
    <w:rsid w:val="008D7C04"/>
    <w:rsid w:val="008E0D75"/>
    <w:rsid w:val="008E0DE4"/>
    <w:rsid w:val="008E10BD"/>
    <w:rsid w:val="008E1937"/>
    <w:rsid w:val="008E2664"/>
    <w:rsid w:val="008E3554"/>
    <w:rsid w:val="008E4232"/>
    <w:rsid w:val="008E609F"/>
    <w:rsid w:val="008E6CB6"/>
    <w:rsid w:val="008F06D3"/>
    <w:rsid w:val="008F1085"/>
    <w:rsid w:val="008F31F3"/>
    <w:rsid w:val="008F517E"/>
    <w:rsid w:val="00903CE4"/>
    <w:rsid w:val="00904068"/>
    <w:rsid w:val="00904542"/>
    <w:rsid w:val="009048DD"/>
    <w:rsid w:val="00905289"/>
    <w:rsid w:val="00906B7E"/>
    <w:rsid w:val="00911268"/>
    <w:rsid w:val="0091460C"/>
    <w:rsid w:val="00915951"/>
    <w:rsid w:val="009159A8"/>
    <w:rsid w:val="00917CE0"/>
    <w:rsid w:val="009196E6"/>
    <w:rsid w:val="0092057B"/>
    <w:rsid w:val="00920604"/>
    <w:rsid w:val="0092242B"/>
    <w:rsid w:val="00922572"/>
    <w:rsid w:val="009230A8"/>
    <w:rsid w:val="009250DF"/>
    <w:rsid w:val="0092667E"/>
    <w:rsid w:val="0093047B"/>
    <w:rsid w:val="00930761"/>
    <w:rsid w:val="00930996"/>
    <w:rsid w:val="00931012"/>
    <w:rsid w:val="00931DD0"/>
    <w:rsid w:val="00933BBD"/>
    <w:rsid w:val="00933BE0"/>
    <w:rsid w:val="00933C5B"/>
    <w:rsid w:val="009354EC"/>
    <w:rsid w:val="0093654D"/>
    <w:rsid w:val="009369FC"/>
    <w:rsid w:val="00936EF5"/>
    <w:rsid w:val="00937F0D"/>
    <w:rsid w:val="009427CB"/>
    <w:rsid w:val="0094685F"/>
    <w:rsid w:val="00947CEF"/>
    <w:rsid w:val="00951406"/>
    <w:rsid w:val="00951D89"/>
    <w:rsid w:val="00954DA6"/>
    <w:rsid w:val="00962218"/>
    <w:rsid w:val="0096258F"/>
    <w:rsid w:val="0096755F"/>
    <w:rsid w:val="009737B7"/>
    <w:rsid w:val="00974066"/>
    <w:rsid w:val="00974785"/>
    <w:rsid w:val="00974BB9"/>
    <w:rsid w:val="00976917"/>
    <w:rsid w:val="00977934"/>
    <w:rsid w:val="0097797E"/>
    <w:rsid w:val="009779CB"/>
    <w:rsid w:val="00981F9D"/>
    <w:rsid w:val="00982D0F"/>
    <w:rsid w:val="00982FDD"/>
    <w:rsid w:val="009838FF"/>
    <w:rsid w:val="00984DDD"/>
    <w:rsid w:val="009868D6"/>
    <w:rsid w:val="00987407"/>
    <w:rsid w:val="009919A9"/>
    <w:rsid w:val="00991ED8"/>
    <w:rsid w:val="00991F60"/>
    <w:rsid w:val="00994EB0"/>
    <w:rsid w:val="00995880"/>
    <w:rsid w:val="00995E3B"/>
    <w:rsid w:val="009975B2"/>
    <w:rsid w:val="00997ECB"/>
    <w:rsid w:val="009A0DBD"/>
    <w:rsid w:val="009A121D"/>
    <w:rsid w:val="009A1E17"/>
    <w:rsid w:val="009A254B"/>
    <w:rsid w:val="009A5632"/>
    <w:rsid w:val="009B081A"/>
    <w:rsid w:val="009B1608"/>
    <w:rsid w:val="009B1A62"/>
    <w:rsid w:val="009B3C3B"/>
    <w:rsid w:val="009B5539"/>
    <w:rsid w:val="009B582D"/>
    <w:rsid w:val="009B670A"/>
    <w:rsid w:val="009B736A"/>
    <w:rsid w:val="009C0038"/>
    <w:rsid w:val="009C0F14"/>
    <w:rsid w:val="009C3DBF"/>
    <w:rsid w:val="009C6729"/>
    <w:rsid w:val="009C79F2"/>
    <w:rsid w:val="009C7FB6"/>
    <w:rsid w:val="009D024D"/>
    <w:rsid w:val="009D1A09"/>
    <w:rsid w:val="009D1CC9"/>
    <w:rsid w:val="009D2751"/>
    <w:rsid w:val="009D3628"/>
    <w:rsid w:val="009D3D28"/>
    <w:rsid w:val="009D4B70"/>
    <w:rsid w:val="009D54C0"/>
    <w:rsid w:val="009D6B04"/>
    <w:rsid w:val="009D7C83"/>
    <w:rsid w:val="009E1206"/>
    <w:rsid w:val="009E15E4"/>
    <w:rsid w:val="009E2C7F"/>
    <w:rsid w:val="009E2D3C"/>
    <w:rsid w:val="009E34A2"/>
    <w:rsid w:val="009E3BFB"/>
    <w:rsid w:val="009E406E"/>
    <w:rsid w:val="009E6E00"/>
    <w:rsid w:val="009E7C7E"/>
    <w:rsid w:val="009F0B18"/>
    <w:rsid w:val="009F0F00"/>
    <w:rsid w:val="009F15A6"/>
    <w:rsid w:val="009F3380"/>
    <w:rsid w:val="009F3F65"/>
    <w:rsid w:val="009F4A52"/>
    <w:rsid w:val="009F50CB"/>
    <w:rsid w:val="009F70D9"/>
    <w:rsid w:val="009F7845"/>
    <w:rsid w:val="00A039B9"/>
    <w:rsid w:val="00A050CF"/>
    <w:rsid w:val="00A052CA"/>
    <w:rsid w:val="00A0625B"/>
    <w:rsid w:val="00A07D7A"/>
    <w:rsid w:val="00A07FB1"/>
    <w:rsid w:val="00A13D44"/>
    <w:rsid w:val="00A13FC5"/>
    <w:rsid w:val="00A15A2C"/>
    <w:rsid w:val="00A175FE"/>
    <w:rsid w:val="00A20113"/>
    <w:rsid w:val="00A2047F"/>
    <w:rsid w:val="00A2149A"/>
    <w:rsid w:val="00A215E9"/>
    <w:rsid w:val="00A216EB"/>
    <w:rsid w:val="00A21A68"/>
    <w:rsid w:val="00A21FBC"/>
    <w:rsid w:val="00A227DF"/>
    <w:rsid w:val="00A22AF5"/>
    <w:rsid w:val="00A23343"/>
    <w:rsid w:val="00A25570"/>
    <w:rsid w:val="00A267D0"/>
    <w:rsid w:val="00A271AE"/>
    <w:rsid w:val="00A30E2B"/>
    <w:rsid w:val="00A33666"/>
    <w:rsid w:val="00A3690E"/>
    <w:rsid w:val="00A36BED"/>
    <w:rsid w:val="00A36E07"/>
    <w:rsid w:val="00A37B99"/>
    <w:rsid w:val="00A41535"/>
    <w:rsid w:val="00A427E0"/>
    <w:rsid w:val="00A4416F"/>
    <w:rsid w:val="00A46FED"/>
    <w:rsid w:val="00A47D5C"/>
    <w:rsid w:val="00A551E2"/>
    <w:rsid w:val="00A563D5"/>
    <w:rsid w:val="00A56F06"/>
    <w:rsid w:val="00A6065B"/>
    <w:rsid w:val="00A6390C"/>
    <w:rsid w:val="00A67962"/>
    <w:rsid w:val="00A71023"/>
    <w:rsid w:val="00A719AB"/>
    <w:rsid w:val="00A75918"/>
    <w:rsid w:val="00A75D4F"/>
    <w:rsid w:val="00A776D0"/>
    <w:rsid w:val="00A777CE"/>
    <w:rsid w:val="00A806E5"/>
    <w:rsid w:val="00A817B7"/>
    <w:rsid w:val="00A84BC2"/>
    <w:rsid w:val="00A8539D"/>
    <w:rsid w:val="00A8636D"/>
    <w:rsid w:val="00A87005"/>
    <w:rsid w:val="00A9099C"/>
    <w:rsid w:val="00A90DEF"/>
    <w:rsid w:val="00A91558"/>
    <w:rsid w:val="00A91C5B"/>
    <w:rsid w:val="00A91E59"/>
    <w:rsid w:val="00A93663"/>
    <w:rsid w:val="00A93728"/>
    <w:rsid w:val="00A95099"/>
    <w:rsid w:val="00A96220"/>
    <w:rsid w:val="00A9636E"/>
    <w:rsid w:val="00AA1B73"/>
    <w:rsid w:val="00AA2519"/>
    <w:rsid w:val="00AA2AB3"/>
    <w:rsid w:val="00AA476E"/>
    <w:rsid w:val="00AA4E3D"/>
    <w:rsid w:val="00AA4FA4"/>
    <w:rsid w:val="00AA5594"/>
    <w:rsid w:val="00AA5953"/>
    <w:rsid w:val="00AB0AD1"/>
    <w:rsid w:val="00AB18E0"/>
    <w:rsid w:val="00AB198A"/>
    <w:rsid w:val="00AB1BDA"/>
    <w:rsid w:val="00AB1F32"/>
    <w:rsid w:val="00AB24BD"/>
    <w:rsid w:val="00AB36A1"/>
    <w:rsid w:val="00AB63A0"/>
    <w:rsid w:val="00AB7417"/>
    <w:rsid w:val="00AC11F9"/>
    <w:rsid w:val="00AC4971"/>
    <w:rsid w:val="00AC5ADD"/>
    <w:rsid w:val="00AD053A"/>
    <w:rsid w:val="00AD0AD5"/>
    <w:rsid w:val="00AD2EBD"/>
    <w:rsid w:val="00AD3B19"/>
    <w:rsid w:val="00AD3C25"/>
    <w:rsid w:val="00AD4FA2"/>
    <w:rsid w:val="00AD57AD"/>
    <w:rsid w:val="00AD7AE0"/>
    <w:rsid w:val="00AE206D"/>
    <w:rsid w:val="00AE24C0"/>
    <w:rsid w:val="00AE50A2"/>
    <w:rsid w:val="00AE5358"/>
    <w:rsid w:val="00AE71E1"/>
    <w:rsid w:val="00AF110E"/>
    <w:rsid w:val="00AF1647"/>
    <w:rsid w:val="00AF5FD8"/>
    <w:rsid w:val="00AF6833"/>
    <w:rsid w:val="00AF7B2F"/>
    <w:rsid w:val="00B00128"/>
    <w:rsid w:val="00B0064B"/>
    <w:rsid w:val="00B0225D"/>
    <w:rsid w:val="00B03731"/>
    <w:rsid w:val="00B05C14"/>
    <w:rsid w:val="00B06281"/>
    <w:rsid w:val="00B06A62"/>
    <w:rsid w:val="00B06EAD"/>
    <w:rsid w:val="00B0773F"/>
    <w:rsid w:val="00B104EF"/>
    <w:rsid w:val="00B11F26"/>
    <w:rsid w:val="00B125DE"/>
    <w:rsid w:val="00B12E16"/>
    <w:rsid w:val="00B13E56"/>
    <w:rsid w:val="00B14900"/>
    <w:rsid w:val="00B14F10"/>
    <w:rsid w:val="00B14F57"/>
    <w:rsid w:val="00B15153"/>
    <w:rsid w:val="00B154B5"/>
    <w:rsid w:val="00B16CF3"/>
    <w:rsid w:val="00B17909"/>
    <w:rsid w:val="00B17927"/>
    <w:rsid w:val="00B209C6"/>
    <w:rsid w:val="00B20C56"/>
    <w:rsid w:val="00B2506B"/>
    <w:rsid w:val="00B25B9F"/>
    <w:rsid w:val="00B26574"/>
    <w:rsid w:val="00B27559"/>
    <w:rsid w:val="00B31B82"/>
    <w:rsid w:val="00B327BA"/>
    <w:rsid w:val="00B346F4"/>
    <w:rsid w:val="00B40DF3"/>
    <w:rsid w:val="00B4358E"/>
    <w:rsid w:val="00B46664"/>
    <w:rsid w:val="00B47C76"/>
    <w:rsid w:val="00B5294E"/>
    <w:rsid w:val="00B52FA4"/>
    <w:rsid w:val="00B5320E"/>
    <w:rsid w:val="00B53283"/>
    <w:rsid w:val="00B54330"/>
    <w:rsid w:val="00B55137"/>
    <w:rsid w:val="00B557E8"/>
    <w:rsid w:val="00B558F8"/>
    <w:rsid w:val="00B61142"/>
    <w:rsid w:val="00B61FF9"/>
    <w:rsid w:val="00B62049"/>
    <w:rsid w:val="00B62128"/>
    <w:rsid w:val="00B62DEE"/>
    <w:rsid w:val="00B636AD"/>
    <w:rsid w:val="00B63B0D"/>
    <w:rsid w:val="00B64085"/>
    <w:rsid w:val="00B646CA"/>
    <w:rsid w:val="00B654E6"/>
    <w:rsid w:val="00B66C55"/>
    <w:rsid w:val="00B66EBC"/>
    <w:rsid w:val="00B67355"/>
    <w:rsid w:val="00B703BC"/>
    <w:rsid w:val="00B71A0C"/>
    <w:rsid w:val="00B71E61"/>
    <w:rsid w:val="00B75B1E"/>
    <w:rsid w:val="00B75DEF"/>
    <w:rsid w:val="00B77498"/>
    <w:rsid w:val="00B81A74"/>
    <w:rsid w:val="00B834AE"/>
    <w:rsid w:val="00B8593E"/>
    <w:rsid w:val="00B87300"/>
    <w:rsid w:val="00B87C62"/>
    <w:rsid w:val="00B915BF"/>
    <w:rsid w:val="00B9611E"/>
    <w:rsid w:val="00B96D68"/>
    <w:rsid w:val="00B97718"/>
    <w:rsid w:val="00BA02D2"/>
    <w:rsid w:val="00BA12C0"/>
    <w:rsid w:val="00BA13F5"/>
    <w:rsid w:val="00BA4521"/>
    <w:rsid w:val="00BA50E6"/>
    <w:rsid w:val="00BA7647"/>
    <w:rsid w:val="00BA7793"/>
    <w:rsid w:val="00BB02B8"/>
    <w:rsid w:val="00BB18F6"/>
    <w:rsid w:val="00BB4162"/>
    <w:rsid w:val="00BB4A59"/>
    <w:rsid w:val="00BB69A0"/>
    <w:rsid w:val="00BC02DC"/>
    <w:rsid w:val="00BC1F06"/>
    <w:rsid w:val="00BC1F1C"/>
    <w:rsid w:val="00BC4473"/>
    <w:rsid w:val="00BC5C4E"/>
    <w:rsid w:val="00BC7193"/>
    <w:rsid w:val="00BC7636"/>
    <w:rsid w:val="00BC7A38"/>
    <w:rsid w:val="00BD14D8"/>
    <w:rsid w:val="00BD2033"/>
    <w:rsid w:val="00BD2CBF"/>
    <w:rsid w:val="00BD334B"/>
    <w:rsid w:val="00BD5749"/>
    <w:rsid w:val="00BD776B"/>
    <w:rsid w:val="00BD7918"/>
    <w:rsid w:val="00BE3121"/>
    <w:rsid w:val="00BE4BE9"/>
    <w:rsid w:val="00BE6E28"/>
    <w:rsid w:val="00BF0894"/>
    <w:rsid w:val="00BF0BD8"/>
    <w:rsid w:val="00BF1E37"/>
    <w:rsid w:val="00BF4723"/>
    <w:rsid w:val="00BF475F"/>
    <w:rsid w:val="00BF4D85"/>
    <w:rsid w:val="00BF5F1D"/>
    <w:rsid w:val="00BF6EAF"/>
    <w:rsid w:val="00BF6ECC"/>
    <w:rsid w:val="00C0131A"/>
    <w:rsid w:val="00C0295D"/>
    <w:rsid w:val="00C0322E"/>
    <w:rsid w:val="00C04D51"/>
    <w:rsid w:val="00C059C2"/>
    <w:rsid w:val="00C06E5E"/>
    <w:rsid w:val="00C113F8"/>
    <w:rsid w:val="00C115F1"/>
    <w:rsid w:val="00C13C8B"/>
    <w:rsid w:val="00C140D5"/>
    <w:rsid w:val="00C158FE"/>
    <w:rsid w:val="00C16439"/>
    <w:rsid w:val="00C22E53"/>
    <w:rsid w:val="00C22F0D"/>
    <w:rsid w:val="00C232EF"/>
    <w:rsid w:val="00C25336"/>
    <w:rsid w:val="00C307B7"/>
    <w:rsid w:val="00C30AFC"/>
    <w:rsid w:val="00C3104C"/>
    <w:rsid w:val="00C33306"/>
    <w:rsid w:val="00C3358F"/>
    <w:rsid w:val="00C3361B"/>
    <w:rsid w:val="00C35CB0"/>
    <w:rsid w:val="00C370C5"/>
    <w:rsid w:val="00C373C1"/>
    <w:rsid w:val="00C40ED9"/>
    <w:rsid w:val="00C41EEF"/>
    <w:rsid w:val="00C426EE"/>
    <w:rsid w:val="00C4396C"/>
    <w:rsid w:val="00C463E9"/>
    <w:rsid w:val="00C47F5C"/>
    <w:rsid w:val="00C5177B"/>
    <w:rsid w:val="00C51E8E"/>
    <w:rsid w:val="00C52FFA"/>
    <w:rsid w:val="00C5522D"/>
    <w:rsid w:val="00C60A96"/>
    <w:rsid w:val="00C613B3"/>
    <w:rsid w:val="00C629D5"/>
    <w:rsid w:val="00C63AAE"/>
    <w:rsid w:val="00C63F16"/>
    <w:rsid w:val="00C65F1C"/>
    <w:rsid w:val="00C6622B"/>
    <w:rsid w:val="00C66F8F"/>
    <w:rsid w:val="00C671D1"/>
    <w:rsid w:val="00C67509"/>
    <w:rsid w:val="00C70122"/>
    <w:rsid w:val="00C70B0A"/>
    <w:rsid w:val="00C713DC"/>
    <w:rsid w:val="00C731E2"/>
    <w:rsid w:val="00C80F3F"/>
    <w:rsid w:val="00C8104F"/>
    <w:rsid w:val="00C8314A"/>
    <w:rsid w:val="00C83BA5"/>
    <w:rsid w:val="00C83E8F"/>
    <w:rsid w:val="00C844C7"/>
    <w:rsid w:val="00C85D34"/>
    <w:rsid w:val="00C8619F"/>
    <w:rsid w:val="00C87919"/>
    <w:rsid w:val="00C90287"/>
    <w:rsid w:val="00C91D61"/>
    <w:rsid w:val="00C929E4"/>
    <w:rsid w:val="00C93BD8"/>
    <w:rsid w:val="00C95E0B"/>
    <w:rsid w:val="00C96F03"/>
    <w:rsid w:val="00C971A4"/>
    <w:rsid w:val="00C9763B"/>
    <w:rsid w:val="00CA1855"/>
    <w:rsid w:val="00CA1A73"/>
    <w:rsid w:val="00CA2E1F"/>
    <w:rsid w:val="00CA400B"/>
    <w:rsid w:val="00CA724C"/>
    <w:rsid w:val="00CA72E2"/>
    <w:rsid w:val="00CA7BC9"/>
    <w:rsid w:val="00CB0029"/>
    <w:rsid w:val="00CB08A9"/>
    <w:rsid w:val="00CB09FE"/>
    <w:rsid w:val="00CB0B1A"/>
    <w:rsid w:val="00CB18FB"/>
    <w:rsid w:val="00CB544A"/>
    <w:rsid w:val="00CB72F4"/>
    <w:rsid w:val="00CC10B3"/>
    <w:rsid w:val="00CC1B8E"/>
    <w:rsid w:val="00CC530A"/>
    <w:rsid w:val="00CC5C08"/>
    <w:rsid w:val="00CC6252"/>
    <w:rsid w:val="00CC6F65"/>
    <w:rsid w:val="00CC78A9"/>
    <w:rsid w:val="00CC7960"/>
    <w:rsid w:val="00CD110E"/>
    <w:rsid w:val="00CD192B"/>
    <w:rsid w:val="00CD29C2"/>
    <w:rsid w:val="00CD5E1A"/>
    <w:rsid w:val="00CD5EF9"/>
    <w:rsid w:val="00CE0AA5"/>
    <w:rsid w:val="00CE15EE"/>
    <w:rsid w:val="00CE16F0"/>
    <w:rsid w:val="00CE4F3E"/>
    <w:rsid w:val="00CE6483"/>
    <w:rsid w:val="00CE7176"/>
    <w:rsid w:val="00CF0767"/>
    <w:rsid w:val="00CF0B05"/>
    <w:rsid w:val="00CF1233"/>
    <w:rsid w:val="00CF1B8A"/>
    <w:rsid w:val="00CF720C"/>
    <w:rsid w:val="00CF7ADD"/>
    <w:rsid w:val="00D002A3"/>
    <w:rsid w:val="00D01695"/>
    <w:rsid w:val="00D02EB5"/>
    <w:rsid w:val="00D03585"/>
    <w:rsid w:val="00D04265"/>
    <w:rsid w:val="00D0549A"/>
    <w:rsid w:val="00D063A3"/>
    <w:rsid w:val="00D1002C"/>
    <w:rsid w:val="00D10EE6"/>
    <w:rsid w:val="00D119D5"/>
    <w:rsid w:val="00D120E2"/>
    <w:rsid w:val="00D12A00"/>
    <w:rsid w:val="00D1397E"/>
    <w:rsid w:val="00D1417A"/>
    <w:rsid w:val="00D14B06"/>
    <w:rsid w:val="00D15330"/>
    <w:rsid w:val="00D17680"/>
    <w:rsid w:val="00D2135A"/>
    <w:rsid w:val="00D22130"/>
    <w:rsid w:val="00D26E7D"/>
    <w:rsid w:val="00D31010"/>
    <w:rsid w:val="00D31C20"/>
    <w:rsid w:val="00D36F48"/>
    <w:rsid w:val="00D37490"/>
    <w:rsid w:val="00D40C4F"/>
    <w:rsid w:val="00D4162D"/>
    <w:rsid w:val="00D41B47"/>
    <w:rsid w:val="00D43F76"/>
    <w:rsid w:val="00D445FA"/>
    <w:rsid w:val="00D4767E"/>
    <w:rsid w:val="00D47BEF"/>
    <w:rsid w:val="00D552F3"/>
    <w:rsid w:val="00D5629D"/>
    <w:rsid w:val="00D6031F"/>
    <w:rsid w:val="00D60B73"/>
    <w:rsid w:val="00D63100"/>
    <w:rsid w:val="00D63122"/>
    <w:rsid w:val="00D63B88"/>
    <w:rsid w:val="00D64170"/>
    <w:rsid w:val="00D641EF"/>
    <w:rsid w:val="00D64949"/>
    <w:rsid w:val="00D66BBE"/>
    <w:rsid w:val="00D67287"/>
    <w:rsid w:val="00D67482"/>
    <w:rsid w:val="00D7123A"/>
    <w:rsid w:val="00D71ECF"/>
    <w:rsid w:val="00D722D9"/>
    <w:rsid w:val="00D728F9"/>
    <w:rsid w:val="00D72B04"/>
    <w:rsid w:val="00D73650"/>
    <w:rsid w:val="00D74087"/>
    <w:rsid w:val="00D74223"/>
    <w:rsid w:val="00D75E07"/>
    <w:rsid w:val="00D77965"/>
    <w:rsid w:val="00D80BD6"/>
    <w:rsid w:val="00D817D9"/>
    <w:rsid w:val="00D81EF9"/>
    <w:rsid w:val="00D82B06"/>
    <w:rsid w:val="00D84A34"/>
    <w:rsid w:val="00D85B85"/>
    <w:rsid w:val="00D86081"/>
    <w:rsid w:val="00D86B93"/>
    <w:rsid w:val="00D90002"/>
    <w:rsid w:val="00D94417"/>
    <w:rsid w:val="00D94A8D"/>
    <w:rsid w:val="00DA0E4E"/>
    <w:rsid w:val="00DA3E47"/>
    <w:rsid w:val="00DA6BB6"/>
    <w:rsid w:val="00DA6E5C"/>
    <w:rsid w:val="00DB2396"/>
    <w:rsid w:val="00DB3931"/>
    <w:rsid w:val="00DB4118"/>
    <w:rsid w:val="00DB5BFC"/>
    <w:rsid w:val="00DB6718"/>
    <w:rsid w:val="00DB6DDB"/>
    <w:rsid w:val="00DC400F"/>
    <w:rsid w:val="00DC4B81"/>
    <w:rsid w:val="00DC4CE0"/>
    <w:rsid w:val="00DC5360"/>
    <w:rsid w:val="00DC56BB"/>
    <w:rsid w:val="00DC7707"/>
    <w:rsid w:val="00DC7DB0"/>
    <w:rsid w:val="00DD2DAA"/>
    <w:rsid w:val="00DD3E13"/>
    <w:rsid w:val="00DD4A76"/>
    <w:rsid w:val="00DD5C5D"/>
    <w:rsid w:val="00DD5F88"/>
    <w:rsid w:val="00DD5F9E"/>
    <w:rsid w:val="00DD5FFC"/>
    <w:rsid w:val="00DE3851"/>
    <w:rsid w:val="00DE39C4"/>
    <w:rsid w:val="00DE4DF7"/>
    <w:rsid w:val="00DE5382"/>
    <w:rsid w:val="00DE57B3"/>
    <w:rsid w:val="00DE5C34"/>
    <w:rsid w:val="00DE68B9"/>
    <w:rsid w:val="00DE7234"/>
    <w:rsid w:val="00DE7C26"/>
    <w:rsid w:val="00DF0847"/>
    <w:rsid w:val="00DF1185"/>
    <w:rsid w:val="00DF13F8"/>
    <w:rsid w:val="00DF2892"/>
    <w:rsid w:val="00DF3A87"/>
    <w:rsid w:val="00DF6865"/>
    <w:rsid w:val="00DF6ECC"/>
    <w:rsid w:val="00E02356"/>
    <w:rsid w:val="00E02942"/>
    <w:rsid w:val="00E046A4"/>
    <w:rsid w:val="00E05783"/>
    <w:rsid w:val="00E07E90"/>
    <w:rsid w:val="00E11687"/>
    <w:rsid w:val="00E11E3E"/>
    <w:rsid w:val="00E14FDC"/>
    <w:rsid w:val="00E1611D"/>
    <w:rsid w:val="00E1784A"/>
    <w:rsid w:val="00E20BE5"/>
    <w:rsid w:val="00E21206"/>
    <w:rsid w:val="00E21634"/>
    <w:rsid w:val="00E222FE"/>
    <w:rsid w:val="00E23A2A"/>
    <w:rsid w:val="00E24ED9"/>
    <w:rsid w:val="00E262D8"/>
    <w:rsid w:val="00E264E3"/>
    <w:rsid w:val="00E269D1"/>
    <w:rsid w:val="00E274EE"/>
    <w:rsid w:val="00E27650"/>
    <w:rsid w:val="00E30206"/>
    <w:rsid w:val="00E32975"/>
    <w:rsid w:val="00E32D8F"/>
    <w:rsid w:val="00E345A1"/>
    <w:rsid w:val="00E40CA5"/>
    <w:rsid w:val="00E41044"/>
    <w:rsid w:val="00E41BBE"/>
    <w:rsid w:val="00E4219E"/>
    <w:rsid w:val="00E43C06"/>
    <w:rsid w:val="00E44037"/>
    <w:rsid w:val="00E445C2"/>
    <w:rsid w:val="00E45FFC"/>
    <w:rsid w:val="00E46CFD"/>
    <w:rsid w:val="00E521EE"/>
    <w:rsid w:val="00E52724"/>
    <w:rsid w:val="00E52952"/>
    <w:rsid w:val="00E52D29"/>
    <w:rsid w:val="00E530E2"/>
    <w:rsid w:val="00E53242"/>
    <w:rsid w:val="00E550D0"/>
    <w:rsid w:val="00E577D8"/>
    <w:rsid w:val="00E64ED2"/>
    <w:rsid w:val="00E67302"/>
    <w:rsid w:val="00E702D6"/>
    <w:rsid w:val="00E708C5"/>
    <w:rsid w:val="00E72371"/>
    <w:rsid w:val="00E73B81"/>
    <w:rsid w:val="00E7414D"/>
    <w:rsid w:val="00E74F8E"/>
    <w:rsid w:val="00E753AA"/>
    <w:rsid w:val="00E76409"/>
    <w:rsid w:val="00E8010E"/>
    <w:rsid w:val="00E81530"/>
    <w:rsid w:val="00E81E97"/>
    <w:rsid w:val="00E82909"/>
    <w:rsid w:val="00E82B81"/>
    <w:rsid w:val="00E8406A"/>
    <w:rsid w:val="00E84473"/>
    <w:rsid w:val="00E8483D"/>
    <w:rsid w:val="00E85269"/>
    <w:rsid w:val="00E85CD7"/>
    <w:rsid w:val="00E85D10"/>
    <w:rsid w:val="00E86F60"/>
    <w:rsid w:val="00E87067"/>
    <w:rsid w:val="00E90137"/>
    <w:rsid w:val="00E9078A"/>
    <w:rsid w:val="00E90AAF"/>
    <w:rsid w:val="00E91677"/>
    <w:rsid w:val="00E93120"/>
    <w:rsid w:val="00E94F73"/>
    <w:rsid w:val="00E96AF3"/>
    <w:rsid w:val="00E97346"/>
    <w:rsid w:val="00E97952"/>
    <w:rsid w:val="00EA093D"/>
    <w:rsid w:val="00EA11A6"/>
    <w:rsid w:val="00EA2F17"/>
    <w:rsid w:val="00EA53A6"/>
    <w:rsid w:val="00EA737C"/>
    <w:rsid w:val="00EA7D6A"/>
    <w:rsid w:val="00EB052E"/>
    <w:rsid w:val="00EB1365"/>
    <w:rsid w:val="00EB23DB"/>
    <w:rsid w:val="00EB2F3F"/>
    <w:rsid w:val="00EB3359"/>
    <w:rsid w:val="00EB34A4"/>
    <w:rsid w:val="00EB3533"/>
    <w:rsid w:val="00EB371F"/>
    <w:rsid w:val="00EB3EFF"/>
    <w:rsid w:val="00EB445C"/>
    <w:rsid w:val="00EB736D"/>
    <w:rsid w:val="00EB777F"/>
    <w:rsid w:val="00EB7DFE"/>
    <w:rsid w:val="00EC0158"/>
    <w:rsid w:val="00EC0397"/>
    <w:rsid w:val="00EC042F"/>
    <w:rsid w:val="00EC108F"/>
    <w:rsid w:val="00EC21C6"/>
    <w:rsid w:val="00EC3A0C"/>
    <w:rsid w:val="00EC4261"/>
    <w:rsid w:val="00EC52E6"/>
    <w:rsid w:val="00EC7474"/>
    <w:rsid w:val="00ED2428"/>
    <w:rsid w:val="00ED27A3"/>
    <w:rsid w:val="00ED3E4D"/>
    <w:rsid w:val="00ED61CE"/>
    <w:rsid w:val="00ED6C36"/>
    <w:rsid w:val="00EE3248"/>
    <w:rsid w:val="00EE32B8"/>
    <w:rsid w:val="00EE4AA4"/>
    <w:rsid w:val="00EF09F5"/>
    <w:rsid w:val="00EF0C37"/>
    <w:rsid w:val="00EF1FF6"/>
    <w:rsid w:val="00EF2754"/>
    <w:rsid w:val="00EF4015"/>
    <w:rsid w:val="00EF4F03"/>
    <w:rsid w:val="00EF756E"/>
    <w:rsid w:val="00F015C7"/>
    <w:rsid w:val="00F01919"/>
    <w:rsid w:val="00F01B0C"/>
    <w:rsid w:val="00F02D59"/>
    <w:rsid w:val="00F04028"/>
    <w:rsid w:val="00F044A4"/>
    <w:rsid w:val="00F04642"/>
    <w:rsid w:val="00F050EF"/>
    <w:rsid w:val="00F06FAD"/>
    <w:rsid w:val="00F12718"/>
    <w:rsid w:val="00F12C4A"/>
    <w:rsid w:val="00F1451C"/>
    <w:rsid w:val="00F15ACB"/>
    <w:rsid w:val="00F15C0E"/>
    <w:rsid w:val="00F16300"/>
    <w:rsid w:val="00F16475"/>
    <w:rsid w:val="00F17D3E"/>
    <w:rsid w:val="00F204C5"/>
    <w:rsid w:val="00F21761"/>
    <w:rsid w:val="00F2337B"/>
    <w:rsid w:val="00F24111"/>
    <w:rsid w:val="00F254B2"/>
    <w:rsid w:val="00F258A0"/>
    <w:rsid w:val="00F25BD3"/>
    <w:rsid w:val="00F3025F"/>
    <w:rsid w:val="00F36727"/>
    <w:rsid w:val="00F37F96"/>
    <w:rsid w:val="00F40A2F"/>
    <w:rsid w:val="00F4238E"/>
    <w:rsid w:val="00F4278B"/>
    <w:rsid w:val="00F42F7B"/>
    <w:rsid w:val="00F435D4"/>
    <w:rsid w:val="00F43A59"/>
    <w:rsid w:val="00F43C73"/>
    <w:rsid w:val="00F44078"/>
    <w:rsid w:val="00F4610F"/>
    <w:rsid w:val="00F47E52"/>
    <w:rsid w:val="00F52B5B"/>
    <w:rsid w:val="00F53EE4"/>
    <w:rsid w:val="00F54EC9"/>
    <w:rsid w:val="00F5537E"/>
    <w:rsid w:val="00F55764"/>
    <w:rsid w:val="00F56E59"/>
    <w:rsid w:val="00F60359"/>
    <w:rsid w:val="00F61394"/>
    <w:rsid w:val="00F65DA3"/>
    <w:rsid w:val="00F707B8"/>
    <w:rsid w:val="00F7094F"/>
    <w:rsid w:val="00F70FE8"/>
    <w:rsid w:val="00F727D7"/>
    <w:rsid w:val="00F7304E"/>
    <w:rsid w:val="00F73F6A"/>
    <w:rsid w:val="00F754E7"/>
    <w:rsid w:val="00F76340"/>
    <w:rsid w:val="00F77193"/>
    <w:rsid w:val="00F817F8"/>
    <w:rsid w:val="00F84562"/>
    <w:rsid w:val="00F84C57"/>
    <w:rsid w:val="00F86A6E"/>
    <w:rsid w:val="00F91621"/>
    <w:rsid w:val="00F95595"/>
    <w:rsid w:val="00FA2053"/>
    <w:rsid w:val="00FA2DB7"/>
    <w:rsid w:val="00FA326C"/>
    <w:rsid w:val="00FA727D"/>
    <w:rsid w:val="00FB100C"/>
    <w:rsid w:val="00FB1EF7"/>
    <w:rsid w:val="00FB2A23"/>
    <w:rsid w:val="00FB379B"/>
    <w:rsid w:val="00FB5F0A"/>
    <w:rsid w:val="00FB6799"/>
    <w:rsid w:val="00FC2774"/>
    <w:rsid w:val="00FC55B3"/>
    <w:rsid w:val="00FC6D01"/>
    <w:rsid w:val="00FD0BE3"/>
    <w:rsid w:val="00FD1A62"/>
    <w:rsid w:val="00FD3875"/>
    <w:rsid w:val="00FD5F2D"/>
    <w:rsid w:val="00FD6362"/>
    <w:rsid w:val="00FD7F0D"/>
    <w:rsid w:val="00FE0B5C"/>
    <w:rsid w:val="00FE1402"/>
    <w:rsid w:val="00FE2955"/>
    <w:rsid w:val="00FE6B11"/>
    <w:rsid w:val="00FE70A4"/>
    <w:rsid w:val="00FF01E4"/>
    <w:rsid w:val="00FF10B4"/>
    <w:rsid w:val="00FF2405"/>
    <w:rsid w:val="00FF2476"/>
    <w:rsid w:val="00FF3268"/>
    <w:rsid w:val="00FF424E"/>
    <w:rsid w:val="00FF43AC"/>
    <w:rsid w:val="00FF6860"/>
    <w:rsid w:val="00FF6C07"/>
    <w:rsid w:val="00FF78B4"/>
    <w:rsid w:val="013AF74E"/>
    <w:rsid w:val="014ACF74"/>
    <w:rsid w:val="01CC314E"/>
    <w:rsid w:val="020B82B4"/>
    <w:rsid w:val="021B59F7"/>
    <w:rsid w:val="02673D2E"/>
    <w:rsid w:val="02BA8D08"/>
    <w:rsid w:val="02D18982"/>
    <w:rsid w:val="02E35867"/>
    <w:rsid w:val="02FA0372"/>
    <w:rsid w:val="031FD8CF"/>
    <w:rsid w:val="03317176"/>
    <w:rsid w:val="033C3C5C"/>
    <w:rsid w:val="037BC764"/>
    <w:rsid w:val="037F622B"/>
    <w:rsid w:val="03A4C9AA"/>
    <w:rsid w:val="040058D1"/>
    <w:rsid w:val="040CD73A"/>
    <w:rsid w:val="04732B22"/>
    <w:rsid w:val="04BAAE8D"/>
    <w:rsid w:val="04C70344"/>
    <w:rsid w:val="050E97E1"/>
    <w:rsid w:val="05257407"/>
    <w:rsid w:val="05D70E28"/>
    <w:rsid w:val="05EFBF77"/>
    <w:rsid w:val="061C368E"/>
    <w:rsid w:val="06343649"/>
    <w:rsid w:val="0642975F"/>
    <w:rsid w:val="06530751"/>
    <w:rsid w:val="0655A894"/>
    <w:rsid w:val="066A9AA1"/>
    <w:rsid w:val="068C1176"/>
    <w:rsid w:val="06C76614"/>
    <w:rsid w:val="06DA7B53"/>
    <w:rsid w:val="07038DA4"/>
    <w:rsid w:val="072D1D8E"/>
    <w:rsid w:val="075D47F3"/>
    <w:rsid w:val="0788D6EA"/>
    <w:rsid w:val="07D69A93"/>
    <w:rsid w:val="07DAC599"/>
    <w:rsid w:val="07E0359C"/>
    <w:rsid w:val="07E191C6"/>
    <w:rsid w:val="07F385B3"/>
    <w:rsid w:val="08527FE6"/>
    <w:rsid w:val="08703B01"/>
    <w:rsid w:val="08D05A4D"/>
    <w:rsid w:val="08D94D6A"/>
    <w:rsid w:val="08F9D532"/>
    <w:rsid w:val="093E98EF"/>
    <w:rsid w:val="09612194"/>
    <w:rsid w:val="097C6C65"/>
    <w:rsid w:val="09869B9C"/>
    <w:rsid w:val="098EDA7A"/>
    <w:rsid w:val="09AA7B28"/>
    <w:rsid w:val="09FD482E"/>
    <w:rsid w:val="0A2DD730"/>
    <w:rsid w:val="0A6EE146"/>
    <w:rsid w:val="0A708D6B"/>
    <w:rsid w:val="0AA0D162"/>
    <w:rsid w:val="0AC4B3F5"/>
    <w:rsid w:val="0AC71165"/>
    <w:rsid w:val="0AEAE193"/>
    <w:rsid w:val="0AF8220F"/>
    <w:rsid w:val="0B019C6B"/>
    <w:rsid w:val="0B3C8F33"/>
    <w:rsid w:val="0B446B0E"/>
    <w:rsid w:val="0B52438D"/>
    <w:rsid w:val="0B95CFFB"/>
    <w:rsid w:val="0B95D8D0"/>
    <w:rsid w:val="0BA70F2F"/>
    <w:rsid w:val="0BB5B1F1"/>
    <w:rsid w:val="0BE65CA7"/>
    <w:rsid w:val="0BF95671"/>
    <w:rsid w:val="0C4C2E35"/>
    <w:rsid w:val="0C5F3C2F"/>
    <w:rsid w:val="0C6912D4"/>
    <w:rsid w:val="0C7696DB"/>
    <w:rsid w:val="0C85C85F"/>
    <w:rsid w:val="0CA2E2C5"/>
    <w:rsid w:val="0CB0AD8B"/>
    <w:rsid w:val="0CBCA134"/>
    <w:rsid w:val="0CE57921"/>
    <w:rsid w:val="0CEF1794"/>
    <w:rsid w:val="0D00DA3E"/>
    <w:rsid w:val="0D206D39"/>
    <w:rsid w:val="0D24FF58"/>
    <w:rsid w:val="0D66E038"/>
    <w:rsid w:val="0D832BC1"/>
    <w:rsid w:val="0D93F042"/>
    <w:rsid w:val="0D9C9E5A"/>
    <w:rsid w:val="0DA58366"/>
    <w:rsid w:val="0E069349"/>
    <w:rsid w:val="0E16BF9F"/>
    <w:rsid w:val="0E211801"/>
    <w:rsid w:val="0E32BB37"/>
    <w:rsid w:val="0E660224"/>
    <w:rsid w:val="0E6FD2D7"/>
    <w:rsid w:val="0E7A99EC"/>
    <w:rsid w:val="0E7E5D7B"/>
    <w:rsid w:val="0E800870"/>
    <w:rsid w:val="0E818A98"/>
    <w:rsid w:val="0E895597"/>
    <w:rsid w:val="0EAF880A"/>
    <w:rsid w:val="0EB75CD0"/>
    <w:rsid w:val="0ED08DC3"/>
    <w:rsid w:val="0EED625C"/>
    <w:rsid w:val="0EEFBA58"/>
    <w:rsid w:val="0F2F0405"/>
    <w:rsid w:val="0F44E7BE"/>
    <w:rsid w:val="0F5C20B5"/>
    <w:rsid w:val="0F84714D"/>
    <w:rsid w:val="0F8D35E3"/>
    <w:rsid w:val="1002A5DC"/>
    <w:rsid w:val="100E9027"/>
    <w:rsid w:val="1048AF25"/>
    <w:rsid w:val="105EC032"/>
    <w:rsid w:val="10687CC7"/>
    <w:rsid w:val="10690FDF"/>
    <w:rsid w:val="106F6890"/>
    <w:rsid w:val="1070495B"/>
    <w:rsid w:val="108B497E"/>
    <w:rsid w:val="108D6D6E"/>
    <w:rsid w:val="109E7DF3"/>
    <w:rsid w:val="10E03FDF"/>
    <w:rsid w:val="1109E282"/>
    <w:rsid w:val="113A108B"/>
    <w:rsid w:val="11413D9D"/>
    <w:rsid w:val="1141DDF4"/>
    <w:rsid w:val="1148013C"/>
    <w:rsid w:val="116FA727"/>
    <w:rsid w:val="11A05E1B"/>
    <w:rsid w:val="11CB6B6C"/>
    <w:rsid w:val="121F52C2"/>
    <w:rsid w:val="12250186"/>
    <w:rsid w:val="1239C8A6"/>
    <w:rsid w:val="12499C01"/>
    <w:rsid w:val="12593094"/>
    <w:rsid w:val="127B15F9"/>
    <w:rsid w:val="12808705"/>
    <w:rsid w:val="12A98A65"/>
    <w:rsid w:val="12D62DD1"/>
    <w:rsid w:val="12F379B3"/>
    <w:rsid w:val="12F71A04"/>
    <w:rsid w:val="12FE900A"/>
    <w:rsid w:val="130144D0"/>
    <w:rsid w:val="132E9E67"/>
    <w:rsid w:val="13683F36"/>
    <w:rsid w:val="1369784B"/>
    <w:rsid w:val="13AE6D1F"/>
    <w:rsid w:val="13BA3C97"/>
    <w:rsid w:val="13C0053F"/>
    <w:rsid w:val="141AEAE6"/>
    <w:rsid w:val="14330BD4"/>
    <w:rsid w:val="145A65CF"/>
    <w:rsid w:val="147F8CEC"/>
    <w:rsid w:val="1484F6FF"/>
    <w:rsid w:val="14ABA5BF"/>
    <w:rsid w:val="14C47B30"/>
    <w:rsid w:val="14EC05AD"/>
    <w:rsid w:val="1520550D"/>
    <w:rsid w:val="1524A293"/>
    <w:rsid w:val="153D07F4"/>
    <w:rsid w:val="1599C2D8"/>
    <w:rsid w:val="15BE19E8"/>
    <w:rsid w:val="15CD5FB8"/>
    <w:rsid w:val="15D0C387"/>
    <w:rsid w:val="15EE1E9E"/>
    <w:rsid w:val="15F2B305"/>
    <w:rsid w:val="15F7E50C"/>
    <w:rsid w:val="16071EEC"/>
    <w:rsid w:val="160DBF63"/>
    <w:rsid w:val="16124EDF"/>
    <w:rsid w:val="165FA8CD"/>
    <w:rsid w:val="169416CB"/>
    <w:rsid w:val="16BD5A67"/>
    <w:rsid w:val="16C2BA63"/>
    <w:rsid w:val="16F53C6D"/>
    <w:rsid w:val="174A2D06"/>
    <w:rsid w:val="174AB32A"/>
    <w:rsid w:val="17902317"/>
    <w:rsid w:val="17976E14"/>
    <w:rsid w:val="179E7ED6"/>
    <w:rsid w:val="17BBBB65"/>
    <w:rsid w:val="17E64CC9"/>
    <w:rsid w:val="17F10011"/>
    <w:rsid w:val="1806FF82"/>
    <w:rsid w:val="18101B3E"/>
    <w:rsid w:val="18178D25"/>
    <w:rsid w:val="182B3EC5"/>
    <w:rsid w:val="18364486"/>
    <w:rsid w:val="18628974"/>
    <w:rsid w:val="188194FE"/>
    <w:rsid w:val="1884754C"/>
    <w:rsid w:val="188B9B48"/>
    <w:rsid w:val="19275890"/>
    <w:rsid w:val="1930FB73"/>
    <w:rsid w:val="19354947"/>
    <w:rsid w:val="19535067"/>
    <w:rsid w:val="19A02559"/>
    <w:rsid w:val="19A511AB"/>
    <w:rsid w:val="19B0118C"/>
    <w:rsid w:val="19BF4A37"/>
    <w:rsid w:val="1A0ECE1C"/>
    <w:rsid w:val="1A17B7F8"/>
    <w:rsid w:val="1A7C326A"/>
    <w:rsid w:val="1A8C2E8A"/>
    <w:rsid w:val="1AB73EC2"/>
    <w:rsid w:val="1B11B426"/>
    <w:rsid w:val="1B1C9783"/>
    <w:rsid w:val="1B75AADC"/>
    <w:rsid w:val="1BB9B529"/>
    <w:rsid w:val="1BCE17F7"/>
    <w:rsid w:val="1BE2527B"/>
    <w:rsid w:val="1BF5F7A6"/>
    <w:rsid w:val="1C2989C5"/>
    <w:rsid w:val="1C2A4CB1"/>
    <w:rsid w:val="1C3F8122"/>
    <w:rsid w:val="1C98DC52"/>
    <w:rsid w:val="1CDC62EB"/>
    <w:rsid w:val="1CFC64EC"/>
    <w:rsid w:val="1D166533"/>
    <w:rsid w:val="1D3F77A8"/>
    <w:rsid w:val="1D947B3A"/>
    <w:rsid w:val="1DCA050D"/>
    <w:rsid w:val="1DDE8BF6"/>
    <w:rsid w:val="1DE40276"/>
    <w:rsid w:val="1E5A6DE5"/>
    <w:rsid w:val="1E76AF9A"/>
    <w:rsid w:val="1E93A351"/>
    <w:rsid w:val="1F047252"/>
    <w:rsid w:val="1F0B5127"/>
    <w:rsid w:val="1F6D0F2B"/>
    <w:rsid w:val="1F94AC71"/>
    <w:rsid w:val="1FBD073D"/>
    <w:rsid w:val="1FCDFF06"/>
    <w:rsid w:val="1FDEC82C"/>
    <w:rsid w:val="1FE94C11"/>
    <w:rsid w:val="1FF2091C"/>
    <w:rsid w:val="1FF2F518"/>
    <w:rsid w:val="1FFCB0FD"/>
    <w:rsid w:val="20099EFA"/>
    <w:rsid w:val="2066F664"/>
    <w:rsid w:val="207D8FDF"/>
    <w:rsid w:val="208E5307"/>
    <w:rsid w:val="20A73363"/>
    <w:rsid w:val="20D4BA46"/>
    <w:rsid w:val="2101BB1C"/>
    <w:rsid w:val="210612F6"/>
    <w:rsid w:val="210D21BF"/>
    <w:rsid w:val="21691166"/>
    <w:rsid w:val="216FAD8C"/>
    <w:rsid w:val="2181F662"/>
    <w:rsid w:val="21830B8B"/>
    <w:rsid w:val="2187B88F"/>
    <w:rsid w:val="2188412C"/>
    <w:rsid w:val="21E16714"/>
    <w:rsid w:val="21F7E01D"/>
    <w:rsid w:val="2200664A"/>
    <w:rsid w:val="22065707"/>
    <w:rsid w:val="2209F797"/>
    <w:rsid w:val="22121BB7"/>
    <w:rsid w:val="221B476B"/>
    <w:rsid w:val="2226C4E3"/>
    <w:rsid w:val="222955BB"/>
    <w:rsid w:val="223E38CA"/>
    <w:rsid w:val="224C8959"/>
    <w:rsid w:val="225913FB"/>
    <w:rsid w:val="225C20B9"/>
    <w:rsid w:val="2275022E"/>
    <w:rsid w:val="22C2BB89"/>
    <w:rsid w:val="22C5FE82"/>
    <w:rsid w:val="22CA1E9B"/>
    <w:rsid w:val="22EAF09A"/>
    <w:rsid w:val="22EB7BCF"/>
    <w:rsid w:val="22F20D83"/>
    <w:rsid w:val="2303B7E3"/>
    <w:rsid w:val="230B2CBC"/>
    <w:rsid w:val="234BD04A"/>
    <w:rsid w:val="2364B1DC"/>
    <w:rsid w:val="237337EC"/>
    <w:rsid w:val="237F629F"/>
    <w:rsid w:val="239A4342"/>
    <w:rsid w:val="23A8C34A"/>
    <w:rsid w:val="243C865D"/>
    <w:rsid w:val="2443ED54"/>
    <w:rsid w:val="245844C1"/>
    <w:rsid w:val="24939A6F"/>
    <w:rsid w:val="24EE043F"/>
    <w:rsid w:val="24F8F880"/>
    <w:rsid w:val="250700D2"/>
    <w:rsid w:val="25079519"/>
    <w:rsid w:val="25292037"/>
    <w:rsid w:val="252AE37C"/>
    <w:rsid w:val="253C1F19"/>
    <w:rsid w:val="2554BAA9"/>
    <w:rsid w:val="255B4628"/>
    <w:rsid w:val="25675B6D"/>
    <w:rsid w:val="25AC94D2"/>
    <w:rsid w:val="25D84C27"/>
    <w:rsid w:val="25DABAA9"/>
    <w:rsid w:val="25E569BB"/>
    <w:rsid w:val="25E7FCC5"/>
    <w:rsid w:val="25FD3D37"/>
    <w:rsid w:val="26101DCC"/>
    <w:rsid w:val="266C3657"/>
    <w:rsid w:val="2685DC2B"/>
    <w:rsid w:val="268CCF8A"/>
    <w:rsid w:val="26996174"/>
    <w:rsid w:val="26BEA531"/>
    <w:rsid w:val="27550B2A"/>
    <w:rsid w:val="27BD6504"/>
    <w:rsid w:val="27D443EC"/>
    <w:rsid w:val="281BFB73"/>
    <w:rsid w:val="28849A51"/>
    <w:rsid w:val="28856170"/>
    <w:rsid w:val="28863D30"/>
    <w:rsid w:val="289AA138"/>
    <w:rsid w:val="28DACA7C"/>
    <w:rsid w:val="28DC79FA"/>
    <w:rsid w:val="28E0EED7"/>
    <w:rsid w:val="28EE19FD"/>
    <w:rsid w:val="2913C8AD"/>
    <w:rsid w:val="2914C2BB"/>
    <w:rsid w:val="291DDCE7"/>
    <w:rsid w:val="29263D49"/>
    <w:rsid w:val="29312C35"/>
    <w:rsid w:val="293F8FEC"/>
    <w:rsid w:val="296134AF"/>
    <w:rsid w:val="29B7775C"/>
    <w:rsid w:val="29B7CBD4"/>
    <w:rsid w:val="29C29313"/>
    <w:rsid w:val="2A9359F3"/>
    <w:rsid w:val="2AAB6FAA"/>
    <w:rsid w:val="2AB44893"/>
    <w:rsid w:val="2AF3F68F"/>
    <w:rsid w:val="2B1D20B4"/>
    <w:rsid w:val="2B615AB1"/>
    <w:rsid w:val="2B6C07B2"/>
    <w:rsid w:val="2B78B66F"/>
    <w:rsid w:val="2BAD75A7"/>
    <w:rsid w:val="2BBE9193"/>
    <w:rsid w:val="2BC167D1"/>
    <w:rsid w:val="2BCCFC83"/>
    <w:rsid w:val="2BFCF374"/>
    <w:rsid w:val="2C238663"/>
    <w:rsid w:val="2C6F7F64"/>
    <w:rsid w:val="2C795413"/>
    <w:rsid w:val="2C7BAA58"/>
    <w:rsid w:val="2C952F51"/>
    <w:rsid w:val="2CA17E81"/>
    <w:rsid w:val="2CB64412"/>
    <w:rsid w:val="2CC05733"/>
    <w:rsid w:val="2CC6E5CF"/>
    <w:rsid w:val="2CE3820E"/>
    <w:rsid w:val="2D0D4584"/>
    <w:rsid w:val="2D2AE62B"/>
    <w:rsid w:val="2D505F2F"/>
    <w:rsid w:val="2D849246"/>
    <w:rsid w:val="2D9E9C8B"/>
    <w:rsid w:val="2DA61899"/>
    <w:rsid w:val="2DC8D338"/>
    <w:rsid w:val="2DCC74A4"/>
    <w:rsid w:val="2DE1EB90"/>
    <w:rsid w:val="2DEFC299"/>
    <w:rsid w:val="2E194450"/>
    <w:rsid w:val="2E2B9A64"/>
    <w:rsid w:val="2E39A778"/>
    <w:rsid w:val="2E68210E"/>
    <w:rsid w:val="2E9DD718"/>
    <w:rsid w:val="2EB410DC"/>
    <w:rsid w:val="2EE1D337"/>
    <w:rsid w:val="2EE285EA"/>
    <w:rsid w:val="2EE44BCF"/>
    <w:rsid w:val="2EE9738E"/>
    <w:rsid w:val="2EEE99FB"/>
    <w:rsid w:val="2EF010F9"/>
    <w:rsid w:val="2EF12F81"/>
    <w:rsid w:val="2F016B07"/>
    <w:rsid w:val="2F054E87"/>
    <w:rsid w:val="2F243837"/>
    <w:rsid w:val="2F248CE4"/>
    <w:rsid w:val="2F2BB32D"/>
    <w:rsid w:val="2F3542B9"/>
    <w:rsid w:val="2F4431D7"/>
    <w:rsid w:val="2F833305"/>
    <w:rsid w:val="2F891C01"/>
    <w:rsid w:val="2FAC6E56"/>
    <w:rsid w:val="2FE92619"/>
    <w:rsid w:val="300E663E"/>
    <w:rsid w:val="302DCC55"/>
    <w:rsid w:val="304535DA"/>
    <w:rsid w:val="304AF2C9"/>
    <w:rsid w:val="304DC8C1"/>
    <w:rsid w:val="30637D47"/>
    <w:rsid w:val="306F1ACC"/>
    <w:rsid w:val="30A135E5"/>
    <w:rsid w:val="30CDAF0B"/>
    <w:rsid w:val="31163CA8"/>
    <w:rsid w:val="312E1D09"/>
    <w:rsid w:val="3150739C"/>
    <w:rsid w:val="317C0C4D"/>
    <w:rsid w:val="3187FDDE"/>
    <w:rsid w:val="31946186"/>
    <w:rsid w:val="31A0B145"/>
    <w:rsid w:val="31B2EF28"/>
    <w:rsid w:val="32649B26"/>
    <w:rsid w:val="3292F206"/>
    <w:rsid w:val="32A9A877"/>
    <w:rsid w:val="32B9A040"/>
    <w:rsid w:val="32CF7EE8"/>
    <w:rsid w:val="32EBDDF1"/>
    <w:rsid w:val="3318D723"/>
    <w:rsid w:val="332CF1C6"/>
    <w:rsid w:val="3382BB7C"/>
    <w:rsid w:val="33926B39"/>
    <w:rsid w:val="3399C3E5"/>
    <w:rsid w:val="33AD1FE9"/>
    <w:rsid w:val="33B08C58"/>
    <w:rsid w:val="33F6BCDA"/>
    <w:rsid w:val="3412FCB5"/>
    <w:rsid w:val="3428D284"/>
    <w:rsid w:val="3435045D"/>
    <w:rsid w:val="343564F6"/>
    <w:rsid w:val="34404CE6"/>
    <w:rsid w:val="34426983"/>
    <w:rsid w:val="34667F0E"/>
    <w:rsid w:val="346BD4C9"/>
    <w:rsid w:val="348A0571"/>
    <w:rsid w:val="349985C1"/>
    <w:rsid w:val="34E76E6B"/>
    <w:rsid w:val="3502F588"/>
    <w:rsid w:val="35030020"/>
    <w:rsid w:val="35406E42"/>
    <w:rsid w:val="3555ED9F"/>
    <w:rsid w:val="358B310E"/>
    <w:rsid w:val="35BC7693"/>
    <w:rsid w:val="35E26528"/>
    <w:rsid w:val="362AB15D"/>
    <w:rsid w:val="36312200"/>
    <w:rsid w:val="3648E37E"/>
    <w:rsid w:val="367D77F5"/>
    <w:rsid w:val="36A5D5C6"/>
    <w:rsid w:val="36DD7038"/>
    <w:rsid w:val="37045BA6"/>
    <w:rsid w:val="37481DA5"/>
    <w:rsid w:val="374C0721"/>
    <w:rsid w:val="37633EDF"/>
    <w:rsid w:val="377858BB"/>
    <w:rsid w:val="37A8DFD9"/>
    <w:rsid w:val="37AF1277"/>
    <w:rsid w:val="37B581C2"/>
    <w:rsid w:val="37B8F821"/>
    <w:rsid w:val="37C22A3A"/>
    <w:rsid w:val="37F1AEF1"/>
    <w:rsid w:val="382DFEE8"/>
    <w:rsid w:val="3850121D"/>
    <w:rsid w:val="386013E9"/>
    <w:rsid w:val="38671563"/>
    <w:rsid w:val="386F8BD1"/>
    <w:rsid w:val="389A3CBE"/>
    <w:rsid w:val="38BFB8E4"/>
    <w:rsid w:val="38C6FF42"/>
    <w:rsid w:val="38CC475A"/>
    <w:rsid w:val="38DE48AE"/>
    <w:rsid w:val="38FB00D1"/>
    <w:rsid w:val="390888F1"/>
    <w:rsid w:val="399291C7"/>
    <w:rsid w:val="3997D4E0"/>
    <w:rsid w:val="39C66AB2"/>
    <w:rsid w:val="39D4E0EC"/>
    <w:rsid w:val="3A0FAB4C"/>
    <w:rsid w:val="3A123B9D"/>
    <w:rsid w:val="3A2FCBC2"/>
    <w:rsid w:val="3A32AA54"/>
    <w:rsid w:val="3A403C6D"/>
    <w:rsid w:val="3A57D903"/>
    <w:rsid w:val="3AB58260"/>
    <w:rsid w:val="3AEE5E27"/>
    <w:rsid w:val="3AF41C55"/>
    <w:rsid w:val="3AFD404D"/>
    <w:rsid w:val="3AFFFEAD"/>
    <w:rsid w:val="3B2F1EB2"/>
    <w:rsid w:val="3B451F26"/>
    <w:rsid w:val="3B7F0AB3"/>
    <w:rsid w:val="3BB63226"/>
    <w:rsid w:val="3BBA850B"/>
    <w:rsid w:val="3BC0D9CD"/>
    <w:rsid w:val="3BDB4A67"/>
    <w:rsid w:val="3BEC4A23"/>
    <w:rsid w:val="3C1A81DF"/>
    <w:rsid w:val="3C310F93"/>
    <w:rsid w:val="3C387499"/>
    <w:rsid w:val="3C81119C"/>
    <w:rsid w:val="3CEC0E50"/>
    <w:rsid w:val="3CED26EE"/>
    <w:rsid w:val="3D0644A3"/>
    <w:rsid w:val="3D392875"/>
    <w:rsid w:val="3D4F8899"/>
    <w:rsid w:val="3D68A0A4"/>
    <w:rsid w:val="3DBB24C3"/>
    <w:rsid w:val="3DC2E2CC"/>
    <w:rsid w:val="3DCBD8E1"/>
    <w:rsid w:val="3DD73633"/>
    <w:rsid w:val="3E5E29A3"/>
    <w:rsid w:val="3E8CFB22"/>
    <w:rsid w:val="3EE48452"/>
    <w:rsid w:val="3F168CBD"/>
    <w:rsid w:val="3F2CC069"/>
    <w:rsid w:val="3F48DE5A"/>
    <w:rsid w:val="3F51DA05"/>
    <w:rsid w:val="3F5BB7A0"/>
    <w:rsid w:val="3F63BD0D"/>
    <w:rsid w:val="3F68F21E"/>
    <w:rsid w:val="3FFACFF4"/>
    <w:rsid w:val="4002712B"/>
    <w:rsid w:val="400929B0"/>
    <w:rsid w:val="40126B1F"/>
    <w:rsid w:val="4056437B"/>
    <w:rsid w:val="406376B5"/>
    <w:rsid w:val="4070EAFB"/>
    <w:rsid w:val="409A1995"/>
    <w:rsid w:val="40A00613"/>
    <w:rsid w:val="40EEAD7A"/>
    <w:rsid w:val="4106A792"/>
    <w:rsid w:val="4116504E"/>
    <w:rsid w:val="4137C920"/>
    <w:rsid w:val="414B77D3"/>
    <w:rsid w:val="416E082F"/>
    <w:rsid w:val="418F168B"/>
    <w:rsid w:val="41A7B262"/>
    <w:rsid w:val="41B5A840"/>
    <w:rsid w:val="41BB3337"/>
    <w:rsid w:val="41D408CF"/>
    <w:rsid w:val="41F9D6E7"/>
    <w:rsid w:val="42097B43"/>
    <w:rsid w:val="4232B5D6"/>
    <w:rsid w:val="424BFE80"/>
    <w:rsid w:val="427509F1"/>
    <w:rsid w:val="42757197"/>
    <w:rsid w:val="427CB8A6"/>
    <w:rsid w:val="4291B584"/>
    <w:rsid w:val="429371B7"/>
    <w:rsid w:val="42A9A125"/>
    <w:rsid w:val="42B815DB"/>
    <w:rsid w:val="42BD0617"/>
    <w:rsid w:val="42CC2128"/>
    <w:rsid w:val="430174E0"/>
    <w:rsid w:val="430E0B98"/>
    <w:rsid w:val="4312C01A"/>
    <w:rsid w:val="431E7358"/>
    <w:rsid w:val="432F74C4"/>
    <w:rsid w:val="4349909C"/>
    <w:rsid w:val="4349CEB8"/>
    <w:rsid w:val="43760EDB"/>
    <w:rsid w:val="437DDA96"/>
    <w:rsid w:val="438ACF3B"/>
    <w:rsid w:val="4393CF8A"/>
    <w:rsid w:val="439CC7C8"/>
    <w:rsid w:val="439DC403"/>
    <w:rsid w:val="43B1B237"/>
    <w:rsid w:val="444D79F2"/>
    <w:rsid w:val="4484DD6F"/>
    <w:rsid w:val="44AC7C48"/>
    <w:rsid w:val="44B51D33"/>
    <w:rsid w:val="45351F8F"/>
    <w:rsid w:val="453DF616"/>
    <w:rsid w:val="456B9198"/>
    <w:rsid w:val="45904AA3"/>
    <w:rsid w:val="45C6DBE5"/>
    <w:rsid w:val="45F38037"/>
    <w:rsid w:val="461225A5"/>
    <w:rsid w:val="4621D9F6"/>
    <w:rsid w:val="46563DE3"/>
    <w:rsid w:val="466B34A8"/>
    <w:rsid w:val="46718A78"/>
    <w:rsid w:val="4677518F"/>
    <w:rsid w:val="4681BAAA"/>
    <w:rsid w:val="4683E78C"/>
    <w:rsid w:val="468F37E5"/>
    <w:rsid w:val="469736D6"/>
    <w:rsid w:val="46BE931F"/>
    <w:rsid w:val="46E6B64A"/>
    <w:rsid w:val="47301576"/>
    <w:rsid w:val="47400634"/>
    <w:rsid w:val="4754676D"/>
    <w:rsid w:val="476FAD06"/>
    <w:rsid w:val="4795B823"/>
    <w:rsid w:val="4797463C"/>
    <w:rsid w:val="47A290A2"/>
    <w:rsid w:val="47EEC75E"/>
    <w:rsid w:val="482B466B"/>
    <w:rsid w:val="4833032C"/>
    <w:rsid w:val="484B29DA"/>
    <w:rsid w:val="484CD03A"/>
    <w:rsid w:val="48663C0D"/>
    <w:rsid w:val="487479D4"/>
    <w:rsid w:val="4883A876"/>
    <w:rsid w:val="48A56334"/>
    <w:rsid w:val="490527DA"/>
    <w:rsid w:val="491C8C0C"/>
    <w:rsid w:val="491F94DE"/>
    <w:rsid w:val="4921FCFF"/>
    <w:rsid w:val="497216A6"/>
    <w:rsid w:val="49A4F654"/>
    <w:rsid w:val="49A72BB2"/>
    <w:rsid w:val="49A8D90B"/>
    <w:rsid w:val="49A933E3"/>
    <w:rsid w:val="49AA9F49"/>
    <w:rsid w:val="49FE9660"/>
    <w:rsid w:val="4A03D153"/>
    <w:rsid w:val="4A088425"/>
    <w:rsid w:val="4A099707"/>
    <w:rsid w:val="4A3D5297"/>
    <w:rsid w:val="4A48DB6F"/>
    <w:rsid w:val="4A64A4BE"/>
    <w:rsid w:val="4AFA49F8"/>
    <w:rsid w:val="4B3F77AF"/>
    <w:rsid w:val="4B80CE79"/>
    <w:rsid w:val="4BB8A463"/>
    <w:rsid w:val="4BC2C049"/>
    <w:rsid w:val="4BC55C72"/>
    <w:rsid w:val="4C0612A5"/>
    <w:rsid w:val="4C1C7A8B"/>
    <w:rsid w:val="4C1FE810"/>
    <w:rsid w:val="4C3B1EDA"/>
    <w:rsid w:val="4C7A4008"/>
    <w:rsid w:val="4C7E2624"/>
    <w:rsid w:val="4C9C99C0"/>
    <w:rsid w:val="4CCCB1B7"/>
    <w:rsid w:val="4CE37937"/>
    <w:rsid w:val="4CE9929D"/>
    <w:rsid w:val="4CFBCD0A"/>
    <w:rsid w:val="4D0C56C8"/>
    <w:rsid w:val="4D387197"/>
    <w:rsid w:val="4D64E84B"/>
    <w:rsid w:val="4D692316"/>
    <w:rsid w:val="4D714BDF"/>
    <w:rsid w:val="4D8E2351"/>
    <w:rsid w:val="4DACC327"/>
    <w:rsid w:val="4DC3D223"/>
    <w:rsid w:val="4DC7997E"/>
    <w:rsid w:val="4DCDE532"/>
    <w:rsid w:val="4DD7FB66"/>
    <w:rsid w:val="4DD9422A"/>
    <w:rsid w:val="4DDA91F0"/>
    <w:rsid w:val="4DE90B60"/>
    <w:rsid w:val="4E13FEE4"/>
    <w:rsid w:val="4E147E3F"/>
    <w:rsid w:val="4E4345A0"/>
    <w:rsid w:val="4E479E27"/>
    <w:rsid w:val="4E651F59"/>
    <w:rsid w:val="4E6EAB0C"/>
    <w:rsid w:val="4EA8D531"/>
    <w:rsid w:val="4EC2FD04"/>
    <w:rsid w:val="4EF1E080"/>
    <w:rsid w:val="4F0F728B"/>
    <w:rsid w:val="4F4963DB"/>
    <w:rsid w:val="4F533B9C"/>
    <w:rsid w:val="4F61EBCA"/>
    <w:rsid w:val="4F6AAF6D"/>
    <w:rsid w:val="4F81E985"/>
    <w:rsid w:val="4F9B4B3C"/>
    <w:rsid w:val="502FB226"/>
    <w:rsid w:val="5086D032"/>
    <w:rsid w:val="50C62EA2"/>
    <w:rsid w:val="50CBD88D"/>
    <w:rsid w:val="50DDF88E"/>
    <w:rsid w:val="515600AC"/>
    <w:rsid w:val="516DED29"/>
    <w:rsid w:val="517D1A3E"/>
    <w:rsid w:val="51A6BE70"/>
    <w:rsid w:val="51BA1D36"/>
    <w:rsid w:val="51E5F327"/>
    <w:rsid w:val="51EDBD09"/>
    <w:rsid w:val="5226E069"/>
    <w:rsid w:val="524C546B"/>
    <w:rsid w:val="528A8AF0"/>
    <w:rsid w:val="52A76BC6"/>
    <w:rsid w:val="52EEF35C"/>
    <w:rsid w:val="52F63B49"/>
    <w:rsid w:val="532FFEE2"/>
    <w:rsid w:val="533EC087"/>
    <w:rsid w:val="538CD2B0"/>
    <w:rsid w:val="539DBDA5"/>
    <w:rsid w:val="53BF3F56"/>
    <w:rsid w:val="53C1D329"/>
    <w:rsid w:val="53F5A8C0"/>
    <w:rsid w:val="54397F5D"/>
    <w:rsid w:val="545CD99B"/>
    <w:rsid w:val="546E76E9"/>
    <w:rsid w:val="54BEB63A"/>
    <w:rsid w:val="54DC4526"/>
    <w:rsid w:val="54E51298"/>
    <w:rsid w:val="54E61FE3"/>
    <w:rsid w:val="54ED9D02"/>
    <w:rsid w:val="54F64E86"/>
    <w:rsid w:val="5510C282"/>
    <w:rsid w:val="553EF2EB"/>
    <w:rsid w:val="55647745"/>
    <w:rsid w:val="55823C7D"/>
    <w:rsid w:val="55829557"/>
    <w:rsid w:val="55A94E03"/>
    <w:rsid w:val="55B08579"/>
    <w:rsid w:val="55BB347D"/>
    <w:rsid w:val="55E3A3C4"/>
    <w:rsid w:val="561B01FC"/>
    <w:rsid w:val="561C13B5"/>
    <w:rsid w:val="563E917F"/>
    <w:rsid w:val="56758196"/>
    <w:rsid w:val="5686B2AF"/>
    <w:rsid w:val="56A2560D"/>
    <w:rsid w:val="56A5BAA4"/>
    <w:rsid w:val="56D3F85B"/>
    <w:rsid w:val="56D931DF"/>
    <w:rsid w:val="572C4D63"/>
    <w:rsid w:val="579911AC"/>
    <w:rsid w:val="579F678F"/>
    <w:rsid w:val="57A75AE4"/>
    <w:rsid w:val="57C90B2B"/>
    <w:rsid w:val="57E8AB4F"/>
    <w:rsid w:val="57F23977"/>
    <w:rsid w:val="581A0387"/>
    <w:rsid w:val="58210737"/>
    <w:rsid w:val="58693C02"/>
    <w:rsid w:val="5874E7DF"/>
    <w:rsid w:val="5877E6ED"/>
    <w:rsid w:val="5893E93C"/>
    <w:rsid w:val="58AC4DC4"/>
    <w:rsid w:val="58CF64E2"/>
    <w:rsid w:val="593DAC7C"/>
    <w:rsid w:val="59480211"/>
    <w:rsid w:val="5951F624"/>
    <w:rsid w:val="596A0344"/>
    <w:rsid w:val="599D2541"/>
    <w:rsid w:val="59D3E6E5"/>
    <w:rsid w:val="59DB8F64"/>
    <w:rsid w:val="5A4C39EB"/>
    <w:rsid w:val="5A920790"/>
    <w:rsid w:val="5A98E634"/>
    <w:rsid w:val="5AC4A63E"/>
    <w:rsid w:val="5B41530F"/>
    <w:rsid w:val="5B49DF71"/>
    <w:rsid w:val="5B4EBD6E"/>
    <w:rsid w:val="5B5787E9"/>
    <w:rsid w:val="5B79E8D9"/>
    <w:rsid w:val="5B7FCF1A"/>
    <w:rsid w:val="5B8660D9"/>
    <w:rsid w:val="5B9AA288"/>
    <w:rsid w:val="5BCC7666"/>
    <w:rsid w:val="5BE5E008"/>
    <w:rsid w:val="5C0B9045"/>
    <w:rsid w:val="5C1A88D0"/>
    <w:rsid w:val="5C395DFF"/>
    <w:rsid w:val="5C3CD14E"/>
    <w:rsid w:val="5CB3F171"/>
    <w:rsid w:val="5CC496AC"/>
    <w:rsid w:val="5D2A9500"/>
    <w:rsid w:val="5D2F5E0D"/>
    <w:rsid w:val="5D481C38"/>
    <w:rsid w:val="5D6CC2B1"/>
    <w:rsid w:val="5D6F8A84"/>
    <w:rsid w:val="5D77B814"/>
    <w:rsid w:val="5D78E715"/>
    <w:rsid w:val="5D849341"/>
    <w:rsid w:val="5D852250"/>
    <w:rsid w:val="5DDA4B71"/>
    <w:rsid w:val="5DFCCBFA"/>
    <w:rsid w:val="5E060647"/>
    <w:rsid w:val="5E06AEC9"/>
    <w:rsid w:val="5E1DDF9C"/>
    <w:rsid w:val="5E239E14"/>
    <w:rsid w:val="5E299B14"/>
    <w:rsid w:val="5E3D8B04"/>
    <w:rsid w:val="5E626F7A"/>
    <w:rsid w:val="5EB33817"/>
    <w:rsid w:val="5EE07694"/>
    <w:rsid w:val="5EF31BC5"/>
    <w:rsid w:val="5F000636"/>
    <w:rsid w:val="5F0FE2C8"/>
    <w:rsid w:val="5F44F298"/>
    <w:rsid w:val="5FE120CD"/>
    <w:rsid w:val="5FE5E813"/>
    <w:rsid w:val="5FF54CED"/>
    <w:rsid w:val="60166580"/>
    <w:rsid w:val="6037DBC0"/>
    <w:rsid w:val="605E9D67"/>
    <w:rsid w:val="60672378"/>
    <w:rsid w:val="6073FE85"/>
    <w:rsid w:val="6084E898"/>
    <w:rsid w:val="60851260"/>
    <w:rsid w:val="60857387"/>
    <w:rsid w:val="60B48CEA"/>
    <w:rsid w:val="60FE5172"/>
    <w:rsid w:val="6107435E"/>
    <w:rsid w:val="613071A5"/>
    <w:rsid w:val="6137812A"/>
    <w:rsid w:val="6198639B"/>
    <w:rsid w:val="61BEC6FA"/>
    <w:rsid w:val="622487A4"/>
    <w:rsid w:val="62374BC6"/>
    <w:rsid w:val="625861DF"/>
    <w:rsid w:val="628C5D06"/>
    <w:rsid w:val="62979452"/>
    <w:rsid w:val="62CB7394"/>
    <w:rsid w:val="62EA09D7"/>
    <w:rsid w:val="630339A3"/>
    <w:rsid w:val="63491953"/>
    <w:rsid w:val="6372558E"/>
    <w:rsid w:val="63A1E98C"/>
    <w:rsid w:val="63BCD4B5"/>
    <w:rsid w:val="63F4FEF9"/>
    <w:rsid w:val="641DBA90"/>
    <w:rsid w:val="642F88FD"/>
    <w:rsid w:val="64360F6D"/>
    <w:rsid w:val="64493F65"/>
    <w:rsid w:val="64578898"/>
    <w:rsid w:val="6473DF11"/>
    <w:rsid w:val="6478DDEF"/>
    <w:rsid w:val="647E79E7"/>
    <w:rsid w:val="6489257A"/>
    <w:rsid w:val="649359CB"/>
    <w:rsid w:val="64B49974"/>
    <w:rsid w:val="64E53CBD"/>
    <w:rsid w:val="6584A73F"/>
    <w:rsid w:val="659567F4"/>
    <w:rsid w:val="65D12261"/>
    <w:rsid w:val="65EF42D4"/>
    <w:rsid w:val="66081CD3"/>
    <w:rsid w:val="6646BF89"/>
    <w:rsid w:val="66482E18"/>
    <w:rsid w:val="664ACEB5"/>
    <w:rsid w:val="667EA79F"/>
    <w:rsid w:val="66A03409"/>
    <w:rsid w:val="66C9F448"/>
    <w:rsid w:val="66ED5912"/>
    <w:rsid w:val="6714794A"/>
    <w:rsid w:val="673D59B8"/>
    <w:rsid w:val="675D5BE3"/>
    <w:rsid w:val="6768BC6E"/>
    <w:rsid w:val="676CC40F"/>
    <w:rsid w:val="67FBA6CE"/>
    <w:rsid w:val="68D69293"/>
    <w:rsid w:val="692615FC"/>
    <w:rsid w:val="692AD808"/>
    <w:rsid w:val="694F8E24"/>
    <w:rsid w:val="696652D9"/>
    <w:rsid w:val="69672F99"/>
    <w:rsid w:val="6979DD45"/>
    <w:rsid w:val="69ABD5C0"/>
    <w:rsid w:val="69B11932"/>
    <w:rsid w:val="69BAF6B1"/>
    <w:rsid w:val="69BE7F3A"/>
    <w:rsid w:val="69F19296"/>
    <w:rsid w:val="6A236AC6"/>
    <w:rsid w:val="6A3B97CC"/>
    <w:rsid w:val="6A60361E"/>
    <w:rsid w:val="6A743338"/>
    <w:rsid w:val="6A874362"/>
    <w:rsid w:val="6ABEE4AB"/>
    <w:rsid w:val="6ACAF7CD"/>
    <w:rsid w:val="6ADB1923"/>
    <w:rsid w:val="6B0A6786"/>
    <w:rsid w:val="6B0BE316"/>
    <w:rsid w:val="6B3054B4"/>
    <w:rsid w:val="6B381307"/>
    <w:rsid w:val="6B5C8BAC"/>
    <w:rsid w:val="6B76CADB"/>
    <w:rsid w:val="6BB7CE0C"/>
    <w:rsid w:val="6BC2DB3F"/>
    <w:rsid w:val="6BD70ED5"/>
    <w:rsid w:val="6BDEE657"/>
    <w:rsid w:val="6BFBAD18"/>
    <w:rsid w:val="6BFEA8D2"/>
    <w:rsid w:val="6C1E7BDC"/>
    <w:rsid w:val="6C348336"/>
    <w:rsid w:val="6C510597"/>
    <w:rsid w:val="6C56F5D9"/>
    <w:rsid w:val="6C57CDD5"/>
    <w:rsid w:val="6C9798B2"/>
    <w:rsid w:val="6CA888C0"/>
    <w:rsid w:val="6CC9FFEB"/>
    <w:rsid w:val="6D0A0FDF"/>
    <w:rsid w:val="6D176D94"/>
    <w:rsid w:val="6D2DD6BC"/>
    <w:rsid w:val="6D3884E6"/>
    <w:rsid w:val="6D556D14"/>
    <w:rsid w:val="6D8D9BD4"/>
    <w:rsid w:val="6DAF119D"/>
    <w:rsid w:val="6DB11E92"/>
    <w:rsid w:val="6DC3250F"/>
    <w:rsid w:val="6DD3AD4A"/>
    <w:rsid w:val="6DE1DD56"/>
    <w:rsid w:val="6DE2FBB4"/>
    <w:rsid w:val="6DF22A61"/>
    <w:rsid w:val="6DFFB30A"/>
    <w:rsid w:val="6E069263"/>
    <w:rsid w:val="6E344BFD"/>
    <w:rsid w:val="6E440E39"/>
    <w:rsid w:val="6E48535E"/>
    <w:rsid w:val="6E510520"/>
    <w:rsid w:val="6E663716"/>
    <w:rsid w:val="6E937720"/>
    <w:rsid w:val="6EBEB857"/>
    <w:rsid w:val="6EED8F16"/>
    <w:rsid w:val="6F0C5F1D"/>
    <w:rsid w:val="6F2F4A9D"/>
    <w:rsid w:val="6F93C73F"/>
    <w:rsid w:val="6F9C13CC"/>
    <w:rsid w:val="6FC230AD"/>
    <w:rsid w:val="6FD8DF72"/>
    <w:rsid w:val="6FE6DAC8"/>
    <w:rsid w:val="6FF6AF98"/>
    <w:rsid w:val="7075489D"/>
    <w:rsid w:val="70928C18"/>
    <w:rsid w:val="70C07FDD"/>
    <w:rsid w:val="70F837C4"/>
    <w:rsid w:val="7101BCE5"/>
    <w:rsid w:val="71166DC2"/>
    <w:rsid w:val="711BB485"/>
    <w:rsid w:val="71237DF1"/>
    <w:rsid w:val="7125BF02"/>
    <w:rsid w:val="7133DF81"/>
    <w:rsid w:val="714107E7"/>
    <w:rsid w:val="71546BF1"/>
    <w:rsid w:val="7163D73F"/>
    <w:rsid w:val="7177CB60"/>
    <w:rsid w:val="718AC4D7"/>
    <w:rsid w:val="71A3B4BD"/>
    <w:rsid w:val="71CCBABA"/>
    <w:rsid w:val="71DC8F4E"/>
    <w:rsid w:val="71FE14AE"/>
    <w:rsid w:val="7217F7E5"/>
    <w:rsid w:val="7237DBDA"/>
    <w:rsid w:val="723E0DBD"/>
    <w:rsid w:val="72AAEC20"/>
    <w:rsid w:val="72ADF95A"/>
    <w:rsid w:val="72C944C6"/>
    <w:rsid w:val="72E2FD2E"/>
    <w:rsid w:val="72E545F6"/>
    <w:rsid w:val="72F48C01"/>
    <w:rsid w:val="7315CE85"/>
    <w:rsid w:val="73176139"/>
    <w:rsid w:val="736FE710"/>
    <w:rsid w:val="73779F1C"/>
    <w:rsid w:val="737DFBEF"/>
    <w:rsid w:val="739E9829"/>
    <w:rsid w:val="73AA0A8E"/>
    <w:rsid w:val="73F68018"/>
    <w:rsid w:val="7422B9BC"/>
    <w:rsid w:val="743B0A50"/>
    <w:rsid w:val="743C7BBC"/>
    <w:rsid w:val="744FC202"/>
    <w:rsid w:val="745FB16F"/>
    <w:rsid w:val="747620A4"/>
    <w:rsid w:val="748AE88F"/>
    <w:rsid w:val="74AFBF3E"/>
    <w:rsid w:val="74DC4C1D"/>
    <w:rsid w:val="75319B28"/>
    <w:rsid w:val="75342DAF"/>
    <w:rsid w:val="75409AE4"/>
    <w:rsid w:val="7566AB27"/>
    <w:rsid w:val="75698598"/>
    <w:rsid w:val="757217E3"/>
    <w:rsid w:val="7577B83A"/>
    <w:rsid w:val="759A5F72"/>
    <w:rsid w:val="75C4CD06"/>
    <w:rsid w:val="75DDCFCD"/>
    <w:rsid w:val="75EFFEBF"/>
    <w:rsid w:val="7653A0D9"/>
    <w:rsid w:val="76D6CBB0"/>
    <w:rsid w:val="76DFA136"/>
    <w:rsid w:val="76E43E97"/>
    <w:rsid w:val="7722FEA7"/>
    <w:rsid w:val="772C5AB2"/>
    <w:rsid w:val="7735632F"/>
    <w:rsid w:val="776C6548"/>
    <w:rsid w:val="7773DBAB"/>
    <w:rsid w:val="77969F9D"/>
    <w:rsid w:val="779E3CC4"/>
    <w:rsid w:val="77D30EE7"/>
    <w:rsid w:val="77D465B1"/>
    <w:rsid w:val="77DCBF52"/>
    <w:rsid w:val="77F3B6CB"/>
    <w:rsid w:val="7822088D"/>
    <w:rsid w:val="78485B14"/>
    <w:rsid w:val="784CD4FE"/>
    <w:rsid w:val="7860C28F"/>
    <w:rsid w:val="788339AF"/>
    <w:rsid w:val="78C1F4BA"/>
    <w:rsid w:val="78CF1C6B"/>
    <w:rsid w:val="78D5AD52"/>
    <w:rsid w:val="78DB5505"/>
    <w:rsid w:val="78E61AA8"/>
    <w:rsid w:val="78F40AE4"/>
    <w:rsid w:val="79082452"/>
    <w:rsid w:val="79138EF5"/>
    <w:rsid w:val="79258DEF"/>
    <w:rsid w:val="7929CDCE"/>
    <w:rsid w:val="793609A2"/>
    <w:rsid w:val="796ABC7D"/>
    <w:rsid w:val="798A5F38"/>
    <w:rsid w:val="79CD18F2"/>
    <w:rsid w:val="7A4BDD13"/>
    <w:rsid w:val="7A641DA5"/>
    <w:rsid w:val="7A921A93"/>
    <w:rsid w:val="7AAE4900"/>
    <w:rsid w:val="7AB9D7EC"/>
    <w:rsid w:val="7AC18834"/>
    <w:rsid w:val="7ACE3A1A"/>
    <w:rsid w:val="7AD18801"/>
    <w:rsid w:val="7AEC830A"/>
    <w:rsid w:val="7AF170A0"/>
    <w:rsid w:val="7AFC8A3B"/>
    <w:rsid w:val="7B286C15"/>
    <w:rsid w:val="7B4102FB"/>
    <w:rsid w:val="7B4FFBBE"/>
    <w:rsid w:val="7BB4A699"/>
    <w:rsid w:val="7BCBD024"/>
    <w:rsid w:val="7BCE1EF5"/>
    <w:rsid w:val="7BD3D1D2"/>
    <w:rsid w:val="7C198F35"/>
    <w:rsid w:val="7C2678FD"/>
    <w:rsid w:val="7C2AE588"/>
    <w:rsid w:val="7C34B1F5"/>
    <w:rsid w:val="7C38AD6A"/>
    <w:rsid w:val="7C4873A6"/>
    <w:rsid w:val="7C700185"/>
    <w:rsid w:val="7C82849A"/>
    <w:rsid w:val="7CDBF254"/>
    <w:rsid w:val="7CE3307D"/>
    <w:rsid w:val="7D2CDB3A"/>
    <w:rsid w:val="7D3A0423"/>
    <w:rsid w:val="7D58081A"/>
    <w:rsid w:val="7D5DDA71"/>
    <w:rsid w:val="7D605205"/>
    <w:rsid w:val="7D96CD70"/>
    <w:rsid w:val="7E0452BE"/>
    <w:rsid w:val="7E15AA9A"/>
    <w:rsid w:val="7E3C0309"/>
    <w:rsid w:val="7E434B0B"/>
    <w:rsid w:val="7E559B2B"/>
    <w:rsid w:val="7E6634C9"/>
    <w:rsid w:val="7E667EEC"/>
    <w:rsid w:val="7EAE58F5"/>
    <w:rsid w:val="7EB163AA"/>
    <w:rsid w:val="7EC25CFE"/>
    <w:rsid w:val="7ECEF229"/>
    <w:rsid w:val="7EDA2BA7"/>
    <w:rsid w:val="7EF7E88E"/>
    <w:rsid w:val="7F010EED"/>
    <w:rsid w:val="7F02E843"/>
    <w:rsid w:val="7F3AC38B"/>
    <w:rsid w:val="7F3C2D99"/>
    <w:rsid w:val="7F410CB8"/>
    <w:rsid w:val="7F6AB49E"/>
    <w:rsid w:val="7F9AFDA4"/>
    <w:rsid w:val="7FBAC172"/>
    <w:rsid w:val="7FD0E914"/>
    <w:rsid w:val="7FD2452C"/>
    <w:rsid w:val="7FDC66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660B9"/>
  <w15:chartTrackingRefBased/>
  <w15:docId w15:val="{8BE85F16-6D89-4997-85E1-C7C10904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424608"/>
    <w:pPr>
      <w:keepNext/>
      <w:keepLines/>
      <w:numPr>
        <w:numId w:val="7"/>
      </w:numPr>
      <w:spacing w:before="300" w:after="360" w:line="440" w:lineRule="exact"/>
      <w:outlineLvl w:val="0"/>
    </w:pPr>
    <w:rPr>
      <w:rFonts w:eastAsia="Times New Roman" w:cs="Arial"/>
      <w:b/>
      <w:bCs/>
      <w:color w:val="44546A" w:themeColor="text2"/>
      <w:kern w:val="32"/>
      <w:sz w:val="40"/>
      <w:szCs w:val="32"/>
      <w:lang w:eastAsia="en-AU"/>
    </w:rPr>
  </w:style>
  <w:style w:type="paragraph" w:styleId="Heading2">
    <w:name w:val="heading 2"/>
    <w:basedOn w:val="Normal"/>
    <w:next w:val="BodyText"/>
    <w:link w:val="Heading2Char"/>
    <w:qFormat/>
    <w:rsid w:val="00424608"/>
    <w:pPr>
      <w:keepNext/>
      <w:keepLines/>
      <w:numPr>
        <w:ilvl w:val="1"/>
        <w:numId w:val="7"/>
      </w:numPr>
      <w:tabs>
        <w:tab w:val="left" w:pos="1418"/>
        <w:tab w:val="left" w:pos="1701"/>
        <w:tab w:val="left" w:pos="1985"/>
      </w:tabs>
      <w:spacing w:before="240" w:after="100" w:line="260" w:lineRule="exact"/>
      <w:outlineLvl w:val="1"/>
    </w:pPr>
    <w:rPr>
      <w:rFonts w:eastAsia="Times New Roman" w:cs="Arial"/>
      <w:b/>
      <w:bCs/>
      <w:iCs/>
      <w:color w:val="44546A" w:themeColor="text2"/>
      <w:kern w:val="20"/>
      <w:szCs w:val="28"/>
      <w:lang w:eastAsia="en-AU"/>
    </w:rPr>
  </w:style>
  <w:style w:type="paragraph" w:styleId="Heading3">
    <w:name w:val="heading 3"/>
    <w:basedOn w:val="Normal"/>
    <w:next w:val="BodyText"/>
    <w:link w:val="Heading3Char"/>
    <w:qFormat/>
    <w:rsid w:val="00424608"/>
    <w:pPr>
      <w:keepNext/>
      <w:keepLines/>
      <w:numPr>
        <w:ilvl w:val="2"/>
        <w:numId w:val="7"/>
      </w:numPr>
      <w:tabs>
        <w:tab w:val="left" w:pos="1418"/>
        <w:tab w:val="left" w:pos="1701"/>
        <w:tab w:val="left" w:pos="1985"/>
      </w:tabs>
      <w:spacing w:before="200" w:after="100" w:line="240" w:lineRule="exact"/>
      <w:outlineLvl w:val="2"/>
    </w:pPr>
    <w:rPr>
      <w:rFonts w:eastAsia="Times New Roman" w:cs="Arial"/>
      <w:b/>
      <w:color w:val="494847"/>
      <w:sz w:val="20"/>
      <w:szCs w:val="20"/>
      <w:lang w:eastAsia="en-AU"/>
    </w:rPr>
  </w:style>
  <w:style w:type="paragraph" w:styleId="Heading4">
    <w:name w:val="heading 4"/>
    <w:basedOn w:val="Normal"/>
    <w:next w:val="BodyText"/>
    <w:link w:val="Heading4Char"/>
    <w:qFormat/>
    <w:rsid w:val="00424608"/>
    <w:pPr>
      <w:keepNext/>
      <w:keepLines/>
      <w:tabs>
        <w:tab w:val="left" w:pos="1418"/>
        <w:tab w:val="left" w:pos="1701"/>
        <w:tab w:val="left" w:pos="1985"/>
      </w:tabs>
      <w:spacing w:before="200" w:after="100" w:line="240" w:lineRule="atLeast"/>
      <w:outlineLvl w:val="3"/>
    </w:pPr>
    <w:rPr>
      <w:rFonts w:asciiTheme="majorHAnsi" w:eastAsiaTheme="majorEastAsia" w:hAnsiTheme="majorHAnsi" w:cstheme="majorBidi"/>
      <w:b/>
      <w:bCs/>
      <w:i/>
      <w:iCs/>
      <w:color w:val="494847"/>
      <w:sz w:val="20"/>
      <w:szCs w:val="20"/>
      <w:lang w:eastAsia="en-AU"/>
    </w:rPr>
  </w:style>
  <w:style w:type="paragraph" w:styleId="Heading5">
    <w:name w:val="heading 5"/>
    <w:basedOn w:val="Normal"/>
    <w:next w:val="BodyText"/>
    <w:link w:val="Heading5Char"/>
    <w:qFormat/>
    <w:rsid w:val="00424608"/>
    <w:pPr>
      <w:keepNext/>
      <w:keepLines/>
      <w:spacing w:before="200" w:after="100" w:line="240" w:lineRule="atLeast"/>
      <w:outlineLvl w:val="4"/>
    </w:pPr>
    <w:rPr>
      <w:rFonts w:asciiTheme="majorHAnsi" w:eastAsiaTheme="majorEastAsia" w:hAnsiTheme="majorHAnsi" w:cstheme="majorBidi"/>
      <w:i/>
      <w:color w:val="494847"/>
      <w:sz w:val="20"/>
      <w:szCs w:val="20"/>
      <w:lang w:eastAsia="en-AU"/>
    </w:rPr>
  </w:style>
  <w:style w:type="paragraph" w:styleId="Heading6">
    <w:name w:val="heading 6"/>
    <w:basedOn w:val="Normal"/>
    <w:next w:val="BodyText"/>
    <w:link w:val="Heading6Char"/>
    <w:semiHidden/>
    <w:qFormat/>
    <w:rsid w:val="00424608"/>
    <w:pPr>
      <w:keepNext/>
      <w:keepLines/>
      <w:spacing w:before="100" w:after="100" w:line="240" w:lineRule="atLeast"/>
      <w:outlineLvl w:val="5"/>
    </w:pPr>
    <w:rPr>
      <w:rFonts w:asciiTheme="majorHAnsi" w:eastAsiaTheme="majorEastAsia" w:hAnsiTheme="majorHAnsi" w:cstheme="majorBidi"/>
      <w:i/>
      <w:iCs/>
      <w:color w:val="44546A" w:themeColor="text2"/>
      <w:sz w:val="20"/>
      <w:szCs w:val="20"/>
      <w:lang w:eastAsia="en-AU"/>
    </w:rPr>
  </w:style>
  <w:style w:type="paragraph" w:styleId="Heading7">
    <w:name w:val="heading 7"/>
    <w:basedOn w:val="Normal"/>
    <w:next w:val="Normal"/>
    <w:link w:val="Heading7Char"/>
    <w:semiHidden/>
    <w:rsid w:val="00424608"/>
    <w:pPr>
      <w:keepNext/>
      <w:keepLines/>
      <w:spacing w:before="2820" w:after="180" w:line="240" w:lineRule="atLeast"/>
      <w:outlineLvl w:val="6"/>
    </w:pPr>
    <w:rPr>
      <w:rFonts w:asciiTheme="majorHAnsi" w:eastAsiaTheme="majorEastAsia" w:hAnsiTheme="majorHAnsi" w:cstheme="majorBidi"/>
      <w:b/>
      <w:iCs/>
      <w:color w:val="FFFFFF"/>
      <w:sz w:val="20"/>
      <w:szCs w:val="20"/>
      <w:lang w:eastAsia="en-AU"/>
    </w:rPr>
  </w:style>
  <w:style w:type="paragraph" w:styleId="Heading8">
    <w:name w:val="heading 8"/>
    <w:aliases w:val="Appendix Title"/>
    <w:basedOn w:val="Normal"/>
    <w:next w:val="BodyText"/>
    <w:link w:val="Heading8Char"/>
    <w:uiPriority w:val="1"/>
    <w:semiHidden/>
    <w:rsid w:val="00424608"/>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44546A" w:themeColor="text2"/>
      <w:sz w:val="40"/>
      <w:szCs w:val="20"/>
      <w:lang w:eastAsia="en-AU"/>
    </w:rPr>
  </w:style>
  <w:style w:type="paragraph" w:styleId="Heading9">
    <w:name w:val="heading 9"/>
    <w:aliases w:val="Appendix Heading 1"/>
    <w:basedOn w:val="Normal"/>
    <w:next w:val="BodyText"/>
    <w:link w:val="Heading9Char"/>
    <w:uiPriority w:val="1"/>
    <w:semiHidden/>
    <w:rsid w:val="00424608"/>
    <w:pPr>
      <w:keepNext/>
      <w:keepLines/>
      <w:tabs>
        <w:tab w:val="left" w:pos="1559"/>
        <w:tab w:val="left" w:pos="1843"/>
        <w:tab w:val="left" w:pos="2126"/>
        <w:tab w:val="left" w:pos="2410"/>
      </w:tabs>
      <w:spacing w:before="100" w:after="100" w:line="280" w:lineRule="exact"/>
      <w:outlineLvl w:val="8"/>
    </w:pPr>
    <w:rPr>
      <w:rFonts w:eastAsia="Times New Roman" w:cs="Arial"/>
      <w:b/>
      <w:color w:val="44546A" w:themeColor="text2"/>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608"/>
    <w:rPr>
      <w:rFonts w:eastAsia="Times New Roman" w:cs="Arial"/>
      <w:b/>
      <w:bCs/>
      <w:color w:val="44546A" w:themeColor="text2"/>
      <w:kern w:val="32"/>
      <w:sz w:val="40"/>
      <w:szCs w:val="32"/>
      <w:lang w:eastAsia="en-AU"/>
    </w:rPr>
  </w:style>
  <w:style w:type="character" w:customStyle="1" w:styleId="Heading2Char">
    <w:name w:val="Heading 2 Char"/>
    <w:basedOn w:val="DefaultParagraphFont"/>
    <w:link w:val="Heading2"/>
    <w:rsid w:val="00424608"/>
    <w:rPr>
      <w:rFonts w:eastAsia="Times New Roman" w:cs="Arial"/>
      <w:b/>
      <w:bCs/>
      <w:iCs/>
      <w:color w:val="44546A" w:themeColor="text2"/>
      <w:kern w:val="20"/>
      <w:szCs w:val="28"/>
      <w:lang w:eastAsia="en-AU"/>
    </w:rPr>
  </w:style>
  <w:style w:type="character" w:customStyle="1" w:styleId="Heading3Char">
    <w:name w:val="Heading 3 Char"/>
    <w:basedOn w:val="DefaultParagraphFont"/>
    <w:link w:val="Heading3"/>
    <w:rsid w:val="00424608"/>
    <w:rPr>
      <w:rFonts w:eastAsia="Times New Roman" w:cs="Arial"/>
      <w:b/>
      <w:color w:val="494847"/>
      <w:sz w:val="20"/>
      <w:szCs w:val="20"/>
      <w:lang w:eastAsia="en-AU"/>
    </w:rPr>
  </w:style>
  <w:style w:type="character" w:customStyle="1" w:styleId="Heading4Char">
    <w:name w:val="Heading 4 Char"/>
    <w:basedOn w:val="DefaultParagraphFont"/>
    <w:link w:val="Heading4"/>
    <w:rsid w:val="00424608"/>
    <w:rPr>
      <w:rFonts w:asciiTheme="majorHAnsi" w:eastAsiaTheme="majorEastAsia" w:hAnsiTheme="majorHAnsi" w:cstheme="majorBidi"/>
      <w:b/>
      <w:bCs/>
      <w:i/>
      <w:iCs/>
      <w:color w:val="494847"/>
      <w:sz w:val="20"/>
      <w:szCs w:val="20"/>
      <w:lang w:eastAsia="en-AU"/>
    </w:rPr>
  </w:style>
  <w:style w:type="character" w:customStyle="1" w:styleId="Heading5Char">
    <w:name w:val="Heading 5 Char"/>
    <w:basedOn w:val="DefaultParagraphFont"/>
    <w:link w:val="Heading5"/>
    <w:rsid w:val="00424608"/>
    <w:rPr>
      <w:rFonts w:asciiTheme="majorHAnsi" w:eastAsiaTheme="majorEastAsia" w:hAnsiTheme="majorHAnsi" w:cstheme="majorBidi"/>
      <w:i/>
      <w:color w:val="494847"/>
      <w:sz w:val="20"/>
      <w:szCs w:val="20"/>
      <w:lang w:eastAsia="en-AU"/>
    </w:rPr>
  </w:style>
  <w:style w:type="character" w:customStyle="1" w:styleId="Heading6Char">
    <w:name w:val="Heading 6 Char"/>
    <w:basedOn w:val="DefaultParagraphFont"/>
    <w:link w:val="Heading6"/>
    <w:semiHidden/>
    <w:rsid w:val="00424608"/>
    <w:rPr>
      <w:rFonts w:asciiTheme="majorHAnsi" w:eastAsiaTheme="majorEastAsia" w:hAnsiTheme="majorHAnsi" w:cstheme="majorBidi"/>
      <w:i/>
      <w:iCs/>
      <w:color w:val="44546A" w:themeColor="text2"/>
      <w:sz w:val="20"/>
      <w:szCs w:val="20"/>
      <w:lang w:eastAsia="en-AU"/>
    </w:rPr>
  </w:style>
  <w:style w:type="character" w:customStyle="1" w:styleId="Heading7Char">
    <w:name w:val="Heading 7 Char"/>
    <w:basedOn w:val="DefaultParagraphFont"/>
    <w:link w:val="Heading7"/>
    <w:semiHidden/>
    <w:rsid w:val="00424608"/>
    <w:rPr>
      <w:rFonts w:asciiTheme="majorHAnsi" w:eastAsiaTheme="majorEastAsia" w:hAnsiTheme="majorHAnsi" w:cstheme="majorBidi"/>
      <w:b/>
      <w:iCs/>
      <w:color w:val="FFFFFF"/>
      <w:sz w:val="20"/>
      <w:szCs w:val="20"/>
      <w:lang w:eastAsia="en-AU"/>
    </w:rPr>
  </w:style>
  <w:style w:type="character" w:customStyle="1" w:styleId="Heading8Char">
    <w:name w:val="Heading 8 Char"/>
    <w:aliases w:val="Appendix Title Char"/>
    <w:basedOn w:val="DefaultParagraphFont"/>
    <w:link w:val="Heading8"/>
    <w:uiPriority w:val="1"/>
    <w:semiHidden/>
    <w:rsid w:val="00424608"/>
    <w:rPr>
      <w:rFonts w:asciiTheme="majorHAnsi" w:eastAsiaTheme="majorEastAsia" w:hAnsiTheme="majorHAnsi" w:cstheme="majorBidi"/>
      <w:b/>
      <w:color w:val="44546A" w:themeColor="text2"/>
      <w:sz w:val="40"/>
      <w:szCs w:val="20"/>
      <w:lang w:eastAsia="en-AU"/>
    </w:rPr>
  </w:style>
  <w:style w:type="character" w:customStyle="1" w:styleId="Heading9Char">
    <w:name w:val="Heading 9 Char"/>
    <w:aliases w:val="Appendix Heading 1 Char"/>
    <w:basedOn w:val="DefaultParagraphFont"/>
    <w:link w:val="Heading9"/>
    <w:uiPriority w:val="1"/>
    <w:semiHidden/>
    <w:rsid w:val="00424608"/>
    <w:rPr>
      <w:rFonts w:eastAsia="Times New Roman" w:cs="Arial"/>
      <w:b/>
      <w:color w:val="44546A" w:themeColor="text2"/>
      <w:sz w:val="24"/>
      <w:szCs w:val="20"/>
      <w:lang w:eastAsia="en-AU"/>
    </w:rPr>
  </w:style>
  <w:style w:type="paragraph" w:styleId="Header">
    <w:name w:val="header"/>
    <w:basedOn w:val="Normal"/>
    <w:link w:val="HeaderChar"/>
    <w:uiPriority w:val="99"/>
    <w:rsid w:val="00424608"/>
    <w:pPr>
      <w:spacing w:after="0" w:line="440" w:lineRule="exact"/>
      <w:jc w:val="right"/>
    </w:pPr>
    <w:rPr>
      <w:rFonts w:eastAsia="Times New Roman" w:cs="Arial"/>
      <w:b/>
      <w:color w:val="FFFFFF"/>
      <w:sz w:val="40"/>
      <w:szCs w:val="20"/>
      <w:lang w:eastAsia="en-AU"/>
    </w:rPr>
  </w:style>
  <w:style w:type="character" w:customStyle="1" w:styleId="HeaderChar">
    <w:name w:val="Header Char"/>
    <w:basedOn w:val="DefaultParagraphFont"/>
    <w:link w:val="Header"/>
    <w:uiPriority w:val="99"/>
    <w:rsid w:val="00424608"/>
    <w:rPr>
      <w:rFonts w:eastAsia="Times New Roman" w:cs="Arial"/>
      <w:b/>
      <w:color w:val="FFFFFF"/>
      <w:sz w:val="40"/>
      <w:szCs w:val="20"/>
      <w:lang w:eastAsia="en-AU"/>
    </w:rPr>
  </w:style>
  <w:style w:type="paragraph" w:styleId="Footer">
    <w:name w:val="footer"/>
    <w:basedOn w:val="Normal"/>
    <w:link w:val="FooterChar"/>
    <w:uiPriority w:val="99"/>
    <w:rsid w:val="00424608"/>
    <w:pPr>
      <w:spacing w:after="0" w:line="200" w:lineRule="atLeast"/>
    </w:pPr>
    <w:rPr>
      <w:rFonts w:eastAsia="Times New Roman" w:cs="Arial"/>
      <w:color w:val="000000" w:themeColor="text1"/>
      <w:sz w:val="16"/>
      <w:szCs w:val="20"/>
      <w:lang w:eastAsia="en-AU"/>
    </w:rPr>
  </w:style>
  <w:style w:type="character" w:customStyle="1" w:styleId="FooterChar">
    <w:name w:val="Footer Char"/>
    <w:basedOn w:val="DefaultParagraphFont"/>
    <w:link w:val="Footer"/>
    <w:uiPriority w:val="99"/>
    <w:rsid w:val="00424608"/>
    <w:rPr>
      <w:rFonts w:eastAsia="Times New Roman" w:cs="Arial"/>
      <w:color w:val="000000" w:themeColor="text1"/>
      <w:sz w:val="16"/>
      <w:szCs w:val="20"/>
      <w:lang w:eastAsia="en-AU"/>
    </w:rPr>
  </w:style>
  <w:style w:type="paragraph" w:customStyle="1" w:styleId="xDisclaimertext3">
    <w:name w:val="xDisclaimer text 3"/>
    <w:basedOn w:val="xDisclaimerText"/>
    <w:semiHidden/>
    <w:rsid w:val="00424608"/>
    <w:pPr>
      <w:spacing w:before="60" w:after="60"/>
    </w:pPr>
  </w:style>
  <w:style w:type="character" w:styleId="PageNumber">
    <w:name w:val="page number"/>
    <w:basedOn w:val="DefaultParagraphFont"/>
    <w:semiHidden/>
    <w:rsid w:val="00424608"/>
    <w:rPr>
      <w:rFonts w:ascii="Arial" w:hAnsi="Arial"/>
      <w:b/>
      <w:color w:val="auto"/>
      <w:sz w:val="16"/>
    </w:rPr>
  </w:style>
  <w:style w:type="paragraph" w:customStyle="1" w:styleId="FooterOdd">
    <w:name w:val="Footer Odd"/>
    <w:next w:val="Footer"/>
    <w:semiHidden/>
    <w:rsid w:val="00424608"/>
    <w:pPr>
      <w:spacing w:after="0" w:line="200" w:lineRule="atLeast"/>
      <w:jc w:val="right"/>
    </w:pPr>
    <w:rPr>
      <w:rFonts w:eastAsia="Times New Roman" w:cs="Arial"/>
      <w:color w:val="000000" w:themeColor="text1"/>
      <w:spacing w:val="2"/>
      <w:sz w:val="16"/>
      <w:szCs w:val="20"/>
      <w:lang w:eastAsia="en-AU"/>
    </w:rPr>
  </w:style>
  <w:style w:type="table" w:styleId="TableGrid">
    <w:name w:val="Table Grid"/>
    <w:basedOn w:val="TableNormal"/>
    <w:rsid w:val="00424608"/>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44546A" w:themeFill="text2"/>
      </w:tcPr>
    </w:tblStylePr>
    <w:tblStylePr w:type="lastRow">
      <w:rPr>
        <w:b w:val="0"/>
      </w:rPr>
    </w:tblStylePr>
    <w:tblStylePr w:type="lastCol">
      <w:pPr>
        <w:jc w:val="left"/>
      </w:pPr>
    </w:tblStylePr>
    <w:tblStylePr w:type="band1Vert">
      <w:tblPr/>
      <w:tcPr>
        <w:shd w:val="clear" w:color="auto" w:fill="E7E6E6" w:themeFill="background2"/>
      </w:tcPr>
    </w:tblStylePr>
    <w:tblStylePr w:type="nwCell">
      <w:pPr>
        <w:jc w:val="left"/>
      </w:pPr>
      <w:tblPr/>
      <w:tcPr>
        <w:vAlign w:val="center"/>
      </w:tcPr>
    </w:tblStylePr>
  </w:style>
  <w:style w:type="paragraph" w:customStyle="1" w:styleId="FooterEven">
    <w:name w:val="Footer Even"/>
    <w:next w:val="Footer"/>
    <w:semiHidden/>
    <w:rsid w:val="00424608"/>
    <w:pPr>
      <w:spacing w:after="0" w:line="200" w:lineRule="atLeast"/>
    </w:pPr>
    <w:rPr>
      <w:rFonts w:eastAsia="Times New Roman" w:cs="Arial"/>
      <w:color w:val="000000" w:themeColor="text1"/>
      <w:sz w:val="16"/>
      <w:szCs w:val="20"/>
      <w:lang w:eastAsia="en-AU"/>
    </w:rPr>
  </w:style>
  <w:style w:type="paragraph" w:customStyle="1" w:styleId="FooterOddPageNumber">
    <w:name w:val="Footer Odd Page Number"/>
    <w:basedOn w:val="FooterOdd"/>
    <w:semiHidden/>
    <w:rsid w:val="00424608"/>
    <w:pPr>
      <w:ind w:right="28"/>
    </w:pPr>
    <w:rPr>
      <w:b/>
      <w:color w:val="4472C4" w:themeColor="accent1"/>
    </w:rPr>
  </w:style>
  <w:style w:type="paragraph" w:customStyle="1" w:styleId="FootnoteSeparator">
    <w:name w:val="Footnote Separator"/>
    <w:basedOn w:val="Normal"/>
    <w:unhideWhenUsed/>
    <w:rsid w:val="00424608"/>
    <w:pPr>
      <w:pBdr>
        <w:top w:val="dotted" w:sz="8" w:space="0" w:color="000000" w:themeColor="text1"/>
      </w:pBdr>
      <w:spacing w:before="120" w:after="0" w:line="120" w:lineRule="exact"/>
    </w:pPr>
    <w:rPr>
      <w:rFonts w:eastAsia="Times New Roman" w:cs="Arial"/>
      <w:color w:val="000000" w:themeColor="text1"/>
      <w:sz w:val="16"/>
      <w:szCs w:val="16"/>
      <w:lang w:eastAsia="en-AU"/>
    </w:rPr>
  </w:style>
  <w:style w:type="paragraph" w:customStyle="1" w:styleId="Emailaddress">
    <w:name w:val="Email address"/>
    <w:basedOn w:val="Normal"/>
    <w:semiHidden/>
    <w:rsid w:val="00424608"/>
    <w:pPr>
      <w:spacing w:after="0" w:line="240" w:lineRule="atLeast"/>
    </w:pPr>
    <w:rPr>
      <w:rFonts w:eastAsia="Times New Roman" w:cs="Arial"/>
      <w:color w:val="000000" w:themeColor="text1"/>
      <w:sz w:val="16"/>
      <w:szCs w:val="16"/>
      <w:lang w:eastAsia="en-AU"/>
    </w:rPr>
  </w:style>
  <w:style w:type="character" w:customStyle="1" w:styleId="Italics">
    <w:name w:val="Italics"/>
    <w:rsid w:val="00424608"/>
    <w:rPr>
      <w:i/>
    </w:rPr>
  </w:style>
  <w:style w:type="paragraph" w:styleId="ListContinue">
    <w:name w:val="List Continue"/>
    <w:basedOn w:val="Normal"/>
    <w:semiHidden/>
    <w:qFormat/>
    <w:rsid w:val="00424608"/>
    <w:pPr>
      <w:spacing w:before="220" w:after="220" w:line="240" w:lineRule="atLeast"/>
      <w:ind w:left="340"/>
    </w:pPr>
    <w:rPr>
      <w:rFonts w:eastAsia="Times New Roman" w:cs="Arial"/>
      <w:color w:val="000000" w:themeColor="text1"/>
      <w:sz w:val="20"/>
      <w:szCs w:val="20"/>
      <w:lang w:eastAsia="en-AU"/>
    </w:rPr>
  </w:style>
  <w:style w:type="paragraph" w:styleId="ListContinue2">
    <w:name w:val="List Continue 2"/>
    <w:basedOn w:val="Normal"/>
    <w:semiHidden/>
    <w:qFormat/>
    <w:rsid w:val="00424608"/>
    <w:pPr>
      <w:spacing w:before="220" w:after="220" w:line="240" w:lineRule="atLeast"/>
      <w:ind w:left="680"/>
    </w:pPr>
    <w:rPr>
      <w:rFonts w:eastAsia="Times New Roman" w:cs="Arial"/>
      <w:color w:val="000000" w:themeColor="text1"/>
      <w:sz w:val="20"/>
      <w:szCs w:val="20"/>
      <w:lang w:eastAsia="en-AU"/>
    </w:rPr>
  </w:style>
  <w:style w:type="paragraph" w:styleId="ListNumber">
    <w:name w:val="List Number"/>
    <w:basedOn w:val="Normal"/>
    <w:qFormat/>
    <w:rsid w:val="00424608"/>
    <w:pPr>
      <w:numPr>
        <w:numId w:val="4"/>
      </w:numPr>
      <w:spacing w:before="120" w:after="120" w:line="240" w:lineRule="atLeast"/>
    </w:pPr>
    <w:rPr>
      <w:rFonts w:eastAsia="Times New Roman" w:cs="Arial"/>
      <w:color w:val="000000" w:themeColor="text1"/>
      <w:sz w:val="20"/>
      <w:szCs w:val="20"/>
      <w:lang w:eastAsia="en-AU"/>
    </w:rPr>
  </w:style>
  <w:style w:type="paragraph" w:styleId="ListNumber2">
    <w:name w:val="List Number 2"/>
    <w:basedOn w:val="Normal"/>
    <w:qFormat/>
    <w:rsid w:val="00424608"/>
    <w:pPr>
      <w:numPr>
        <w:ilvl w:val="1"/>
        <w:numId w:val="4"/>
      </w:numPr>
      <w:spacing w:before="120" w:after="120" w:line="240" w:lineRule="atLeast"/>
    </w:pPr>
    <w:rPr>
      <w:rFonts w:eastAsia="Times New Roman" w:cs="Arial"/>
      <w:color w:val="000000" w:themeColor="text1"/>
      <w:sz w:val="20"/>
      <w:szCs w:val="20"/>
      <w:lang w:eastAsia="en-AU"/>
    </w:rPr>
  </w:style>
  <w:style w:type="paragraph" w:styleId="ListNumber3">
    <w:name w:val="List Number 3"/>
    <w:basedOn w:val="Normal"/>
    <w:qFormat/>
    <w:rsid w:val="00424608"/>
    <w:pPr>
      <w:numPr>
        <w:ilvl w:val="2"/>
        <w:numId w:val="4"/>
      </w:numPr>
      <w:spacing w:before="120" w:after="120" w:line="240" w:lineRule="atLeast"/>
    </w:pPr>
    <w:rPr>
      <w:rFonts w:eastAsia="Times New Roman" w:cs="Arial"/>
      <w:color w:val="000000" w:themeColor="text1"/>
      <w:sz w:val="20"/>
      <w:szCs w:val="20"/>
      <w:lang w:eastAsia="en-AU"/>
    </w:rPr>
  </w:style>
  <w:style w:type="numbering" w:styleId="1ai">
    <w:name w:val="Outline List 1"/>
    <w:basedOn w:val="NoList"/>
    <w:rsid w:val="00424608"/>
    <w:pPr>
      <w:numPr>
        <w:numId w:val="1"/>
      </w:numPr>
    </w:pPr>
  </w:style>
  <w:style w:type="paragraph" w:styleId="BalloonText">
    <w:name w:val="Balloon Text"/>
    <w:basedOn w:val="Normal"/>
    <w:link w:val="BalloonTextChar"/>
    <w:semiHidden/>
    <w:unhideWhenUsed/>
    <w:rsid w:val="00424608"/>
    <w:pPr>
      <w:spacing w:after="0" w:line="240" w:lineRule="atLeast"/>
    </w:pPr>
    <w:rPr>
      <w:rFonts w:ascii="Tahoma" w:eastAsia="Times New Roman" w:hAnsi="Tahoma" w:cs="Tahoma"/>
      <w:color w:val="000000" w:themeColor="text1"/>
      <w:sz w:val="16"/>
      <w:szCs w:val="16"/>
      <w:lang w:eastAsia="en-AU"/>
    </w:rPr>
  </w:style>
  <w:style w:type="character" w:customStyle="1" w:styleId="BalloonTextChar">
    <w:name w:val="Balloon Text Char"/>
    <w:basedOn w:val="DefaultParagraphFont"/>
    <w:link w:val="BalloonText"/>
    <w:semiHidden/>
    <w:rsid w:val="00424608"/>
    <w:rPr>
      <w:rFonts w:ascii="Tahoma" w:eastAsia="Times New Roman" w:hAnsi="Tahoma" w:cs="Tahoma"/>
      <w:color w:val="000000" w:themeColor="text1"/>
      <w:sz w:val="16"/>
      <w:szCs w:val="16"/>
      <w:lang w:eastAsia="en-AU"/>
    </w:rPr>
  </w:style>
  <w:style w:type="paragraph" w:customStyle="1" w:styleId="TableTextBullet2">
    <w:name w:val="Table Text Bullet 2"/>
    <w:basedOn w:val="TableTextBullet"/>
    <w:qFormat/>
    <w:rsid w:val="00424608"/>
    <w:pPr>
      <w:numPr>
        <w:ilvl w:val="1"/>
      </w:numPr>
    </w:pPr>
    <w:rPr>
      <w:bCs/>
    </w:rPr>
  </w:style>
  <w:style w:type="paragraph" w:customStyle="1" w:styleId="TableTextBullet3">
    <w:name w:val="Table Text Bullet 3"/>
    <w:basedOn w:val="TableTextBullet2"/>
    <w:qFormat/>
    <w:rsid w:val="00424608"/>
    <w:pPr>
      <w:numPr>
        <w:ilvl w:val="2"/>
      </w:numPr>
    </w:pPr>
    <w:rPr>
      <w:bCs w:val="0"/>
    </w:rPr>
  </w:style>
  <w:style w:type="paragraph" w:customStyle="1" w:styleId="xDoublePic">
    <w:name w:val="xDoublePic"/>
    <w:basedOn w:val="xInlineShape"/>
    <w:semiHidden/>
    <w:rsid w:val="00424608"/>
    <w:pPr>
      <w:spacing w:before="0" w:after="0"/>
    </w:pPr>
  </w:style>
  <w:style w:type="paragraph" w:styleId="BodyText">
    <w:name w:val="Body Text"/>
    <w:basedOn w:val="Normal"/>
    <w:link w:val="BodyTextChar"/>
    <w:qFormat/>
    <w:rsid w:val="00424608"/>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424608"/>
    <w:rPr>
      <w:rFonts w:eastAsia="Times New Roman" w:cs="Times New Roman"/>
      <w:color w:val="000000" w:themeColor="text1"/>
      <w:sz w:val="20"/>
      <w:szCs w:val="20"/>
    </w:rPr>
  </w:style>
  <w:style w:type="paragraph" w:customStyle="1" w:styleId="Footnotes">
    <w:name w:val="Footnotes"/>
    <w:basedOn w:val="Normal"/>
    <w:rsid w:val="00424608"/>
    <w:pPr>
      <w:keepLines/>
      <w:numPr>
        <w:numId w:val="6"/>
      </w:numPr>
      <w:spacing w:before="60" w:after="100" w:afterAutospacing="1" w:line="180" w:lineRule="exact"/>
    </w:pPr>
    <w:rPr>
      <w:rFonts w:eastAsia="Times New Roman" w:cs="Arial"/>
      <w:color w:val="000000" w:themeColor="text1"/>
      <w:sz w:val="14"/>
      <w:szCs w:val="20"/>
      <w:lang w:eastAsia="en-AU"/>
    </w:rPr>
  </w:style>
  <w:style w:type="paragraph" w:customStyle="1" w:styleId="TableHeadingLeft">
    <w:name w:val="Table Heading Left"/>
    <w:basedOn w:val="TableTextLeft"/>
    <w:qFormat/>
    <w:rsid w:val="00424608"/>
    <w:pPr>
      <w:keepNext/>
      <w:keepLines/>
    </w:pPr>
    <w:rPr>
      <w:b/>
      <w:color w:val="FFFFFF"/>
    </w:rPr>
  </w:style>
  <w:style w:type="character" w:customStyle="1" w:styleId="Superscript">
    <w:name w:val="Superscript"/>
    <w:semiHidden/>
    <w:rsid w:val="00424608"/>
    <w:rPr>
      <w:vertAlign w:val="superscript"/>
    </w:rPr>
  </w:style>
  <w:style w:type="character" w:styleId="Hyperlink">
    <w:name w:val="Hyperlink"/>
    <w:basedOn w:val="DefaultParagraphFont"/>
    <w:uiPriority w:val="99"/>
    <w:unhideWhenUsed/>
    <w:rsid w:val="00424608"/>
    <w:rPr>
      <w:color w:val="auto"/>
      <w:u w:val="single"/>
    </w:rPr>
  </w:style>
  <w:style w:type="paragraph" w:styleId="ListParagraph">
    <w:name w:val="List Paragraph"/>
    <w:basedOn w:val="Normal"/>
    <w:uiPriority w:val="34"/>
    <w:rsid w:val="00424608"/>
    <w:pPr>
      <w:spacing w:after="0" w:line="240" w:lineRule="atLeast"/>
      <w:ind w:left="720"/>
      <w:contextualSpacing/>
    </w:pPr>
    <w:rPr>
      <w:rFonts w:eastAsia="Times New Roman" w:cs="Arial"/>
      <w:color w:val="000000" w:themeColor="text1"/>
      <w:sz w:val="20"/>
      <w:szCs w:val="20"/>
      <w:lang w:eastAsia="en-AU"/>
    </w:rPr>
  </w:style>
  <w:style w:type="paragraph" w:styleId="Caption">
    <w:name w:val="caption"/>
    <w:basedOn w:val="Normal"/>
    <w:next w:val="BodyText"/>
    <w:rsid w:val="00424608"/>
    <w:pPr>
      <w:keepNext/>
      <w:spacing w:before="360" w:after="240" w:line="200" w:lineRule="atLeast"/>
    </w:pPr>
    <w:rPr>
      <w:rFonts w:eastAsia="Times New Roman" w:cs="Arial"/>
      <w:b/>
      <w:bCs/>
      <w:color w:val="000000" w:themeColor="text1"/>
      <w:sz w:val="16"/>
      <w:szCs w:val="20"/>
      <w:lang w:eastAsia="en-AU"/>
    </w:rPr>
  </w:style>
  <w:style w:type="character" w:styleId="FootnoteReference">
    <w:name w:val="footnote reference"/>
    <w:basedOn w:val="DefaultParagraphFont"/>
    <w:rsid w:val="00424608"/>
    <w:rPr>
      <w:color w:val="000000" w:themeColor="text1"/>
      <w:vertAlign w:val="superscript"/>
    </w:rPr>
  </w:style>
  <w:style w:type="paragraph" w:styleId="FootnoteText">
    <w:name w:val="footnote text"/>
    <w:basedOn w:val="Normal"/>
    <w:link w:val="FootnoteTextChar"/>
    <w:rsid w:val="00424608"/>
    <w:pPr>
      <w:tabs>
        <w:tab w:val="left" w:pos="284"/>
      </w:tabs>
      <w:spacing w:after="60" w:line="180" w:lineRule="atLeast"/>
      <w:ind w:left="284" w:hanging="284"/>
    </w:pPr>
    <w:rPr>
      <w:rFonts w:eastAsia="Times New Roman" w:cs="Arial"/>
      <w:color w:val="000000" w:themeColor="text1"/>
      <w:kern w:val="16"/>
      <w:sz w:val="14"/>
      <w:szCs w:val="20"/>
      <w:lang w:eastAsia="en-AU"/>
    </w:rPr>
  </w:style>
  <w:style w:type="character" w:customStyle="1" w:styleId="FootnoteTextChar">
    <w:name w:val="Footnote Text Char"/>
    <w:basedOn w:val="DefaultParagraphFont"/>
    <w:link w:val="FootnoteText"/>
    <w:rsid w:val="00424608"/>
    <w:rPr>
      <w:rFonts w:eastAsia="Times New Roman" w:cs="Arial"/>
      <w:color w:val="000000" w:themeColor="text1"/>
      <w:kern w:val="16"/>
      <w:sz w:val="14"/>
      <w:szCs w:val="20"/>
      <w:lang w:eastAsia="en-AU"/>
    </w:rPr>
  </w:style>
  <w:style w:type="paragraph" w:styleId="ListBullet">
    <w:name w:val="List Bullet"/>
    <w:basedOn w:val="Normal"/>
    <w:unhideWhenUsed/>
    <w:qFormat/>
    <w:rsid w:val="00424608"/>
    <w:pPr>
      <w:numPr>
        <w:numId w:val="34"/>
      </w:numPr>
      <w:tabs>
        <w:tab w:val="clear" w:pos="360"/>
        <w:tab w:val="num" w:pos="340"/>
      </w:tabs>
      <w:spacing w:before="120" w:after="120" w:line="240" w:lineRule="atLeast"/>
      <w:ind w:left="340" w:hanging="170"/>
    </w:pPr>
    <w:rPr>
      <w:rFonts w:eastAsia="Times New Roman" w:cs="Arial"/>
      <w:color w:val="000000" w:themeColor="text1"/>
      <w:sz w:val="20"/>
      <w:szCs w:val="20"/>
      <w:lang w:eastAsia="en-AU"/>
    </w:rPr>
  </w:style>
  <w:style w:type="paragraph" w:styleId="ListBullet2">
    <w:name w:val="List Bullet 2"/>
    <w:basedOn w:val="ListBullet"/>
    <w:unhideWhenUsed/>
    <w:qFormat/>
    <w:rsid w:val="00424608"/>
    <w:pPr>
      <w:numPr>
        <w:ilvl w:val="1"/>
        <w:numId w:val="8"/>
      </w:numPr>
    </w:pPr>
  </w:style>
  <w:style w:type="paragraph" w:styleId="ListBullet3">
    <w:name w:val="List Bullet 3"/>
    <w:basedOn w:val="Normal"/>
    <w:unhideWhenUsed/>
    <w:rsid w:val="00424608"/>
    <w:pPr>
      <w:numPr>
        <w:ilvl w:val="2"/>
        <w:numId w:val="8"/>
      </w:numPr>
      <w:spacing w:before="120" w:after="120" w:line="240" w:lineRule="atLeast"/>
    </w:pPr>
    <w:rPr>
      <w:rFonts w:eastAsia="Times New Roman" w:cs="Arial"/>
      <w:color w:val="000000" w:themeColor="text1"/>
      <w:sz w:val="20"/>
      <w:szCs w:val="20"/>
      <w:lang w:eastAsia="en-AU"/>
    </w:rPr>
  </w:style>
  <w:style w:type="paragraph" w:styleId="Subtitle">
    <w:name w:val="Subtitle"/>
    <w:basedOn w:val="Normal"/>
    <w:next w:val="Normal"/>
    <w:link w:val="SubtitleChar"/>
    <w:uiPriority w:val="99"/>
    <w:qFormat/>
    <w:rsid w:val="00424608"/>
    <w:pPr>
      <w:numPr>
        <w:ilvl w:val="1"/>
      </w:numPr>
      <w:spacing w:after="0" w:line="320" w:lineRule="exact"/>
      <w:jc w:val="right"/>
    </w:pPr>
    <w:rPr>
      <w:rFonts w:asciiTheme="majorHAnsi" w:eastAsiaTheme="majorEastAsia" w:hAnsiTheme="majorHAnsi" w:cstheme="majorBidi"/>
      <w:iCs/>
      <w:color w:val="44546A" w:themeColor="text2"/>
      <w:spacing w:val="-2"/>
      <w:sz w:val="28"/>
      <w:szCs w:val="24"/>
      <w:lang w:eastAsia="en-AU"/>
    </w:rPr>
  </w:style>
  <w:style w:type="character" w:customStyle="1" w:styleId="SubtitleChar">
    <w:name w:val="Subtitle Char"/>
    <w:basedOn w:val="DefaultParagraphFont"/>
    <w:link w:val="Subtitle"/>
    <w:uiPriority w:val="99"/>
    <w:rsid w:val="00424608"/>
    <w:rPr>
      <w:rFonts w:asciiTheme="majorHAnsi" w:eastAsiaTheme="majorEastAsia" w:hAnsiTheme="majorHAnsi" w:cstheme="majorBidi"/>
      <w:iCs/>
      <w:color w:val="44546A" w:themeColor="text2"/>
      <w:spacing w:val="-2"/>
      <w:sz w:val="28"/>
      <w:szCs w:val="24"/>
      <w:lang w:eastAsia="en-AU"/>
    </w:rPr>
  </w:style>
  <w:style w:type="paragraph" w:customStyle="1" w:styleId="TableTextLeft">
    <w:name w:val="Table Text Left"/>
    <w:basedOn w:val="Normal"/>
    <w:qFormat/>
    <w:rsid w:val="00424608"/>
    <w:pPr>
      <w:spacing w:before="60" w:after="60" w:line="220" w:lineRule="atLeast"/>
      <w:ind w:left="113" w:right="113"/>
    </w:pPr>
    <w:rPr>
      <w:rFonts w:eastAsia="Times New Roman" w:cs="Arial"/>
      <w:color w:val="000000" w:themeColor="text1"/>
      <w:sz w:val="18"/>
      <w:szCs w:val="20"/>
      <w:lang w:eastAsia="en-AU"/>
    </w:rPr>
  </w:style>
  <w:style w:type="table" w:styleId="TableColumns3">
    <w:name w:val="Table Columns 3"/>
    <w:basedOn w:val="TableNormal"/>
    <w:rsid w:val="00424608"/>
    <w:pPr>
      <w:spacing w:after="0" w:line="240" w:lineRule="atLeast"/>
    </w:pPr>
    <w:rPr>
      <w:rFonts w:ascii="Times New Roman" w:eastAsia="Times New Roman" w:hAnsi="Times New Roman" w:cs="Times New Roman"/>
      <w:b/>
      <w:bCs/>
      <w:color w:val="000000" w:themeColor="text1"/>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24608"/>
    <w:pPr>
      <w:numPr>
        <w:numId w:val="10"/>
      </w:numPr>
    </w:pPr>
  </w:style>
  <w:style w:type="paragraph" w:customStyle="1" w:styleId="TableTextNumbered">
    <w:name w:val="Table Text Numbered"/>
    <w:basedOn w:val="TableTextLeft"/>
    <w:qFormat/>
    <w:rsid w:val="00424608"/>
    <w:pPr>
      <w:numPr>
        <w:numId w:val="2"/>
      </w:numPr>
    </w:pPr>
  </w:style>
  <w:style w:type="paragraph" w:customStyle="1" w:styleId="TableTextNumbered2">
    <w:name w:val="Table Text Numbered 2"/>
    <w:basedOn w:val="TableTextNumbered"/>
    <w:qFormat/>
    <w:rsid w:val="00424608"/>
    <w:pPr>
      <w:numPr>
        <w:ilvl w:val="1"/>
      </w:numPr>
    </w:pPr>
  </w:style>
  <w:style w:type="paragraph" w:customStyle="1" w:styleId="TableTextNumbered3">
    <w:name w:val="Table Text Numbered 3"/>
    <w:basedOn w:val="TableTextNumbered2"/>
    <w:qFormat/>
    <w:rsid w:val="00424608"/>
    <w:pPr>
      <w:numPr>
        <w:ilvl w:val="2"/>
      </w:numPr>
    </w:pPr>
  </w:style>
  <w:style w:type="character" w:styleId="PlaceholderText">
    <w:name w:val="Placeholder Text"/>
    <w:basedOn w:val="DefaultParagraphFont"/>
    <w:uiPriority w:val="99"/>
    <w:rsid w:val="00424608"/>
    <w:rPr>
      <w:color w:val="808080"/>
    </w:rPr>
  </w:style>
  <w:style w:type="paragraph" w:customStyle="1" w:styleId="TableTextLeftBold">
    <w:name w:val="Table Text Left Bold"/>
    <w:basedOn w:val="TableTextLeft"/>
    <w:qFormat/>
    <w:rsid w:val="00424608"/>
    <w:rPr>
      <w:b/>
    </w:rPr>
  </w:style>
  <w:style w:type="paragraph" w:customStyle="1" w:styleId="BoldHeading">
    <w:name w:val="Bold Heading"/>
    <w:basedOn w:val="Normal"/>
    <w:next w:val="BodyText"/>
    <w:qFormat/>
    <w:rsid w:val="00424608"/>
    <w:pPr>
      <w:spacing w:before="280" w:after="240" w:line="240" w:lineRule="atLeast"/>
    </w:pPr>
    <w:rPr>
      <w:rFonts w:eastAsia="Times New Roman" w:cs="Arial"/>
      <w:b/>
      <w:color w:val="000000" w:themeColor="text1"/>
      <w:sz w:val="20"/>
      <w:szCs w:val="20"/>
      <w:lang w:eastAsia="en-AU"/>
    </w:rPr>
  </w:style>
  <w:style w:type="paragraph" w:customStyle="1" w:styleId="xInlineShape">
    <w:name w:val="xInlineShape"/>
    <w:basedOn w:val="Normal"/>
    <w:next w:val="BodyText"/>
    <w:uiPriority w:val="3"/>
    <w:semiHidden/>
    <w:rsid w:val="00424608"/>
    <w:pPr>
      <w:keepNext/>
      <w:spacing w:before="120" w:after="20" w:line="240" w:lineRule="auto"/>
    </w:pPr>
    <w:rPr>
      <w:rFonts w:eastAsia="Times New Roman" w:cs="Arial"/>
      <w:color w:val="000000" w:themeColor="text1"/>
      <w:sz w:val="20"/>
      <w:szCs w:val="20"/>
      <w:lang w:eastAsia="en-AU"/>
    </w:rPr>
  </w:style>
  <w:style w:type="paragraph" w:customStyle="1" w:styleId="xDisclaimerHeading">
    <w:name w:val="xDisclaimer Heading"/>
    <w:basedOn w:val="Normal"/>
    <w:semiHidden/>
    <w:rsid w:val="00424608"/>
    <w:pPr>
      <w:spacing w:before="170" w:after="20" w:line="170" w:lineRule="atLeast"/>
    </w:pPr>
    <w:rPr>
      <w:rFonts w:eastAsia="Times New Roman" w:cs="Arial"/>
      <w:b/>
      <w:color w:val="000000" w:themeColor="text1"/>
      <w:sz w:val="16"/>
      <w:szCs w:val="20"/>
      <w:lang w:eastAsia="en-AU"/>
    </w:rPr>
  </w:style>
  <w:style w:type="paragraph" w:styleId="Title">
    <w:name w:val="Title"/>
    <w:basedOn w:val="Normal"/>
    <w:next w:val="Normal"/>
    <w:link w:val="TitleChar"/>
    <w:uiPriority w:val="99"/>
    <w:qFormat/>
    <w:rsid w:val="00424608"/>
    <w:pPr>
      <w:spacing w:after="0" w:line="440" w:lineRule="exact"/>
      <w:jc w:val="right"/>
    </w:pPr>
    <w:rPr>
      <w:rFonts w:asciiTheme="majorHAnsi" w:eastAsiaTheme="majorEastAsia" w:hAnsiTheme="majorHAnsi" w:cstheme="majorBidi"/>
      <w:b/>
      <w:color w:val="FFFFFF"/>
      <w:spacing w:val="-2"/>
      <w:sz w:val="40"/>
      <w:szCs w:val="52"/>
      <w:lang w:eastAsia="en-AU"/>
    </w:rPr>
  </w:style>
  <w:style w:type="character" w:customStyle="1" w:styleId="TitleChar">
    <w:name w:val="Title Char"/>
    <w:basedOn w:val="DefaultParagraphFont"/>
    <w:link w:val="Title"/>
    <w:uiPriority w:val="99"/>
    <w:rsid w:val="00424608"/>
    <w:rPr>
      <w:rFonts w:asciiTheme="majorHAnsi" w:eastAsiaTheme="majorEastAsia" w:hAnsiTheme="majorHAnsi" w:cstheme="majorBidi"/>
      <w:b/>
      <w:color w:val="FFFFFF"/>
      <w:spacing w:val="-2"/>
      <w:sz w:val="40"/>
      <w:szCs w:val="52"/>
      <w:lang w:eastAsia="en-AU"/>
    </w:rPr>
  </w:style>
  <w:style w:type="table" w:customStyle="1" w:styleId="TableAsPlaceholder">
    <w:name w:val="Table As Placeholder"/>
    <w:basedOn w:val="TableNormal"/>
    <w:uiPriority w:val="99"/>
    <w:qFormat/>
    <w:rsid w:val="00424608"/>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paragraph" w:styleId="TOC1">
    <w:name w:val="toc 1"/>
    <w:basedOn w:val="Normal"/>
    <w:next w:val="Normal"/>
    <w:uiPriority w:val="39"/>
    <w:semiHidden/>
    <w:rsid w:val="00424608"/>
    <w:pPr>
      <w:tabs>
        <w:tab w:val="right" w:leader="dot" w:pos="9582"/>
      </w:tabs>
      <w:spacing w:before="120" w:after="60" w:line="240" w:lineRule="atLeast"/>
      <w:ind w:right="851"/>
    </w:pPr>
    <w:rPr>
      <w:rFonts w:eastAsia="Times New Roman" w:cs="Arial"/>
      <w:b/>
      <w:noProof/>
      <w:color w:val="44546A" w:themeColor="text2"/>
      <w:sz w:val="20"/>
      <w:szCs w:val="24"/>
      <w:lang w:eastAsia="en-AU"/>
    </w:rPr>
  </w:style>
  <w:style w:type="paragraph" w:styleId="TOCHeading">
    <w:name w:val="TOC Heading"/>
    <w:basedOn w:val="Normal"/>
    <w:uiPriority w:val="99"/>
    <w:semiHidden/>
    <w:rsid w:val="00424608"/>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rFonts w:eastAsia="Times New Roman" w:cs="Arial"/>
      <w:b/>
      <w:color w:val="44546A" w:themeColor="text2"/>
      <w:sz w:val="40"/>
      <w:szCs w:val="40"/>
      <w:lang w:eastAsia="en-AU"/>
    </w:rPr>
  </w:style>
  <w:style w:type="paragraph" w:styleId="TOC2">
    <w:name w:val="toc 2"/>
    <w:basedOn w:val="Normal"/>
    <w:next w:val="Normal"/>
    <w:uiPriority w:val="39"/>
    <w:semiHidden/>
    <w:rsid w:val="00424608"/>
    <w:pPr>
      <w:tabs>
        <w:tab w:val="right" w:leader="dot" w:pos="9582"/>
      </w:tabs>
      <w:spacing w:before="120" w:after="60" w:line="240" w:lineRule="atLeast"/>
      <w:ind w:right="851"/>
    </w:pPr>
    <w:rPr>
      <w:rFonts w:eastAsia="Times New Roman" w:cs="Arial"/>
      <w:b/>
      <w:noProof/>
      <w:color w:val="000000" w:themeColor="text1"/>
      <w:sz w:val="20"/>
      <w:szCs w:val="28"/>
      <w:lang w:eastAsia="en-AU"/>
    </w:rPr>
  </w:style>
  <w:style w:type="paragraph" w:styleId="TOC3">
    <w:name w:val="toc 3"/>
    <w:basedOn w:val="Normal"/>
    <w:next w:val="Normal"/>
    <w:uiPriority w:val="39"/>
    <w:semiHidden/>
    <w:rsid w:val="00424608"/>
    <w:pPr>
      <w:tabs>
        <w:tab w:val="right" w:leader="dot" w:pos="9582"/>
      </w:tabs>
      <w:spacing w:before="60" w:after="60" w:line="240" w:lineRule="atLeast"/>
      <w:ind w:right="851"/>
    </w:pPr>
    <w:rPr>
      <w:rFonts w:eastAsiaTheme="minorEastAsia"/>
      <w:b/>
      <w:noProof/>
      <w:color w:val="4F4E4E"/>
      <w:sz w:val="20"/>
      <w:szCs w:val="20"/>
      <w:lang w:eastAsia="en-AU"/>
    </w:rPr>
  </w:style>
  <w:style w:type="paragraph" w:styleId="TOC4">
    <w:name w:val="toc 4"/>
    <w:basedOn w:val="Normal"/>
    <w:uiPriority w:val="39"/>
    <w:semiHidden/>
    <w:rsid w:val="00424608"/>
    <w:pPr>
      <w:tabs>
        <w:tab w:val="right" w:leader="dot" w:pos="9582"/>
      </w:tabs>
      <w:spacing w:before="60" w:after="60" w:line="240" w:lineRule="atLeast"/>
      <w:ind w:right="851"/>
    </w:pPr>
    <w:rPr>
      <w:rFonts w:eastAsia="Times New Roman" w:cs="Arial"/>
      <w:noProof/>
      <w:color w:val="4F4E4E"/>
      <w:sz w:val="20"/>
      <w:szCs w:val="20"/>
      <w:lang w:eastAsia="en-AU"/>
    </w:rPr>
  </w:style>
  <w:style w:type="paragraph" w:styleId="TableofFigures">
    <w:name w:val="table of figures"/>
    <w:basedOn w:val="Normal"/>
    <w:next w:val="Normal"/>
    <w:rsid w:val="00424608"/>
    <w:pPr>
      <w:tabs>
        <w:tab w:val="right" w:leader="dot" w:pos="9582"/>
      </w:tabs>
      <w:spacing w:before="60" w:after="60" w:line="240" w:lineRule="atLeast"/>
      <w:ind w:right="851"/>
    </w:pPr>
    <w:rPr>
      <w:rFonts w:eastAsia="Times New Roman" w:cs="Arial"/>
      <w:color w:val="000000" w:themeColor="text1"/>
      <w:sz w:val="20"/>
      <w:szCs w:val="20"/>
      <w:lang w:eastAsia="en-AU"/>
    </w:rPr>
  </w:style>
  <w:style w:type="paragraph" w:customStyle="1" w:styleId="TOFHeading">
    <w:name w:val="TOF Heading"/>
    <w:basedOn w:val="Normal"/>
    <w:uiPriority w:val="99"/>
    <w:semiHidden/>
    <w:rsid w:val="00424608"/>
    <w:pPr>
      <w:keepNext/>
      <w:tabs>
        <w:tab w:val="left" w:pos="2268"/>
      </w:tabs>
      <w:spacing w:before="240" w:after="60" w:line="240" w:lineRule="atLeast"/>
    </w:pPr>
    <w:rPr>
      <w:rFonts w:eastAsia="Times New Roman" w:cs="Arial"/>
      <w:b/>
      <w:color w:val="44546A" w:themeColor="text2"/>
      <w:sz w:val="20"/>
      <w:szCs w:val="32"/>
      <w:lang w:eastAsia="en-AU"/>
    </w:rPr>
  </w:style>
  <w:style w:type="paragraph" w:customStyle="1" w:styleId="BodyText12ptBefore">
    <w:name w:val="Body Text 12pt Before"/>
    <w:basedOn w:val="BodyText"/>
    <w:next w:val="BodyText"/>
    <w:qFormat/>
    <w:rsid w:val="00424608"/>
    <w:pPr>
      <w:spacing w:before="240"/>
    </w:pPr>
  </w:style>
  <w:style w:type="paragraph" w:customStyle="1" w:styleId="AppendixHeading3">
    <w:name w:val="Appendix Heading 3"/>
    <w:basedOn w:val="Normal"/>
    <w:next w:val="BodyText"/>
    <w:uiPriority w:val="2"/>
    <w:semiHidden/>
    <w:rsid w:val="00424608"/>
    <w:pPr>
      <w:keepNext/>
      <w:keepLines/>
      <w:tabs>
        <w:tab w:val="left" w:pos="1559"/>
        <w:tab w:val="left" w:pos="1843"/>
        <w:tab w:val="left" w:pos="2126"/>
        <w:tab w:val="left" w:pos="2410"/>
        <w:tab w:val="left" w:pos="6804"/>
      </w:tabs>
      <w:spacing w:before="100" w:after="100" w:line="240" w:lineRule="exact"/>
    </w:pPr>
    <w:rPr>
      <w:rFonts w:asciiTheme="majorHAnsi" w:eastAsia="Times New Roman" w:hAnsiTheme="majorHAnsi" w:cs="Arial"/>
      <w:b/>
      <w:i/>
      <w:color w:val="494847"/>
      <w:sz w:val="20"/>
      <w:szCs w:val="20"/>
      <w:lang w:eastAsia="en-AU"/>
    </w:rPr>
  </w:style>
  <w:style w:type="paragraph" w:customStyle="1" w:styleId="TableofContents2">
    <w:name w:val="TableofContents2"/>
    <w:basedOn w:val="Normal"/>
    <w:semiHidden/>
    <w:rsid w:val="00424608"/>
    <w:pPr>
      <w:keepNext/>
      <w:spacing w:after="120" w:line="230" w:lineRule="auto"/>
    </w:pPr>
    <w:rPr>
      <w:rFonts w:eastAsia="Times New Roman" w:cs="Arial"/>
      <w:color w:val="000000" w:themeColor="text1"/>
      <w:spacing w:val="-6"/>
      <w:sz w:val="40"/>
      <w:szCs w:val="28"/>
      <w:lang w:eastAsia="en-AU"/>
    </w:rPr>
  </w:style>
  <w:style w:type="paragraph" w:styleId="TOC5">
    <w:name w:val="toc 5"/>
    <w:basedOn w:val="Normal"/>
    <w:next w:val="Normal"/>
    <w:autoRedefine/>
    <w:uiPriority w:val="39"/>
    <w:semiHidden/>
    <w:rsid w:val="00424608"/>
    <w:pPr>
      <w:tabs>
        <w:tab w:val="right" w:pos="9582"/>
      </w:tabs>
      <w:spacing w:before="240" w:after="60" w:line="240" w:lineRule="atLeast"/>
      <w:ind w:right="851"/>
    </w:pPr>
    <w:rPr>
      <w:rFonts w:eastAsia="Times New Roman" w:cs="Arial"/>
      <w:b/>
      <w:color w:val="44546A" w:themeColor="text2"/>
      <w:sz w:val="20"/>
      <w:szCs w:val="20"/>
      <w:lang w:eastAsia="en-AU"/>
    </w:rPr>
  </w:style>
  <w:style w:type="paragraph" w:styleId="TOC6">
    <w:name w:val="toc 6"/>
    <w:basedOn w:val="Normal"/>
    <w:next w:val="Normal"/>
    <w:autoRedefine/>
    <w:semiHidden/>
    <w:rsid w:val="00424608"/>
    <w:pPr>
      <w:spacing w:after="100" w:line="240" w:lineRule="atLeast"/>
      <w:ind w:left="1000"/>
    </w:pPr>
    <w:rPr>
      <w:rFonts w:eastAsia="Times New Roman" w:cs="Arial"/>
      <w:color w:val="000000" w:themeColor="text1"/>
      <w:sz w:val="20"/>
      <w:szCs w:val="20"/>
      <w:lang w:eastAsia="en-AU"/>
    </w:rPr>
  </w:style>
  <w:style w:type="paragraph" w:styleId="TOC7">
    <w:name w:val="toc 7"/>
    <w:basedOn w:val="Normal"/>
    <w:next w:val="Normal"/>
    <w:autoRedefine/>
    <w:semiHidden/>
    <w:rsid w:val="00424608"/>
    <w:pPr>
      <w:spacing w:after="100" w:line="240" w:lineRule="atLeast"/>
      <w:ind w:left="1200"/>
    </w:pPr>
    <w:rPr>
      <w:rFonts w:eastAsia="Times New Roman" w:cs="Arial"/>
      <w:color w:val="000000" w:themeColor="text1"/>
      <w:sz w:val="20"/>
      <w:szCs w:val="20"/>
      <w:lang w:eastAsia="en-AU"/>
    </w:rPr>
  </w:style>
  <w:style w:type="paragraph" w:styleId="TOC8">
    <w:name w:val="toc 8"/>
    <w:basedOn w:val="Normal"/>
    <w:next w:val="Normal"/>
    <w:autoRedefine/>
    <w:uiPriority w:val="39"/>
    <w:semiHidden/>
    <w:rsid w:val="00424608"/>
    <w:pPr>
      <w:tabs>
        <w:tab w:val="right" w:leader="dot" w:pos="9582"/>
      </w:tabs>
      <w:spacing w:before="120" w:after="60" w:line="240" w:lineRule="atLeast"/>
      <w:ind w:right="851"/>
    </w:pPr>
    <w:rPr>
      <w:rFonts w:eastAsia="Times New Roman" w:cs="Arial"/>
      <w:b/>
      <w:color w:val="44546A" w:themeColor="text2"/>
      <w:sz w:val="20"/>
      <w:szCs w:val="20"/>
      <w:lang w:eastAsia="en-AU"/>
    </w:rPr>
  </w:style>
  <w:style w:type="character" w:customStyle="1" w:styleId="Bold">
    <w:name w:val="Bold"/>
    <w:semiHidden/>
    <w:rsid w:val="00424608"/>
    <w:rPr>
      <w:b/>
    </w:rPr>
  </w:style>
  <w:style w:type="paragraph" w:customStyle="1" w:styleId="xContactDetails">
    <w:name w:val="xContact Details"/>
    <w:basedOn w:val="TableTextLeft"/>
    <w:uiPriority w:val="3"/>
    <w:semiHidden/>
    <w:rsid w:val="00424608"/>
    <w:pPr>
      <w:spacing w:before="40"/>
      <w:contextualSpacing/>
    </w:pPr>
    <w:rPr>
      <w:sz w:val="16"/>
    </w:rPr>
  </w:style>
  <w:style w:type="paragraph" w:customStyle="1" w:styleId="xEntityDetails">
    <w:name w:val="xEntity Details"/>
    <w:basedOn w:val="xContactDetails"/>
    <w:uiPriority w:val="3"/>
    <w:semiHidden/>
    <w:rsid w:val="00424608"/>
    <w:pPr>
      <w:framePr w:wrap="around" w:hAnchor="text"/>
    </w:pPr>
  </w:style>
  <w:style w:type="paragraph" w:customStyle="1" w:styleId="xStatus">
    <w:name w:val="xStatus"/>
    <w:basedOn w:val="Normal"/>
    <w:uiPriority w:val="3"/>
    <w:semiHidden/>
    <w:rsid w:val="00424608"/>
    <w:pPr>
      <w:tabs>
        <w:tab w:val="left" w:pos="1134"/>
        <w:tab w:val="left" w:pos="2268"/>
        <w:tab w:val="left" w:pos="3402"/>
        <w:tab w:val="left" w:pos="4536"/>
        <w:tab w:val="left" w:pos="5103"/>
      </w:tabs>
      <w:spacing w:after="0" w:line="240" w:lineRule="auto"/>
      <w:jc w:val="center"/>
    </w:pPr>
    <w:rPr>
      <w:rFonts w:eastAsia="Times New Roman" w:cs="Arial"/>
      <w:caps/>
      <w:color w:val="EAEAEA"/>
      <w:spacing w:val="40"/>
      <w:sz w:val="120"/>
      <w:szCs w:val="24"/>
      <w:lang w:eastAsia="en-AU"/>
    </w:rPr>
  </w:style>
  <w:style w:type="paragraph" w:customStyle="1" w:styleId="AppendixHeading2">
    <w:name w:val="Appendix Heading 2"/>
    <w:basedOn w:val="Normal"/>
    <w:next w:val="BodyText"/>
    <w:uiPriority w:val="2"/>
    <w:semiHidden/>
    <w:rsid w:val="00424608"/>
    <w:pPr>
      <w:keepNext/>
      <w:keepLines/>
      <w:tabs>
        <w:tab w:val="left" w:pos="1559"/>
        <w:tab w:val="left" w:pos="1843"/>
        <w:tab w:val="left" w:pos="2126"/>
        <w:tab w:val="left" w:pos="2410"/>
      </w:tabs>
      <w:spacing w:before="100" w:after="100" w:line="240" w:lineRule="exact"/>
    </w:pPr>
    <w:rPr>
      <w:rFonts w:eastAsia="Times New Roman" w:cs="Arial"/>
      <w:b/>
      <w:color w:val="494847"/>
      <w:sz w:val="20"/>
      <w:szCs w:val="20"/>
      <w:lang w:eastAsia="en-AU"/>
    </w:rPr>
  </w:style>
  <w:style w:type="paragraph" w:styleId="Quote">
    <w:name w:val="Quote"/>
    <w:basedOn w:val="Normal"/>
    <w:link w:val="QuoteChar"/>
    <w:qFormat/>
    <w:rsid w:val="00424608"/>
    <w:pPr>
      <w:tabs>
        <w:tab w:val="left" w:pos="1134"/>
      </w:tabs>
      <w:spacing w:before="120" w:after="120" w:line="240" w:lineRule="atLeast"/>
      <w:ind w:left="284"/>
    </w:pPr>
    <w:rPr>
      <w:rFonts w:eastAsia="Times New Roman" w:cs="Arial"/>
      <w:i/>
      <w:iCs/>
      <w:color w:val="000000" w:themeColor="text1"/>
      <w:sz w:val="20"/>
      <w:szCs w:val="20"/>
      <w:lang w:eastAsia="en-AU"/>
    </w:rPr>
  </w:style>
  <w:style w:type="character" w:customStyle="1" w:styleId="QuoteChar">
    <w:name w:val="Quote Char"/>
    <w:basedOn w:val="DefaultParagraphFont"/>
    <w:link w:val="Quote"/>
    <w:rsid w:val="00424608"/>
    <w:rPr>
      <w:rFonts w:eastAsia="Times New Roman" w:cs="Arial"/>
      <w:i/>
      <w:iCs/>
      <w:color w:val="000000" w:themeColor="text1"/>
      <w:sz w:val="20"/>
      <w:szCs w:val="20"/>
      <w:lang w:eastAsia="en-AU"/>
    </w:rPr>
  </w:style>
  <w:style w:type="character" w:styleId="IntenseEmphasis">
    <w:name w:val="Intense Emphasis"/>
    <w:rsid w:val="00424608"/>
    <w:rPr>
      <w:b/>
      <w:bCs/>
      <w:i/>
      <w:iCs/>
      <w:color w:val="auto"/>
    </w:rPr>
  </w:style>
  <w:style w:type="paragraph" w:styleId="BlockText">
    <w:name w:val="Block Text"/>
    <w:basedOn w:val="Normal"/>
    <w:semiHidden/>
    <w:unhideWhenUsed/>
    <w:rsid w:val="00424608"/>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spacing w:after="0" w:line="240" w:lineRule="atLeast"/>
      <w:ind w:left="1152" w:right="1152"/>
    </w:pPr>
    <w:rPr>
      <w:rFonts w:eastAsiaTheme="minorEastAsia"/>
      <w:i/>
      <w:iCs/>
      <w:color w:val="44546A" w:themeColor="text2"/>
      <w:sz w:val="20"/>
      <w:szCs w:val="20"/>
      <w:lang w:eastAsia="en-AU"/>
    </w:rPr>
  </w:style>
  <w:style w:type="paragraph" w:styleId="IntenseQuote">
    <w:name w:val="Intense Quote"/>
    <w:basedOn w:val="Normal"/>
    <w:next w:val="Normal"/>
    <w:link w:val="IntenseQuoteChar"/>
    <w:rsid w:val="00424608"/>
    <w:pPr>
      <w:pBdr>
        <w:bottom w:val="single" w:sz="4" w:space="4" w:color="4472C4" w:themeColor="accent1"/>
      </w:pBdr>
      <w:spacing w:before="200" w:after="280" w:line="240" w:lineRule="atLeast"/>
      <w:ind w:left="936" w:right="936"/>
    </w:pPr>
    <w:rPr>
      <w:rFonts w:eastAsia="Times New Roman" w:cs="Arial"/>
      <w:b/>
      <w:bCs/>
      <w:i/>
      <w:iCs/>
      <w:color w:val="E7E6E6" w:themeColor="background2"/>
      <w:sz w:val="20"/>
      <w:szCs w:val="20"/>
      <w:lang w:eastAsia="en-AU"/>
    </w:rPr>
  </w:style>
  <w:style w:type="character" w:customStyle="1" w:styleId="IntenseQuoteChar">
    <w:name w:val="Intense Quote Char"/>
    <w:basedOn w:val="DefaultParagraphFont"/>
    <w:link w:val="IntenseQuote"/>
    <w:rsid w:val="00424608"/>
    <w:rPr>
      <w:rFonts w:eastAsia="Times New Roman" w:cs="Arial"/>
      <w:b/>
      <w:bCs/>
      <w:i/>
      <w:iCs/>
      <w:color w:val="E7E6E6" w:themeColor="background2"/>
      <w:sz w:val="20"/>
      <w:szCs w:val="20"/>
      <w:lang w:eastAsia="en-AU"/>
    </w:rPr>
  </w:style>
  <w:style w:type="paragraph" w:customStyle="1" w:styleId="PullOutBoxBodyText">
    <w:name w:val="Pull Out Box Body Text"/>
    <w:basedOn w:val="Normal"/>
    <w:qFormat/>
    <w:rsid w:val="00424608"/>
    <w:pPr>
      <w:spacing w:before="120" w:after="120" w:line="240" w:lineRule="atLeast"/>
      <w:ind w:left="142" w:right="142"/>
    </w:pPr>
    <w:rPr>
      <w:rFonts w:eastAsia="Times New Roman" w:cs="Arial"/>
      <w:color w:val="000000" w:themeColor="text1"/>
      <w:sz w:val="20"/>
      <w:szCs w:val="20"/>
      <w:lang w:eastAsia="en-AU"/>
    </w:rPr>
  </w:style>
  <w:style w:type="paragraph" w:customStyle="1" w:styleId="PullOutBoxHeading">
    <w:name w:val="Pull Out Box Heading"/>
    <w:basedOn w:val="PullOutBoxBodyText"/>
    <w:next w:val="PullOutBoxBodyText"/>
    <w:qFormat/>
    <w:rsid w:val="00424608"/>
    <w:pPr>
      <w:keepNext/>
      <w:keepLines/>
    </w:pPr>
    <w:rPr>
      <w:b/>
      <w:szCs w:val="24"/>
    </w:rPr>
  </w:style>
  <w:style w:type="paragraph" w:customStyle="1" w:styleId="PullOutBoxBullet">
    <w:name w:val="Pull Out Box Bullet"/>
    <w:basedOn w:val="PullOutBoxBodyText"/>
    <w:qFormat/>
    <w:rsid w:val="00424608"/>
    <w:pPr>
      <w:numPr>
        <w:numId w:val="11"/>
      </w:numPr>
    </w:pPr>
  </w:style>
  <w:style w:type="paragraph" w:customStyle="1" w:styleId="PullOutBoxBullet2">
    <w:name w:val="Pull Out Box Bullet 2"/>
    <w:basedOn w:val="PullOutBoxBodyText"/>
    <w:qFormat/>
    <w:rsid w:val="00424608"/>
    <w:pPr>
      <w:numPr>
        <w:ilvl w:val="1"/>
        <w:numId w:val="11"/>
      </w:numPr>
    </w:pPr>
  </w:style>
  <w:style w:type="paragraph" w:customStyle="1" w:styleId="PullOutBoxBullet3">
    <w:name w:val="Pull Out Box Bullet 3"/>
    <w:basedOn w:val="PullOutBoxBodyText"/>
    <w:qFormat/>
    <w:rsid w:val="00424608"/>
    <w:pPr>
      <w:numPr>
        <w:ilvl w:val="2"/>
        <w:numId w:val="11"/>
      </w:numPr>
    </w:pPr>
  </w:style>
  <w:style w:type="paragraph" w:customStyle="1" w:styleId="xBackPageWebAddress">
    <w:name w:val="xBack Page Web Address"/>
    <w:basedOn w:val="Normal"/>
    <w:semiHidden/>
    <w:rsid w:val="00424608"/>
    <w:pPr>
      <w:spacing w:before="140" w:after="0" w:line="240" w:lineRule="atLeast"/>
    </w:pPr>
    <w:rPr>
      <w:rFonts w:eastAsia="Times New Roman" w:cs="Arial"/>
      <w:color w:val="FFFFFF"/>
      <w:spacing w:val="-6"/>
      <w:sz w:val="36"/>
      <w:szCs w:val="36"/>
      <w:lang w:eastAsia="en-AU"/>
    </w:rPr>
  </w:style>
  <w:style w:type="paragraph" w:customStyle="1" w:styleId="xBackPage">
    <w:name w:val="xBack Page"/>
    <w:basedOn w:val="Normal"/>
    <w:semiHidden/>
    <w:rsid w:val="00424608"/>
    <w:pPr>
      <w:spacing w:after="0" w:line="240" w:lineRule="atLeast"/>
    </w:pPr>
    <w:rPr>
      <w:rFonts w:eastAsia="Times New Roman" w:cs="Arial"/>
      <w:color w:val="FFFFFF"/>
      <w:sz w:val="20"/>
      <w:szCs w:val="20"/>
      <w:lang w:eastAsia="en-AU"/>
    </w:rPr>
  </w:style>
  <w:style w:type="paragraph" w:customStyle="1" w:styleId="Source">
    <w:name w:val="Source"/>
    <w:basedOn w:val="Normal"/>
    <w:next w:val="BodyText"/>
    <w:rsid w:val="00424608"/>
    <w:pPr>
      <w:spacing w:before="60" w:after="60" w:line="180" w:lineRule="atLeast"/>
    </w:pPr>
    <w:rPr>
      <w:rFonts w:eastAsia="Times New Roman" w:cs="Arial"/>
      <w:b/>
      <w:i/>
      <w:color w:val="000000" w:themeColor="text1"/>
      <w:sz w:val="14"/>
      <w:szCs w:val="20"/>
      <w:lang w:eastAsia="en-AU"/>
    </w:rPr>
  </w:style>
  <w:style w:type="paragraph" w:customStyle="1" w:styleId="xDisclaimerText">
    <w:name w:val="xDisclaimer Text"/>
    <w:basedOn w:val="xContactDetails"/>
    <w:semiHidden/>
    <w:rsid w:val="00424608"/>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424608"/>
    <w:pPr>
      <w:spacing w:before="60" w:after="140" w:line="360" w:lineRule="exact"/>
    </w:pPr>
    <w:rPr>
      <w:rFonts w:eastAsia="Times New Roman" w:cs="Arial"/>
      <w:color w:val="44546A" w:themeColor="text2"/>
      <w:sz w:val="32"/>
      <w:szCs w:val="20"/>
      <w:lang w:eastAsia="en-AU"/>
    </w:rPr>
  </w:style>
  <w:style w:type="character" w:customStyle="1" w:styleId="BoldAndItalics">
    <w:name w:val="Bold And Italics"/>
    <w:semiHidden/>
    <w:rsid w:val="00424608"/>
    <w:rPr>
      <w:b/>
      <w:i/>
    </w:rPr>
  </w:style>
  <w:style w:type="paragraph" w:customStyle="1" w:styleId="TableTextRight">
    <w:name w:val="Table Text Right"/>
    <w:basedOn w:val="TableTextLeft"/>
    <w:qFormat/>
    <w:rsid w:val="00424608"/>
    <w:pPr>
      <w:jc w:val="right"/>
    </w:pPr>
  </w:style>
  <w:style w:type="paragraph" w:customStyle="1" w:styleId="CaptionDescriptive">
    <w:name w:val="Caption Descriptive"/>
    <w:basedOn w:val="BodyText"/>
    <w:next w:val="BodyText"/>
    <w:rsid w:val="00424608"/>
    <w:pPr>
      <w:spacing w:after="60" w:line="240" w:lineRule="auto"/>
      <w:ind w:right="227"/>
    </w:pPr>
    <w:rPr>
      <w:i/>
      <w:sz w:val="18"/>
      <w:szCs w:val="14"/>
    </w:rPr>
  </w:style>
  <w:style w:type="table" w:customStyle="1" w:styleId="PullOutBoxTable">
    <w:name w:val="Pull Out Box Table"/>
    <w:basedOn w:val="TableNormal"/>
    <w:uiPriority w:val="99"/>
    <w:rsid w:val="00424608"/>
    <w:pPr>
      <w:spacing w:after="0" w:line="240" w:lineRule="auto"/>
    </w:pPr>
    <w:rPr>
      <w:rFonts w:eastAsia="Times New Roman" w:cs="Arial"/>
      <w:color w:val="000000" w:themeColor="text1"/>
      <w:sz w:val="20"/>
      <w:szCs w:val="20"/>
      <w:lang w:eastAsia="en-AU"/>
    </w:rPr>
    <w:tblPr>
      <w:tblBorders>
        <w:top w:val="single" w:sz="4" w:space="0" w:color="44546A" w:themeColor="text2"/>
        <w:left w:val="single" w:sz="4" w:space="0" w:color="44546A" w:themeColor="text2"/>
        <w:bottom w:val="single" w:sz="4" w:space="0" w:color="44546A" w:themeColor="text2"/>
        <w:right w:val="single" w:sz="4" w:space="0" w:color="44546A"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424608"/>
    <w:pPr>
      <w:spacing w:after="0" w:line="240" w:lineRule="auto"/>
    </w:pPr>
    <w:rPr>
      <w:rFonts w:eastAsia="Times New Roman" w:cs="Arial"/>
      <w:color w:val="000000" w:themeColor="text1"/>
      <w:sz w:val="20"/>
      <w:szCs w:val="20"/>
      <w:lang w:eastAsia="en-AU"/>
    </w:rPr>
  </w:style>
  <w:style w:type="paragraph" w:styleId="Date">
    <w:name w:val="Date"/>
    <w:basedOn w:val="Normal"/>
    <w:next w:val="Normal"/>
    <w:link w:val="DateChar"/>
    <w:semiHidden/>
    <w:rsid w:val="00424608"/>
    <w:pPr>
      <w:spacing w:after="0" w:line="240" w:lineRule="atLeast"/>
    </w:pPr>
    <w:rPr>
      <w:rFonts w:eastAsia="Times New Roman" w:cs="Arial"/>
      <w:b/>
      <w:color w:val="FFFFFF"/>
      <w:sz w:val="36"/>
      <w:szCs w:val="20"/>
      <w:lang w:eastAsia="en-AU"/>
    </w:rPr>
  </w:style>
  <w:style w:type="character" w:customStyle="1" w:styleId="DateChar">
    <w:name w:val="Date Char"/>
    <w:basedOn w:val="DefaultParagraphFont"/>
    <w:link w:val="Date"/>
    <w:semiHidden/>
    <w:rsid w:val="00424608"/>
    <w:rPr>
      <w:rFonts w:eastAsia="Times New Roman" w:cs="Arial"/>
      <w:b/>
      <w:color w:val="FFFFFF"/>
      <w:sz w:val="36"/>
      <w:szCs w:val="20"/>
      <w:lang w:eastAsia="en-AU"/>
    </w:rPr>
  </w:style>
  <w:style w:type="paragraph" w:styleId="NormalWeb">
    <w:name w:val="Normal (Web)"/>
    <w:basedOn w:val="Normal"/>
    <w:uiPriority w:val="99"/>
    <w:unhideWhenUsed/>
    <w:rsid w:val="00424608"/>
    <w:pPr>
      <w:spacing w:after="0" w:line="240" w:lineRule="atLeast"/>
    </w:pPr>
    <w:rPr>
      <w:rFonts w:eastAsiaTheme="minorEastAsia" w:cs="Times New Roman"/>
      <w:color w:val="000000" w:themeColor="text1"/>
      <w:sz w:val="20"/>
      <w:szCs w:val="24"/>
      <w:lang w:eastAsia="en-AU"/>
    </w:rPr>
  </w:style>
  <w:style w:type="character" w:customStyle="1" w:styleId="MySuperscript">
    <w:name w:val="MySuperscript"/>
    <w:uiPriority w:val="1"/>
    <w:semiHidden/>
    <w:rsid w:val="00424608"/>
    <w:rPr>
      <w:vertAlign w:val="superscript"/>
    </w:rPr>
  </w:style>
  <w:style w:type="character" w:customStyle="1" w:styleId="MySubscript">
    <w:name w:val="MySubscript"/>
    <w:uiPriority w:val="1"/>
    <w:semiHidden/>
    <w:rsid w:val="00424608"/>
    <w:rPr>
      <w:vertAlign w:val="subscript"/>
    </w:rPr>
  </w:style>
  <w:style w:type="character" w:customStyle="1" w:styleId="MySuperscriptItalics">
    <w:name w:val="MySuperscript&amp;Italics"/>
    <w:uiPriority w:val="1"/>
    <w:semiHidden/>
    <w:rsid w:val="00424608"/>
    <w:rPr>
      <w:i/>
      <w:vertAlign w:val="superscript"/>
    </w:rPr>
  </w:style>
  <w:style w:type="character" w:customStyle="1" w:styleId="MySubscriptItalics">
    <w:name w:val="MySubscript&amp;Italics"/>
    <w:uiPriority w:val="1"/>
    <w:semiHidden/>
    <w:rsid w:val="00424608"/>
    <w:rPr>
      <w:i/>
      <w:vertAlign w:val="subscript"/>
    </w:rPr>
  </w:style>
  <w:style w:type="paragraph" w:customStyle="1" w:styleId="QuoteBullet">
    <w:name w:val="Quote Bullet"/>
    <w:basedOn w:val="Quote"/>
    <w:qFormat/>
    <w:rsid w:val="00424608"/>
    <w:pPr>
      <w:numPr>
        <w:numId w:val="9"/>
      </w:numPr>
    </w:pPr>
  </w:style>
  <w:style w:type="paragraph" w:customStyle="1" w:styleId="QuoteBullet2">
    <w:name w:val="Quote Bullet 2"/>
    <w:basedOn w:val="Quote"/>
    <w:qFormat/>
    <w:rsid w:val="00424608"/>
    <w:pPr>
      <w:numPr>
        <w:ilvl w:val="1"/>
        <w:numId w:val="9"/>
      </w:numPr>
      <w:tabs>
        <w:tab w:val="clear" w:pos="1134"/>
      </w:tabs>
    </w:pPr>
  </w:style>
  <w:style w:type="character" w:styleId="CommentReference">
    <w:name w:val="annotation reference"/>
    <w:basedOn w:val="DefaultParagraphFont"/>
    <w:semiHidden/>
    <w:rsid w:val="00424608"/>
    <w:rPr>
      <w:sz w:val="16"/>
      <w:szCs w:val="16"/>
    </w:rPr>
  </w:style>
  <w:style w:type="paragraph" w:styleId="CommentText">
    <w:name w:val="annotation text"/>
    <w:basedOn w:val="Normal"/>
    <w:link w:val="CommentTextChar"/>
    <w:semiHidden/>
    <w:rsid w:val="00424608"/>
    <w:pPr>
      <w:spacing w:after="0" w:line="240" w:lineRule="auto"/>
    </w:pPr>
    <w:rPr>
      <w:rFonts w:eastAsia="Times New Roman" w:cs="Arial"/>
      <w:color w:val="000000" w:themeColor="text1"/>
      <w:sz w:val="20"/>
      <w:szCs w:val="20"/>
      <w:lang w:eastAsia="en-AU"/>
    </w:rPr>
  </w:style>
  <w:style w:type="character" w:customStyle="1" w:styleId="CommentTextChar">
    <w:name w:val="Comment Text Char"/>
    <w:basedOn w:val="DefaultParagraphFont"/>
    <w:link w:val="CommentText"/>
    <w:semiHidden/>
    <w:rsid w:val="00424608"/>
    <w:rPr>
      <w:rFonts w:eastAsia="Times New Roman" w:cs="Arial"/>
      <w:color w:val="000000" w:themeColor="text1"/>
      <w:sz w:val="20"/>
      <w:szCs w:val="20"/>
      <w:lang w:eastAsia="en-AU"/>
    </w:rPr>
  </w:style>
  <w:style w:type="paragraph" w:styleId="CommentSubject">
    <w:name w:val="annotation subject"/>
    <w:basedOn w:val="CommentText"/>
    <w:next w:val="CommentText"/>
    <w:link w:val="CommentSubjectChar"/>
    <w:semiHidden/>
    <w:rsid w:val="00424608"/>
    <w:rPr>
      <w:b/>
      <w:bCs/>
    </w:rPr>
  </w:style>
  <w:style w:type="character" w:customStyle="1" w:styleId="CommentSubjectChar">
    <w:name w:val="Comment Subject Char"/>
    <w:basedOn w:val="CommentTextChar"/>
    <w:link w:val="CommentSubject"/>
    <w:semiHidden/>
    <w:rsid w:val="00424608"/>
    <w:rPr>
      <w:rFonts w:eastAsia="Times New Roman" w:cs="Arial"/>
      <w:b/>
      <w:bCs/>
      <w:color w:val="000000" w:themeColor="text1"/>
      <w:sz w:val="20"/>
      <w:szCs w:val="20"/>
      <w:lang w:eastAsia="en-AU"/>
    </w:rPr>
  </w:style>
  <w:style w:type="paragraph" w:customStyle="1" w:styleId="PullOutBoxNumbered">
    <w:name w:val="Pull Out Box Numbered"/>
    <w:basedOn w:val="PullOutBoxBodyText"/>
    <w:qFormat/>
    <w:rsid w:val="00424608"/>
    <w:pPr>
      <w:numPr>
        <w:numId w:val="5"/>
      </w:numPr>
    </w:pPr>
  </w:style>
  <w:style w:type="paragraph" w:customStyle="1" w:styleId="PullOutBoxNumbered2">
    <w:name w:val="Pull Out Box Numbered 2"/>
    <w:basedOn w:val="PullOutBoxBodyText"/>
    <w:qFormat/>
    <w:rsid w:val="00424608"/>
    <w:pPr>
      <w:numPr>
        <w:ilvl w:val="1"/>
        <w:numId w:val="5"/>
      </w:numPr>
    </w:pPr>
  </w:style>
  <w:style w:type="paragraph" w:customStyle="1" w:styleId="PullOutBoxNumbered3">
    <w:name w:val="Pull Out Box Numbered 3"/>
    <w:basedOn w:val="PullOutBoxBodyText"/>
    <w:qFormat/>
    <w:rsid w:val="00424608"/>
    <w:pPr>
      <w:numPr>
        <w:ilvl w:val="2"/>
        <w:numId w:val="5"/>
      </w:numPr>
    </w:pPr>
  </w:style>
  <w:style w:type="table" w:styleId="TableGrid1">
    <w:name w:val="Table Grid 1"/>
    <w:basedOn w:val="TableNormal"/>
    <w:rsid w:val="00424608"/>
    <w:pPr>
      <w:spacing w:after="0" w:line="240" w:lineRule="atLeast"/>
    </w:pPr>
    <w:rPr>
      <w:rFonts w:eastAsia="Times New Roman" w:cs="Arial"/>
      <w:color w:val="000000" w:themeColor="text1"/>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424608"/>
    <w:pPr>
      <w:spacing w:after="0" w:line="240" w:lineRule="atLeast"/>
    </w:pPr>
    <w:rPr>
      <w:rFonts w:eastAsia="Times New Roman" w:cs="Arial"/>
      <w:color w:val="000000" w:themeColor="text1"/>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424608"/>
    <w:pPr>
      <w:spacing w:after="0" w:line="240" w:lineRule="atLeast"/>
    </w:pPr>
    <w:rPr>
      <w:rFonts w:eastAsia="Times New Roman" w:cs="Arial"/>
      <w:color w:val="000000" w:themeColor="text1"/>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44546A"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424608"/>
    <w:pPr>
      <w:spacing w:after="0" w:line="240" w:lineRule="atLeast"/>
    </w:pPr>
    <w:rPr>
      <w:rFonts w:eastAsia="Times New Roman" w:cs="Arial"/>
      <w:color w:val="000000" w:themeColor="text1"/>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424608"/>
    <w:pPr>
      <w:spacing w:before="180" w:after="170"/>
    </w:pPr>
  </w:style>
  <w:style w:type="paragraph" w:customStyle="1" w:styleId="Heading1TopofPage">
    <w:name w:val="Heading 1 Top of Page"/>
    <w:basedOn w:val="Heading1"/>
    <w:next w:val="BodyText"/>
    <w:qFormat/>
    <w:rsid w:val="00424608"/>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424608"/>
    <w:pPr>
      <w:keepLines/>
      <w:pageBreakBefore/>
      <w:framePr w:w="11907" w:h="2155" w:hSpace="181" w:wrap="around" w:vAnchor="page" w:hAnchor="page" w:xAlign="right" w:yAlign="top"/>
      <w:spacing w:before="1300" w:after="0" w:line="240" w:lineRule="atLeast"/>
      <w:ind w:left="1134" w:right="1134"/>
      <w:suppressOverlap/>
      <w:jc w:val="right"/>
      <w:outlineLvl w:val="4"/>
    </w:pPr>
    <w:rPr>
      <w:rFonts w:eastAsia="Times New Roman" w:cs="Arial"/>
      <w:b/>
      <w:color w:val="44546A" w:themeColor="text2"/>
      <w:sz w:val="40"/>
      <w:szCs w:val="40"/>
      <w:lang w:eastAsia="en-AU"/>
    </w:rPr>
  </w:style>
  <w:style w:type="paragraph" w:customStyle="1" w:styleId="HighlightBoxText">
    <w:name w:val="Highlight Box Text"/>
    <w:basedOn w:val="Normal"/>
    <w:qFormat/>
    <w:rsid w:val="00424608"/>
    <w:pPr>
      <w:spacing w:before="120" w:after="120" w:line="300" w:lineRule="atLeast"/>
      <w:ind w:left="227" w:right="227"/>
    </w:pPr>
    <w:rPr>
      <w:rFonts w:eastAsia="Times New Roman" w:cs="Arial"/>
      <w:color w:val="FFFFFF"/>
      <w:spacing w:val="-2"/>
      <w:sz w:val="24"/>
      <w:szCs w:val="20"/>
      <w:lang w:eastAsia="en-AU"/>
    </w:rPr>
  </w:style>
  <w:style w:type="character" w:styleId="FollowedHyperlink">
    <w:name w:val="FollowedHyperlink"/>
    <w:basedOn w:val="DefaultParagraphFont"/>
    <w:rsid w:val="00424608"/>
    <w:rPr>
      <w:color w:val="954F72" w:themeColor="followedHyperlink"/>
      <w:u w:val="single"/>
    </w:rPr>
  </w:style>
  <w:style w:type="table" w:customStyle="1" w:styleId="LogoPlaceholder">
    <w:name w:val="Logo Placeholder"/>
    <w:basedOn w:val="TableNormal"/>
    <w:uiPriority w:val="99"/>
    <w:rsid w:val="00424608"/>
    <w:pPr>
      <w:spacing w:after="0" w:line="240" w:lineRule="auto"/>
    </w:pPr>
    <w:rPr>
      <w:rFonts w:eastAsia="Times New Roman" w:cs="Arial"/>
      <w:color w:val="000000" w:themeColor="text1"/>
      <w:sz w:val="20"/>
      <w:szCs w:val="20"/>
      <w:lang w:eastAsia="en-AU"/>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424608"/>
    <w:pPr>
      <w:jc w:val="right"/>
    </w:pPr>
    <w:rPr>
      <w:rFonts w:cs="Times New Roman"/>
    </w:rPr>
  </w:style>
  <w:style w:type="paragraph" w:customStyle="1" w:styleId="xCoverStatus">
    <w:name w:val="xCoverStatus"/>
    <w:basedOn w:val="Normal"/>
    <w:semiHidden/>
    <w:rsid w:val="00424608"/>
    <w:pPr>
      <w:spacing w:after="0" w:line="240" w:lineRule="atLeast"/>
    </w:pPr>
    <w:rPr>
      <w:rFonts w:eastAsia="Times New Roman" w:cs="Arial"/>
      <w:b/>
      <w:caps/>
      <w:color w:val="FF0000"/>
      <w:sz w:val="48"/>
      <w:szCs w:val="52"/>
      <w:lang w:eastAsia="en-AU"/>
    </w:rPr>
  </w:style>
  <w:style w:type="paragraph" w:customStyle="1" w:styleId="TableTextCentre">
    <w:name w:val="Table Text Centre"/>
    <w:basedOn w:val="TableTextLeft"/>
    <w:qFormat/>
    <w:rsid w:val="00424608"/>
    <w:pPr>
      <w:jc w:val="center"/>
    </w:pPr>
  </w:style>
  <w:style w:type="paragraph" w:customStyle="1" w:styleId="TableHeadingCentre">
    <w:name w:val="Table Heading Centre"/>
    <w:basedOn w:val="TableHeadingLeft"/>
    <w:qFormat/>
    <w:rsid w:val="00424608"/>
    <w:pPr>
      <w:jc w:val="center"/>
    </w:pPr>
  </w:style>
  <w:style w:type="paragraph" w:customStyle="1" w:styleId="Footnotes2">
    <w:name w:val="Footnotes 2"/>
    <w:basedOn w:val="Normal"/>
    <w:rsid w:val="00424608"/>
    <w:pPr>
      <w:numPr>
        <w:ilvl w:val="1"/>
        <w:numId w:val="6"/>
      </w:numPr>
      <w:spacing w:after="100" w:afterAutospacing="1" w:line="180" w:lineRule="atLeast"/>
      <w:ind w:left="568" w:hanging="284"/>
      <w:contextualSpacing/>
    </w:pPr>
    <w:rPr>
      <w:rFonts w:eastAsia="Times New Roman" w:cs="Arial"/>
      <w:color w:val="000000" w:themeColor="text1"/>
      <w:sz w:val="14"/>
      <w:szCs w:val="20"/>
      <w:lang w:eastAsia="en-AU"/>
    </w:rPr>
  </w:style>
  <w:style w:type="table" w:customStyle="1" w:styleId="HighlightTable">
    <w:name w:val="Highlight Table"/>
    <w:basedOn w:val="TableNormal"/>
    <w:uiPriority w:val="99"/>
    <w:rsid w:val="00424608"/>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424608"/>
    <w:rPr>
      <w:color w:val="44546A" w:themeColor="text2"/>
    </w:rPr>
  </w:style>
  <w:style w:type="paragraph" w:customStyle="1" w:styleId="CaptionImageorFigure">
    <w:name w:val="Caption Image or Figure"/>
    <w:basedOn w:val="Caption"/>
    <w:qFormat/>
    <w:rsid w:val="00424608"/>
    <w:pPr>
      <w:spacing w:before="60" w:after="120"/>
    </w:pPr>
  </w:style>
  <w:style w:type="paragraph" w:customStyle="1" w:styleId="PhotoCredit">
    <w:name w:val="Photo Credit"/>
    <w:basedOn w:val="CaptionDescriptive"/>
    <w:next w:val="BodyText"/>
    <w:qFormat/>
    <w:rsid w:val="00424608"/>
    <w:rPr>
      <w:i w:val="0"/>
      <w:sz w:val="16"/>
    </w:rPr>
  </w:style>
  <w:style w:type="paragraph" w:customStyle="1" w:styleId="ListAlpha">
    <w:name w:val="List Alpha"/>
    <w:basedOn w:val="Normal"/>
    <w:qFormat/>
    <w:rsid w:val="00424608"/>
    <w:pPr>
      <w:numPr>
        <w:numId w:val="13"/>
      </w:numPr>
      <w:spacing w:before="120" w:after="120" w:line="240" w:lineRule="atLeast"/>
    </w:pPr>
    <w:rPr>
      <w:rFonts w:eastAsia="Times New Roman" w:cs="Arial"/>
      <w:color w:val="000000" w:themeColor="text1"/>
      <w:sz w:val="20"/>
      <w:szCs w:val="20"/>
      <w:lang w:eastAsia="en-AU"/>
    </w:rPr>
  </w:style>
  <w:style w:type="paragraph" w:customStyle="1" w:styleId="ListAlpha2">
    <w:name w:val="List Alpha 2"/>
    <w:basedOn w:val="Normal"/>
    <w:qFormat/>
    <w:rsid w:val="00424608"/>
    <w:pPr>
      <w:numPr>
        <w:ilvl w:val="1"/>
        <w:numId w:val="13"/>
      </w:numPr>
      <w:spacing w:before="120" w:after="120" w:line="240" w:lineRule="atLeast"/>
    </w:pPr>
    <w:rPr>
      <w:rFonts w:eastAsia="Times New Roman" w:cs="Arial"/>
      <w:color w:val="000000" w:themeColor="text1"/>
      <w:sz w:val="20"/>
      <w:szCs w:val="20"/>
      <w:lang w:eastAsia="en-AU"/>
    </w:rPr>
  </w:style>
  <w:style w:type="paragraph" w:customStyle="1" w:styleId="ListAlpha3">
    <w:name w:val="List Alpha 3"/>
    <w:basedOn w:val="Normal"/>
    <w:qFormat/>
    <w:rsid w:val="00424608"/>
    <w:pPr>
      <w:numPr>
        <w:ilvl w:val="2"/>
        <w:numId w:val="13"/>
      </w:numPr>
      <w:spacing w:before="120" w:after="120" w:line="240" w:lineRule="atLeast"/>
    </w:pPr>
    <w:rPr>
      <w:rFonts w:eastAsia="Times New Roman" w:cs="Arial"/>
      <w:color w:val="000000" w:themeColor="text1"/>
      <w:sz w:val="20"/>
      <w:szCs w:val="20"/>
      <w:lang w:eastAsia="en-AU"/>
    </w:rPr>
  </w:style>
  <w:style w:type="paragraph" w:customStyle="1" w:styleId="HighlightBoxHeading">
    <w:name w:val="Highlight Box Heading"/>
    <w:basedOn w:val="HighlightBoxText"/>
    <w:qFormat/>
    <w:rsid w:val="00424608"/>
    <w:rPr>
      <w:b/>
    </w:rPr>
  </w:style>
  <w:style w:type="paragraph" w:customStyle="1" w:styleId="HighlightBoxBullet">
    <w:name w:val="Highlight Box Bullet"/>
    <w:basedOn w:val="HighlightBoxText"/>
    <w:qFormat/>
    <w:rsid w:val="00424608"/>
    <w:pPr>
      <w:numPr>
        <w:numId w:val="33"/>
      </w:numPr>
      <w:tabs>
        <w:tab w:val="left" w:pos="454"/>
      </w:tabs>
    </w:pPr>
  </w:style>
  <w:style w:type="character" w:customStyle="1" w:styleId="MyUnderline">
    <w:name w:val="MyUnderline"/>
    <w:uiPriority w:val="1"/>
    <w:semiHidden/>
    <w:rsid w:val="00424608"/>
    <w:rPr>
      <w:u w:val="single"/>
      <w:lang w:eastAsia="en-AU"/>
    </w:rPr>
  </w:style>
  <w:style w:type="character" w:customStyle="1" w:styleId="MyBoldItalicsUnderline">
    <w:name w:val="MyBoldItalicsUnderline"/>
    <w:uiPriority w:val="1"/>
    <w:semiHidden/>
    <w:rsid w:val="00424608"/>
    <w:rPr>
      <w:b/>
      <w:i/>
      <w:u w:val="single"/>
    </w:rPr>
  </w:style>
  <w:style w:type="character" w:customStyle="1" w:styleId="MyBoldUnderline">
    <w:name w:val="MyBoldUnderline"/>
    <w:uiPriority w:val="1"/>
    <w:semiHidden/>
    <w:rsid w:val="00424608"/>
    <w:rPr>
      <w:b/>
      <w:u w:val="single"/>
    </w:rPr>
  </w:style>
  <w:style w:type="character" w:customStyle="1" w:styleId="MyItalicsUnderline">
    <w:name w:val="MyItalicsUnderline"/>
    <w:uiPriority w:val="1"/>
    <w:semiHidden/>
    <w:rsid w:val="00424608"/>
    <w:rPr>
      <w:i/>
      <w:u w:val="single"/>
    </w:rPr>
  </w:style>
  <w:style w:type="paragraph" w:customStyle="1" w:styleId="SmallBodyText">
    <w:name w:val="Small Body Text"/>
    <w:basedOn w:val="xDisclaimerText"/>
    <w:qFormat/>
    <w:rsid w:val="00424608"/>
    <w:pPr>
      <w:spacing w:before="40" w:after="40" w:line="160" w:lineRule="atLeast"/>
      <w:ind w:right="340"/>
    </w:pPr>
    <w:rPr>
      <w:spacing w:val="2"/>
    </w:rPr>
  </w:style>
  <w:style w:type="paragraph" w:customStyle="1" w:styleId="SmallBullet">
    <w:name w:val="Small Bullet"/>
    <w:basedOn w:val="SmallBodyText"/>
    <w:rsid w:val="00424608"/>
    <w:pPr>
      <w:numPr>
        <w:numId w:val="29"/>
      </w:numPr>
    </w:pPr>
  </w:style>
  <w:style w:type="paragraph" w:customStyle="1" w:styleId="SmallHeading">
    <w:name w:val="Small Heading"/>
    <w:basedOn w:val="xDisclaimerHeading"/>
    <w:next w:val="SmallBodyText"/>
    <w:qFormat/>
    <w:rsid w:val="00424608"/>
    <w:pPr>
      <w:spacing w:before="60" w:after="0" w:line="160" w:lineRule="atLeast"/>
      <w:ind w:right="3119"/>
    </w:pPr>
    <w:rPr>
      <w:sz w:val="12"/>
    </w:rPr>
  </w:style>
  <w:style w:type="paragraph" w:customStyle="1" w:styleId="xWeb">
    <w:name w:val="xWeb"/>
    <w:basedOn w:val="Normal"/>
    <w:rsid w:val="00424608"/>
    <w:pPr>
      <w:spacing w:after="0" w:line="240" w:lineRule="auto"/>
    </w:pPr>
    <w:rPr>
      <w:rFonts w:eastAsia="Times New Roman" w:cs="Arial"/>
      <w:b/>
      <w:color w:val="00A9B2"/>
      <w:spacing w:val="-4"/>
      <w:sz w:val="25"/>
      <w:szCs w:val="42"/>
      <w:lang w:eastAsia="en-AU"/>
    </w:rPr>
  </w:style>
  <w:style w:type="table" w:customStyle="1" w:styleId="DELWPTableNormal">
    <w:name w:val="DELWP Table Normal"/>
    <w:basedOn w:val="TableNormal"/>
    <w:uiPriority w:val="99"/>
    <w:rsid w:val="00424608"/>
    <w:pPr>
      <w:spacing w:after="0" w:line="240" w:lineRule="auto"/>
    </w:pPr>
    <w:rPr>
      <w:rFonts w:eastAsia="Times New Roman" w:cs="Arial"/>
      <w:color w:val="000000" w:themeColor="text1"/>
      <w:sz w:val="20"/>
      <w:szCs w:val="20"/>
      <w:lang w:eastAsia="en-AU"/>
    </w:rPr>
    <w:tblPr/>
  </w:style>
  <w:style w:type="paragraph" w:customStyle="1" w:styleId="xAccessibilityText">
    <w:name w:val="xAccessibility Text"/>
    <w:basedOn w:val="Normal"/>
    <w:semiHidden/>
    <w:qFormat/>
    <w:rsid w:val="00424608"/>
    <w:pPr>
      <w:spacing w:after="0" w:line="276" w:lineRule="exact"/>
    </w:pPr>
    <w:rPr>
      <w:rFonts w:eastAsia="Times New Roman" w:cs="Arial"/>
      <w:color w:val="000000" w:themeColor="text1"/>
      <w:sz w:val="24"/>
      <w:szCs w:val="20"/>
      <w:lang w:eastAsia="en-AU"/>
    </w:rPr>
  </w:style>
  <w:style w:type="paragraph" w:customStyle="1" w:styleId="xAccessibilityHeading">
    <w:name w:val="xAccessibility Heading"/>
    <w:basedOn w:val="Normal"/>
    <w:semiHidden/>
    <w:qFormat/>
    <w:rsid w:val="00424608"/>
    <w:pPr>
      <w:spacing w:after="0" w:line="300" w:lineRule="exact"/>
    </w:pPr>
    <w:rPr>
      <w:rFonts w:eastAsia="Times New Roman" w:cs="Arial"/>
      <w:b/>
      <w:color w:val="000000" w:themeColor="text1"/>
      <w:szCs w:val="20"/>
      <w:lang w:eastAsia="en-AU"/>
    </w:rPr>
  </w:style>
  <w:style w:type="paragraph" w:customStyle="1" w:styleId="FooterEvenPageNumber">
    <w:name w:val="Footer Even Page Number"/>
    <w:basedOn w:val="FooterEven"/>
    <w:semiHidden/>
    <w:rsid w:val="00424608"/>
    <w:pPr>
      <w:framePr w:wrap="around" w:vAnchor="page" w:hAnchor="margin" w:yAlign="bottom"/>
    </w:pPr>
    <w:rPr>
      <w:b/>
      <w:color w:val="4472C4" w:themeColor="accent1"/>
    </w:rPr>
  </w:style>
  <w:style w:type="character" w:customStyle="1" w:styleId="HiddenText">
    <w:name w:val="Hidden Text"/>
    <w:basedOn w:val="DefaultParagraphFont"/>
    <w:uiPriority w:val="1"/>
    <w:qFormat/>
    <w:rsid w:val="00424608"/>
    <w:rPr>
      <w:vanish/>
      <w:color w:val="FF0000"/>
      <w:sz w:val="16"/>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A9613B5A856C459EDECC3AA1674F83" ma:contentTypeVersion="11" ma:contentTypeDescription="Create a new document." ma:contentTypeScope="" ma:versionID="cd18bf31ac815e2a88468dcba49dc4e4">
  <xsd:schema xmlns:xsd="http://www.w3.org/2001/XMLSchema" xmlns:xs="http://www.w3.org/2001/XMLSchema" xmlns:p="http://schemas.microsoft.com/office/2006/metadata/properties" xmlns:ns3="cd19703c-cf10-4880-bdc8-f4da04293433" xmlns:ns4="b29f9d2e-08b7-4224-9f22-ae852b66cb41" targetNamespace="http://schemas.microsoft.com/office/2006/metadata/properties" ma:root="true" ma:fieldsID="25713e66be1dd71e6064c47d96113971" ns3:_="" ns4:_="">
    <xsd:import namespace="cd19703c-cf10-4880-bdc8-f4da04293433"/>
    <xsd:import namespace="b29f9d2e-08b7-4224-9f22-ae852b66cb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703c-cf10-4880-bdc8-f4da042934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f9d2e-08b7-4224-9f22-ae852b66cb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3920-E5C3-4FF2-8BCE-FD1E7F5E9EBE}">
  <ds:schemaRefs>
    <ds:schemaRef ds:uri="http://www.w3.org/2001/XMLSchema"/>
  </ds:schemaRefs>
</ds:datastoreItem>
</file>

<file path=customXml/itemProps2.xml><?xml version="1.0" encoding="utf-8"?>
<ds:datastoreItem xmlns:ds="http://schemas.openxmlformats.org/officeDocument/2006/customXml" ds:itemID="{A3CB6BBF-6736-4311-95AD-D8EB8B528F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29D0EF-E34F-4F21-8C65-E134AF51AFD0}">
  <ds:schemaRefs>
    <ds:schemaRef ds:uri="http://schemas.microsoft.com/sharepoint/v3/contenttype/forms"/>
  </ds:schemaRefs>
</ds:datastoreItem>
</file>

<file path=customXml/itemProps4.xml><?xml version="1.0" encoding="utf-8"?>
<ds:datastoreItem xmlns:ds="http://schemas.openxmlformats.org/officeDocument/2006/customXml" ds:itemID="{2562CD39-A0F2-4841-8FE2-CCEED675E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703c-cf10-4880-bdc8-f4da04293433"/>
    <ds:schemaRef ds:uri="b29f9d2e-08b7-4224-9f22-ae852b66c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26E10B-8F82-4F5C-8CF9-E973C9FEA068}">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16.xml><?xml version="1.0" encoding="utf-8"?>
<clbl:labelList xmlns:clbl="http://schemas.microsoft.com/office/2020/mipLabelMetadata"/>
</file>

<file path=docMetadata/LabelInfo17.xml><?xml version="1.0" encoding="utf-8"?>
<clbl:labelList xmlns:clbl="http://schemas.microsoft.com/office/2020/mipLabelMetadata"/>
</file>

<file path=docMetadata/LabelInfo18.xml><?xml version="1.0" encoding="utf-8"?>
<clbl:labelList xmlns:clbl="http://schemas.microsoft.com/office/2020/mipLabelMetadata"/>
</file>

<file path=docMetadata/LabelInfo19.xml><?xml version="1.0" encoding="utf-8"?>
<clbl:labelList xmlns:clbl="http://schemas.microsoft.com/office/2020/mipLabelMetadata"/>
</file>

<file path=docMetadata/LabelInfo2.xml><?xml version="1.0" encoding="utf-8"?>
<clbl:labelList xmlns:clbl="http://schemas.microsoft.com/office/2020/mipLabelMetadata"/>
</file>

<file path=docMetadata/LabelInfo20.xml><?xml version="1.0" encoding="utf-8"?>
<clbl:labelList xmlns:clbl="http://schemas.microsoft.com/office/2020/mipLabelMetadata"/>
</file>

<file path=docMetadata/LabelInfo21.xml><?xml version="1.0" encoding="utf-8"?>
<clbl:labelList xmlns:clbl="http://schemas.microsoft.com/office/2020/mipLabelMetadata"/>
</file>

<file path=docMetadata/LabelInfo22.xml><?xml version="1.0" encoding="utf-8"?>
<clbl:labelList xmlns:clbl="http://schemas.microsoft.com/office/2020/mipLabelMetadata"/>
</file>

<file path=docMetadata/LabelInfo23.xml><?xml version="1.0" encoding="utf-8"?>
<clbl:labelList xmlns:clbl="http://schemas.microsoft.com/office/2020/mipLabelMetadata"/>
</file>

<file path=docMetadata/LabelInfo24.xml><?xml version="1.0" encoding="utf-8"?>
<clbl:labelList xmlns:clbl="http://schemas.microsoft.com/office/2020/mipLabelMetadata"/>
</file>

<file path=docMetadata/LabelInfo25.xml><?xml version="1.0" encoding="utf-8"?>
<clbl:labelList xmlns:clbl="http://schemas.microsoft.com/office/2020/mipLabelMetadata"/>
</file>

<file path=docMetadata/LabelInfo26.xml><?xml version="1.0" encoding="utf-8"?>
<clbl:labelList xmlns:clbl="http://schemas.microsoft.com/office/2020/mipLabelMetadata"/>
</file>

<file path=docMetadata/LabelInfo27.xml><?xml version="1.0" encoding="utf-8"?>
<clbl:labelList xmlns:clbl="http://schemas.microsoft.com/office/2020/mipLabelMetadata"/>
</file>

<file path=docMetadata/LabelInfo28.xml><?xml version="1.0" encoding="utf-8"?>
<clbl:labelList xmlns:clbl="http://schemas.microsoft.com/office/2020/mipLabelMetadata"/>
</file>

<file path=docMetadata/LabelInfo29.xml><?xml version="1.0" encoding="utf-8"?>
<clbl:labelList xmlns:clbl="http://schemas.microsoft.com/office/2020/mipLabelMetadata"/>
</file>

<file path=docMetadata/LabelInfo3.xml><?xml version="1.0" encoding="utf-8"?>
<clbl:labelList xmlns:clbl="http://schemas.microsoft.com/office/2020/mipLabelMetadata"/>
</file>

<file path=docMetadata/LabelInfo30.xml><?xml version="1.0" encoding="utf-8"?>
<clbl:labelList xmlns:clbl="http://schemas.microsoft.com/office/2020/mipLabelMetadata"/>
</file>

<file path=docMetadata/LabelInfo31.xml><?xml version="1.0" encoding="utf-8"?>
<clbl:labelList xmlns:clbl="http://schemas.microsoft.com/office/2020/mipLabelMetadata"/>
</file>

<file path=docMetadata/LabelInfo32.xml><?xml version="1.0" encoding="utf-8"?>
<clbl:labelList xmlns:clbl="http://schemas.microsoft.com/office/2020/mipLabelMetadata"/>
</file>

<file path=docMetadata/LabelInfo33.xml><?xml version="1.0" encoding="utf-8"?>
<clbl:labelList xmlns:clbl="http://schemas.microsoft.com/office/2020/mipLabelMetadata"/>
</file>

<file path=docMetadata/LabelInfo34.xml><?xml version="1.0" encoding="utf-8"?>
<clbl:labelList xmlns:clbl="http://schemas.microsoft.com/office/2020/mipLabelMetadata"/>
</file>

<file path=docMetadata/LabelInfo35.xml><?xml version="1.0" encoding="utf-8"?>
<clbl:labelList xmlns:clbl="http://schemas.microsoft.com/office/2020/mipLabelMetadata"/>
</file>

<file path=docMetadata/LabelInfo36.xml><?xml version="1.0" encoding="utf-8"?>
<clbl:labelList xmlns:clbl="http://schemas.microsoft.com/office/2020/mipLabelMetadata"/>
</file>

<file path=docMetadata/LabelInfo37.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14</Pages>
  <Words>5414</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Leighton C Vivian (DELWP)</dc:creator>
  <cp:keywords/>
  <dc:description/>
  <cp:lastModifiedBy>Leighton Vivian (DJPR)</cp:lastModifiedBy>
  <cp:revision>3</cp:revision>
  <cp:lastPrinted>2020-12-20T21:30:00Z</cp:lastPrinted>
  <dcterms:created xsi:type="dcterms:W3CDTF">2020-12-20T21:29:00Z</dcterms:created>
  <dcterms:modified xsi:type="dcterms:W3CDTF">2020-12-20T21:30:00Z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0x01010058A9613B5A856C459EDECC3AA1674F83</vt:lpwstr>
  </property>
  <property fmtid="{D5CDD505-2E9C-101B-9397-08002B2CF9AE}" pid="3" name="MSIP_Label_7158ebbd-6c5e-441f-bfc9-4eb8c11e3978_Enabled">
    <vt:lpwstr>True</vt:lpwstr>
  </property>
  <property fmtid="{D5CDD505-2E9C-101B-9397-08002B2CF9AE}" pid="4" name="MSIP_Label_7158ebbd-6c5e-441f-bfc9-4eb8c11e3978_SiteId">
    <vt:lpwstr>722ea0be-3e1c-4b11-ad6f-9401d6856e24</vt:lpwstr>
  </property>
  <property fmtid="{D5CDD505-2E9C-101B-9397-08002B2CF9AE}" pid="5" name="MSIP_Label_7158ebbd-6c5e-441f-bfc9-4eb8c11e3978_Owner">
    <vt:lpwstr>james.campbell@dpc.vic.gov.au</vt:lpwstr>
  </property>
  <property fmtid="{D5CDD505-2E9C-101B-9397-08002B2CF9AE}" pid="6" name="MSIP_Label_7158ebbd-6c5e-441f-bfc9-4eb8c11e3978_SetDate">
    <vt:lpwstr>2020-09-10T08:11:29.3009216Z</vt:lpwstr>
  </property>
  <property fmtid="{D5CDD505-2E9C-101B-9397-08002B2CF9AE}" pid="7" name="MSIP_Label_7158ebbd-6c5e-441f-bfc9-4eb8c11e3978_Name">
    <vt:lpwstr>OFFICIAL</vt:lpwstr>
  </property>
  <property fmtid="{D5CDD505-2E9C-101B-9397-08002B2CF9AE}" pid="8" name="MSIP_Label_7158ebbd-6c5e-441f-bfc9-4eb8c11e3978_Application">
    <vt:lpwstr>Microsoft Azure Information Protection</vt:lpwstr>
  </property>
  <property fmtid="{D5CDD505-2E9C-101B-9397-08002B2CF9AE}" pid="9" name="MSIP_Label_7158ebbd-6c5e-441f-bfc9-4eb8c11e3978_Extended_MSFT_Method">
    <vt:lpwstr>Manual</vt:lpwstr>
  </property>
  <property fmtid="{D5CDD505-2E9C-101B-9397-08002B2CF9AE}" pid="10" name="Sensitivity">
    <vt:lpwstr>OFFICIAL</vt:lpwstr>
  </property>
</Properties>
</file>