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F8" w:rsidRPr="00D013F8" w:rsidRDefault="00D013F8" w:rsidP="00D013F8">
      <w:pPr>
        <w:pStyle w:val="Default"/>
        <w:rPr>
          <w:b/>
          <w:sz w:val="32"/>
          <w:szCs w:val="32"/>
        </w:rPr>
      </w:pPr>
      <w:r w:rsidRPr="00D013F8">
        <w:rPr>
          <w:b/>
          <w:sz w:val="32"/>
          <w:szCs w:val="32"/>
        </w:rPr>
        <w:t>Collaborating Councils</w:t>
      </w:r>
    </w:p>
    <w:p w:rsidR="00D013F8" w:rsidRPr="00D013F8" w:rsidRDefault="00D013F8" w:rsidP="00D013F8">
      <w:pPr>
        <w:pStyle w:val="Pa8"/>
        <w:rPr>
          <w:rFonts w:cs="Calibri"/>
          <w:b/>
          <w:color w:val="000000"/>
          <w:sz w:val="28"/>
          <w:szCs w:val="28"/>
        </w:rPr>
      </w:pPr>
      <w:r w:rsidRPr="00D013F8">
        <w:rPr>
          <w:rFonts w:cs="Calibri"/>
          <w:b/>
          <w:color w:val="000000"/>
          <w:sz w:val="28"/>
          <w:szCs w:val="28"/>
        </w:rPr>
        <w:t>Road Resealing</w:t>
      </w:r>
    </w:p>
    <w:p w:rsidR="00D013F8" w:rsidRDefault="00D013F8" w:rsidP="00D013F8">
      <w:pPr>
        <w:pStyle w:val="Default"/>
        <w:spacing w:line="241" w:lineRule="atLeast"/>
        <w:rPr>
          <w:b/>
        </w:rPr>
      </w:pPr>
    </w:p>
    <w:p w:rsidR="00D013F8" w:rsidRPr="00D013F8" w:rsidRDefault="00D013F8" w:rsidP="00D013F8">
      <w:pPr>
        <w:pStyle w:val="Default"/>
        <w:spacing w:line="241" w:lineRule="atLeast"/>
        <w:rPr>
          <w:b/>
        </w:rPr>
      </w:pPr>
      <w:r w:rsidRPr="00D013F8">
        <w:rPr>
          <w:b/>
        </w:rPr>
        <w:t>Improving the way local councils buy goods and services to support their communities increases capacity and performance and provides better value for residents and ratepayers.</w:t>
      </w:r>
    </w:p>
    <w:p w:rsidR="00D013F8" w:rsidRDefault="00D013F8" w:rsidP="00D013F8">
      <w:pPr>
        <w:pStyle w:val="Pa0"/>
        <w:spacing w:after="140"/>
        <w:rPr>
          <w:rFonts w:cs="Calibri"/>
          <w:color w:val="000000"/>
          <w:sz w:val="22"/>
          <w:szCs w:val="22"/>
        </w:rPr>
      </w:pPr>
    </w:p>
    <w:p w:rsidR="00D013F8" w:rsidRDefault="00D013F8" w:rsidP="00D013F8">
      <w:pPr>
        <w:pStyle w:val="Pa0"/>
        <w:spacing w:after="14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Local Government Victoria has worked with five regional councils on a project to achieve cost savings through a combined spend on bituminous road resealing.</w:t>
      </w:r>
    </w:p>
    <w:p w:rsidR="00D013F8" w:rsidRPr="00D013F8" w:rsidRDefault="00D013F8" w:rsidP="00D013F8">
      <w:pPr>
        <w:pStyle w:val="Default"/>
        <w:spacing w:before="100" w:after="280" w:line="401" w:lineRule="atLeast"/>
        <w:rPr>
          <w:b/>
          <w:sz w:val="28"/>
          <w:szCs w:val="28"/>
        </w:rPr>
      </w:pPr>
      <w:r w:rsidRPr="00D013F8">
        <w:rPr>
          <w:b/>
          <w:sz w:val="28"/>
          <w:szCs w:val="28"/>
        </w:rPr>
        <w:t>Participating councils</w:t>
      </w:r>
    </w:p>
    <w:p w:rsidR="00D013F8" w:rsidRDefault="00D013F8" w:rsidP="00D013F8">
      <w:pPr>
        <w:pStyle w:val="Default"/>
        <w:numPr>
          <w:ilvl w:val="0"/>
          <w:numId w:val="3"/>
        </w:numPr>
        <w:tabs>
          <w:tab w:val="left" w:pos="284"/>
        </w:tabs>
        <w:spacing w:after="9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Ararat Rural City Council </w:t>
      </w:r>
    </w:p>
    <w:p w:rsidR="00D013F8" w:rsidRDefault="00D013F8" w:rsidP="00D013F8">
      <w:pPr>
        <w:pStyle w:val="Default"/>
        <w:numPr>
          <w:ilvl w:val="0"/>
          <w:numId w:val="3"/>
        </w:numPr>
        <w:tabs>
          <w:tab w:val="left" w:pos="284"/>
        </w:tabs>
        <w:spacing w:after="9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Ballarat City Council (lead) </w:t>
      </w:r>
    </w:p>
    <w:p w:rsidR="00D013F8" w:rsidRDefault="00D013F8" w:rsidP="00D013F8">
      <w:pPr>
        <w:pStyle w:val="Default"/>
        <w:numPr>
          <w:ilvl w:val="0"/>
          <w:numId w:val="3"/>
        </w:numPr>
        <w:tabs>
          <w:tab w:val="left" w:pos="284"/>
        </w:tabs>
        <w:spacing w:after="91"/>
        <w:rPr>
          <w:sz w:val="22"/>
          <w:szCs w:val="22"/>
        </w:rPr>
      </w:pPr>
      <w:r>
        <w:rPr>
          <w:b/>
          <w:bCs/>
          <w:sz w:val="22"/>
          <w:szCs w:val="22"/>
        </w:rPr>
        <w:t>Golden Plains Shire Council</w:t>
      </w:r>
    </w:p>
    <w:p w:rsidR="00D013F8" w:rsidRDefault="00D013F8" w:rsidP="00D013F8">
      <w:pPr>
        <w:pStyle w:val="Default"/>
        <w:numPr>
          <w:ilvl w:val="0"/>
          <w:numId w:val="3"/>
        </w:numPr>
        <w:tabs>
          <w:tab w:val="left" w:pos="284"/>
        </w:tabs>
        <w:spacing w:after="9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Hepburn Shire Council </w:t>
      </w:r>
    </w:p>
    <w:p w:rsidR="00D013F8" w:rsidRDefault="00D013F8" w:rsidP="00D013F8">
      <w:pPr>
        <w:pStyle w:val="Default"/>
        <w:numPr>
          <w:ilvl w:val="0"/>
          <w:numId w:val="3"/>
        </w:numPr>
        <w:tabs>
          <w:tab w:val="left" w:pos="284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Pyrenees Shire Council </w:t>
      </w:r>
    </w:p>
    <w:p w:rsidR="00D013F8" w:rsidRDefault="00D013F8" w:rsidP="00D013F8">
      <w:pPr>
        <w:pStyle w:val="Default"/>
        <w:rPr>
          <w:sz w:val="22"/>
          <w:szCs w:val="22"/>
        </w:rPr>
      </w:pPr>
    </w:p>
    <w:p w:rsidR="00D013F8" w:rsidRDefault="00D013F8" w:rsidP="00D013F8">
      <w:pPr>
        <w:pStyle w:val="Pa1"/>
        <w:spacing w:after="10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These Central Highlands Regional Procurement Excellence Network (RPEN) councils identified that a combined three-year contract for bituminous road resealing works would have a value of between $15,000,000 to $20,000,000. </w:t>
      </w:r>
    </w:p>
    <w:p w:rsidR="00D013F8" w:rsidRDefault="00D013F8" w:rsidP="00D013F8">
      <w:pPr>
        <w:pStyle w:val="Default"/>
        <w:spacing w:before="160" w:after="100" w:line="281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Process</w:t>
      </w:r>
    </w:p>
    <w:p w:rsidR="00D013F8" w:rsidRPr="00D013F8" w:rsidRDefault="00D013F8" w:rsidP="00D013F8">
      <w:pPr>
        <w:pStyle w:val="Default"/>
        <w:spacing w:line="241" w:lineRule="atLeast"/>
        <w:rPr>
          <w:sz w:val="22"/>
          <w:szCs w:val="22"/>
        </w:rPr>
      </w:pPr>
      <w:r w:rsidRPr="00D013F8">
        <w:rPr>
          <w:sz w:val="22"/>
          <w:szCs w:val="22"/>
        </w:rPr>
        <w:t xml:space="preserve">Ballarat City Council, the lead council for the project, handled all enquires and the lodgement of tender submissions. Yet, each council tendered for the service, by formalising a strategic procurement plan, authorised by council CEOs. Given the size of the procurement, procurement conduct and probity plans were developed and an independent probity auditor was appointed. </w:t>
      </w:r>
    </w:p>
    <w:p w:rsidR="00D013F8" w:rsidRPr="00D013F8" w:rsidRDefault="00D013F8" w:rsidP="00D013F8">
      <w:pPr>
        <w:pStyle w:val="Default"/>
        <w:spacing w:line="241" w:lineRule="atLeast"/>
        <w:rPr>
          <w:sz w:val="22"/>
          <w:szCs w:val="22"/>
        </w:rPr>
      </w:pPr>
    </w:p>
    <w:p w:rsidR="00D013F8" w:rsidRPr="00D013F8" w:rsidRDefault="00D013F8" w:rsidP="00D013F8">
      <w:pPr>
        <w:pStyle w:val="Default"/>
        <w:spacing w:line="241" w:lineRule="atLeast"/>
        <w:rPr>
          <w:sz w:val="22"/>
          <w:szCs w:val="22"/>
        </w:rPr>
      </w:pPr>
      <w:r w:rsidRPr="00D013F8">
        <w:rPr>
          <w:sz w:val="22"/>
          <w:szCs w:val="22"/>
        </w:rPr>
        <w:t xml:space="preserve">Public tenders were sought on the basis of a schedule of rates for all bituminous road resealing works with an allowance for rise and fall adjustments after each year of the contract. Collaborating councils agreed on a three-year contract with two additional one-year options. </w:t>
      </w:r>
    </w:p>
    <w:p w:rsidR="00D013F8" w:rsidRPr="00D013F8" w:rsidRDefault="00D013F8" w:rsidP="00D013F8">
      <w:pPr>
        <w:pStyle w:val="Default"/>
        <w:spacing w:line="241" w:lineRule="atLeast"/>
        <w:rPr>
          <w:sz w:val="22"/>
          <w:szCs w:val="22"/>
        </w:rPr>
      </w:pPr>
      <w:bookmarkStart w:id="0" w:name="_GoBack"/>
      <w:bookmarkEnd w:id="0"/>
    </w:p>
    <w:p w:rsidR="00D013F8" w:rsidRPr="00D013F8" w:rsidRDefault="00D013F8" w:rsidP="00D013F8">
      <w:pPr>
        <w:pStyle w:val="Default"/>
        <w:spacing w:line="241" w:lineRule="atLeast"/>
        <w:rPr>
          <w:sz w:val="22"/>
          <w:szCs w:val="22"/>
        </w:rPr>
      </w:pPr>
      <w:r w:rsidRPr="00D013F8">
        <w:rPr>
          <w:sz w:val="22"/>
          <w:szCs w:val="22"/>
        </w:rPr>
        <w:t xml:space="preserve">Although there was a single advertising process and a group evaluation of tenders, each council entered into a separate contract, allowing them to manage their contract with the preferred supplier independently rather than through a centralised function or lead council. </w:t>
      </w:r>
    </w:p>
    <w:p w:rsidR="00D013F8" w:rsidRPr="00D013F8" w:rsidRDefault="00D013F8" w:rsidP="00D013F8">
      <w:pPr>
        <w:pStyle w:val="Default"/>
        <w:spacing w:line="241" w:lineRule="atLeast"/>
        <w:rPr>
          <w:sz w:val="22"/>
          <w:szCs w:val="22"/>
        </w:rPr>
      </w:pPr>
    </w:p>
    <w:p w:rsidR="00D013F8" w:rsidRPr="00D013F8" w:rsidRDefault="00D013F8" w:rsidP="00D013F8">
      <w:pPr>
        <w:pStyle w:val="Default"/>
        <w:spacing w:line="241" w:lineRule="atLeast"/>
        <w:rPr>
          <w:sz w:val="22"/>
          <w:szCs w:val="22"/>
        </w:rPr>
      </w:pPr>
      <w:r w:rsidRPr="00D013F8">
        <w:rPr>
          <w:sz w:val="22"/>
          <w:szCs w:val="22"/>
        </w:rPr>
        <w:t xml:space="preserve">Delivering the collaborative procurement project through the RPEN was considered to be a suitable and successful model. Having a lead council was an important success factor. </w:t>
      </w:r>
    </w:p>
    <w:p w:rsidR="00D013F8" w:rsidRPr="00D013F8" w:rsidRDefault="00D013F8" w:rsidP="00D013F8">
      <w:pPr>
        <w:pStyle w:val="Default"/>
        <w:spacing w:line="241" w:lineRule="atLeast"/>
        <w:rPr>
          <w:sz w:val="22"/>
          <w:szCs w:val="22"/>
        </w:rPr>
      </w:pPr>
    </w:p>
    <w:p w:rsidR="00D013F8" w:rsidRPr="00D013F8" w:rsidRDefault="00D013F8" w:rsidP="00D013F8">
      <w:pPr>
        <w:pStyle w:val="Default"/>
        <w:spacing w:line="241" w:lineRule="atLeast"/>
        <w:rPr>
          <w:sz w:val="22"/>
          <w:szCs w:val="22"/>
        </w:rPr>
      </w:pPr>
      <w:r w:rsidRPr="00D013F8">
        <w:rPr>
          <w:sz w:val="22"/>
          <w:szCs w:val="22"/>
        </w:rPr>
        <w:t>The project continues with the first group of collaborating councils being joined by another council to negotiate the next contract for road sealing in the region.</w:t>
      </w:r>
    </w:p>
    <w:p w:rsidR="00D013F8" w:rsidRDefault="00D013F8" w:rsidP="00D013F8">
      <w:pPr>
        <w:pStyle w:val="Default"/>
        <w:pageBreakBefore/>
        <w:spacing w:before="100" w:after="100" w:line="281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Benefits</w:t>
      </w:r>
    </w:p>
    <w:p w:rsidR="00D013F8" w:rsidRDefault="00D013F8" w:rsidP="00D013F8">
      <w:pPr>
        <w:pStyle w:val="Default"/>
        <w:numPr>
          <w:ilvl w:val="0"/>
          <w:numId w:val="2"/>
        </w:numPr>
        <w:tabs>
          <w:tab w:val="left" w:pos="0"/>
        </w:tabs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Savings across participating councils were measured at $633K per year over three to five years. </w:t>
      </w:r>
    </w:p>
    <w:p w:rsidR="00D013F8" w:rsidRDefault="00D013F8" w:rsidP="00D013F8">
      <w:pPr>
        <w:pStyle w:val="Default"/>
        <w:numPr>
          <w:ilvl w:val="0"/>
          <w:numId w:val="2"/>
        </w:numPr>
        <w:tabs>
          <w:tab w:val="left" w:pos="0"/>
        </w:tabs>
        <w:spacing w:after="91"/>
        <w:rPr>
          <w:sz w:val="22"/>
          <w:szCs w:val="22"/>
        </w:rPr>
      </w:pPr>
      <w:r>
        <w:rPr>
          <w:sz w:val="22"/>
          <w:szCs w:val="22"/>
        </w:rPr>
        <w:t>Participating councils built significant knowledge and skills.</w:t>
      </w:r>
    </w:p>
    <w:p w:rsidR="00D013F8" w:rsidRDefault="00D013F8" w:rsidP="00D013F8">
      <w:pPr>
        <w:pStyle w:val="Default"/>
        <w:numPr>
          <w:ilvl w:val="0"/>
          <w:numId w:val="2"/>
        </w:numPr>
        <w:tabs>
          <w:tab w:val="left" w:pos="0"/>
        </w:tabs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The councils improved their procurement practices, especially for major contracts. </w:t>
      </w:r>
    </w:p>
    <w:p w:rsidR="00D013F8" w:rsidRDefault="00D013F8" w:rsidP="00D013F8">
      <w:pPr>
        <w:pStyle w:val="Default"/>
        <w:numPr>
          <w:ilvl w:val="0"/>
          <w:numId w:val="2"/>
        </w:numPr>
        <w:tabs>
          <w:tab w:val="left" w:pos="0"/>
        </w:tabs>
        <w:spacing w:after="91"/>
        <w:rPr>
          <w:sz w:val="22"/>
          <w:szCs w:val="22"/>
        </w:rPr>
      </w:pPr>
      <w:r>
        <w:rPr>
          <w:sz w:val="22"/>
          <w:szCs w:val="22"/>
        </w:rPr>
        <w:t>Tendering businesses also enjoyed cost savings as a result of the streamlined tender process.</w:t>
      </w:r>
    </w:p>
    <w:p w:rsidR="00D013F8" w:rsidRDefault="00D013F8" w:rsidP="00D013F8">
      <w:pPr>
        <w:pStyle w:val="Default"/>
        <w:numPr>
          <w:ilvl w:val="0"/>
          <w:numId w:val="2"/>
        </w:numPr>
        <w:tabs>
          <w:tab w:val="left" w:pos="0"/>
        </w:tabs>
        <w:spacing w:after="91"/>
        <w:rPr>
          <w:sz w:val="22"/>
          <w:szCs w:val="22"/>
        </w:rPr>
      </w:pPr>
      <w:r>
        <w:rPr>
          <w:sz w:val="22"/>
          <w:szCs w:val="22"/>
        </w:rPr>
        <w:t>Early agreement on the structure of the tender strengthened the councils’ position in the open market.</w:t>
      </w:r>
    </w:p>
    <w:p w:rsidR="00D013F8" w:rsidRDefault="00D013F8" w:rsidP="00D013F8">
      <w:pPr>
        <w:pStyle w:val="Default"/>
        <w:numPr>
          <w:ilvl w:val="0"/>
          <w:numId w:val="2"/>
        </w:numPr>
        <w:tabs>
          <w:tab w:val="left" w:pos="0"/>
        </w:tabs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Councils also benefited from having comparable data which has confirmed the importance of collecting consistent data. </w:t>
      </w:r>
    </w:p>
    <w:p w:rsidR="00D013F8" w:rsidRDefault="00D013F8" w:rsidP="00D013F8">
      <w:pPr>
        <w:pStyle w:val="Default"/>
        <w:numPr>
          <w:ilvl w:val="0"/>
          <w:numId w:val="2"/>
        </w:numPr>
        <w:tabs>
          <w:tab w:val="left" w:pos="0"/>
        </w:tabs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Participating councils now use a common scheduling and performance evaluation tool and are operating on a common specification. </w:t>
      </w:r>
    </w:p>
    <w:p w:rsidR="00D013F8" w:rsidRDefault="00D013F8" w:rsidP="00D013F8">
      <w:pPr>
        <w:pStyle w:val="Default"/>
        <w:numPr>
          <w:ilvl w:val="0"/>
          <w:numId w:val="2"/>
        </w:numPr>
        <w:tabs>
          <w:tab w:val="left" w:pos="0"/>
        </w:tabs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Supporting the theory of best practice, councils now provide their schedule of works four months earlier than in the past. </w:t>
      </w:r>
    </w:p>
    <w:p w:rsidR="00D013F8" w:rsidRDefault="00D013F8" w:rsidP="00D013F8">
      <w:pPr>
        <w:pStyle w:val="Default"/>
        <w:numPr>
          <w:ilvl w:val="0"/>
          <w:numId w:val="2"/>
        </w:numPr>
        <w:tabs>
          <w:tab w:val="left" w:pos="0"/>
        </w:tabs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Success of the project resulted in a review of the </w:t>
      </w:r>
      <w:r>
        <w:rPr>
          <w:i/>
          <w:iCs/>
          <w:sz w:val="22"/>
          <w:szCs w:val="22"/>
        </w:rPr>
        <w:t>2012 Victorian Local Government Best Practice Procurement Guidelines</w:t>
      </w:r>
      <w:r>
        <w:rPr>
          <w:sz w:val="22"/>
          <w:szCs w:val="22"/>
        </w:rPr>
        <w:t>, with templates now available to help councils collaborate and share services.</w:t>
      </w:r>
    </w:p>
    <w:p w:rsidR="00D013F8" w:rsidRDefault="00D013F8" w:rsidP="00D013F8">
      <w:pPr>
        <w:pStyle w:val="Default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Procurement was highly transparent and signed off by an independent procurement auditor, verifying council and supplier confidence in the process.</w:t>
      </w:r>
    </w:p>
    <w:p w:rsidR="00D013F8" w:rsidRDefault="00D013F8" w:rsidP="00D013F8">
      <w:pPr>
        <w:pStyle w:val="Default"/>
        <w:rPr>
          <w:sz w:val="22"/>
          <w:szCs w:val="22"/>
        </w:rPr>
      </w:pPr>
    </w:p>
    <w:p w:rsidR="00D013F8" w:rsidRDefault="00D013F8" w:rsidP="00D013F8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013F8" w:rsidRPr="0073355D" w:rsidRDefault="00D013F8" w:rsidP="00D013F8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3355D">
        <w:rPr>
          <w:rFonts w:cs="Calibri"/>
          <w:b/>
        </w:rPr>
        <w:t>Read about the success and benefits of collaborative procurement at Local Government Victoria’s website</w:t>
      </w:r>
    </w:p>
    <w:p w:rsidR="00D013F8" w:rsidRPr="0073355D" w:rsidRDefault="00D013F8" w:rsidP="00D013F8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3355D">
        <w:rPr>
          <w:rFonts w:cs="Calibri"/>
          <w:b/>
        </w:rPr>
        <w:t>www.delwp.vic.gov.au/local-government/strengthening-councils/collaborating-councils.</w:t>
      </w:r>
    </w:p>
    <w:p w:rsidR="00D013F8" w:rsidRPr="0073355D" w:rsidRDefault="00D013F8" w:rsidP="00D013F8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3355D">
        <w:rPr>
          <w:rFonts w:cs="Calibri"/>
          <w:b/>
        </w:rPr>
        <w:t>For more information regarding this project contact Local Government Victoria on (03) 9948 8537.</w:t>
      </w:r>
    </w:p>
    <w:p w:rsidR="00D013F8" w:rsidRPr="0073355D" w:rsidRDefault="00D013F8" w:rsidP="00D013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8"/>
          <w:szCs w:val="8"/>
        </w:rPr>
      </w:pPr>
    </w:p>
    <w:p w:rsidR="00D013F8" w:rsidRPr="0073355D" w:rsidRDefault="00D013F8" w:rsidP="00D01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8"/>
          <w:szCs w:val="8"/>
        </w:rPr>
      </w:pPr>
    </w:p>
    <w:p w:rsidR="00D013F8" w:rsidRDefault="00D013F8" w:rsidP="00D01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© The State of Victoria Department of Environment, Land, Water and Planning 2016</w:t>
      </w:r>
    </w:p>
    <w:p w:rsidR="00D013F8" w:rsidRDefault="00D013F8" w:rsidP="00D01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This work is licensed under a Creative Commons Attribution 4.0 International licence</w:t>
      </w:r>
    </w:p>
    <w:p w:rsidR="00D013F8" w:rsidRDefault="00D013F8" w:rsidP="00D01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To view a copy of this licence, visit </w:t>
      </w:r>
      <w:hyperlink r:id="rId6" w:history="1">
        <w:r w:rsidRPr="00101EDF">
          <w:rPr>
            <w:rStyle w:val="Hyperlink"/>
            <w:rFonts w:ascii="Calibri" w:hAnsi="Calibri" w:cs="Calibri"/>
            <w:sz w:val="16"/>
            <w:szCs w:val="16"/>
          </w:rPr>
          <w:t>http://creativecommons.org/licenses/by/4.0/</w:t>
        </w:r>
      </w:hyperlink>
    </w:p>
    <w:p w:rsidR="00D013F8" w:rsidRPr="0073355D" w:rsidRDefault="00D013F8" w:rsidP="00D01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hyperlink r:id="rId7" w:history="1">
        <w:r w:rsidRPr="0073355D">
          <w:rPr>
            <w:rStyle w:val="Hyperlink"/>
            <w:rFonts w:ascii="Calibri" w:hAnsi="Calibri" w:cs="Calibri"/>
            <w:sz w:val="18"/>
            <w:szCs w:val="18"/>
          </w:rPr>
          <w:t>www.delwp.vic.gov.au</w:t>
        </w:r>
      </w:hyperlink>
      <w:r w:rsidRPr="0073355D">
        <w:rPr>
          <w:rFonts w:ascii="Calibri" w:hAnsi="Calibri" w:cs="Calibri"/>
          <w:color w:val="404040"/>
          <w:sz w:val="18"/>
          <w:szCs w:val="18"/>
        </w:rPr>
        <w:tab/>
      </w:r>
      <w:r w:rsidRPr="0073355D">
        <w:rPr>
          <w:rFonts w:ascii="Calibri" w:hAnsi="Calibri" w:cs="Calibri"/>
          <w:color w:val="404040"/>
          <w:sz w:val="18"/>
          <w:szCs w:val="18"/>
        </w:rPr>
        <w:tab/>
      </w:r>
      <w:r w:rsidRPr="0073355D">
        <w:rPr>
          <w:rFonts w:ascii="Calibri" w:hAnsi="Calibri" w:cs="Calibri"/>
          <w:color w:val="404040"/>
          <w:sz w:val="18"/>
          <w:szCs w:val="18"/>
        </w:rPr>
        <w:tab/>
      </w:r>
      <w:r w:rsidRPr="0073355D">
        <w:rPr>
          <w:rFonts w:ascii="Calibri" w:hAnsi="Calibri" w:cs="Calibri"/>
          <w:color w:val="404040"/>
          <w:sz w:val="18"/>
          <w:szCs w:val="18"/>
        </w:rPr>
        <w:tab/>
      </w:r>
      <w:r w:rsidRPr="0073355D">
        <w:rPr>
          <w:rFonts w:ascii="Calibri" w:hAnsi="Calibri" w:cs="Calibri"/>
          <w:color w:val="404040"/>
          <w:sz w:val="18"/>
          <w:szCs w:val="18"/>
        </w:rPr>
        <w:tab/>
      </w:r>
      <w:r w:rsidRPr="0073355D">
        <w:rPr>
          <w:rFonts w:ascii="Calibri" w:hAnsi="Calibri" w:cs="Calibri"/>
          <w:color w:val="404040"/>
          <w:sz w:val="18"/>
          <w:szCs w:val="18"/>
        </w:rPr>
        <w:tab/>
      </w:r>
      <w:r w:rsidRPr="0073355D">
        <w:rPr>
          <w:rFonts w:ascii="Calibri" w:hAnsi="Calibri" w:cs="Calibri"/>
          <w:color w:val="404040"/>
          <w:sz w:val="18"/>
          <w:szCs w:val="18"/>
        </w:rPr>
        <w:tab/>
      </w:r>
      <w:r>
        <w:rPr>
          <w:rFonts w:ascii="Calibri" w:hAnsi="Calibri" w:cs="Calibri"/>
          <w:color w:val="404040"/>
          <w:sz w:val="18"/>
          <w:szCs w:val="18"/>
        </w:rPr>
        <w:tab/>
      </w:r>
      <w:r>
        <w:rPr>
          <w:rFonts w:ascii="Calibri" w:hAnsi="Calibri" w:cs="Calibri"/>
          <w:color w:val="404040"/>
          <w:sz w:val="18"/>
          <w:szCs w:val="18"/>
        </w:rPr>
        <w:tab/>
      </w:r>
      <w:r w:rsidRPr="0073355D">
        <w:rPr>
          <w:rFonts w:ascii="Calibri" w:hAnsi="Calibri" w:cs="Calibri"/>
          <w:color w:val="404040"/>
          <w:sz w:val="18"/>
          <w:szCs w:val="18"/>
        </w:rPr>
        <w:t>[</w:t>
      </w:r>
      <w:proofErr w:type="spellStart"/>
      <w:r w:rsidRPr="0073355D">
        <w:rPr>
          <w:rFonts w:ascii="Calibri" w:hAnsi="Calibri" w:cs="Calibri"/>
          <w:color w:val="404040"/>
          <w:sz w:val="18"/>
          <w:szCs w:val="18"/>
        </w:rPr>
        <w:t>VicGov</w:t>
      </w:r>
      <w:proofErr w:type="spellEnd"/>
      <w:r w:rsidRPr="0073355D">
        <w:rPr>
          <w:rFonts w:ascii="Calibri" w:hAnsi="Calibri" w:cs="Calibri"/>
          <w:color w:val="404040"/>
          <w:sz w:val="18"/>
          <w:szCs w:val="18"/>
        </w:rPr>
        <w:t xml:space="preserve"> logo]</w:t>
      </w:r>
    </w:p>
    <w:p w:rsidR="00D013F8" w:rsidRDefault="00D013F8" w:rsidP="00D013F8">
      <w:pPr>
        <w:pStyle w:val="Pa1"/>
        <w:spacing w:after="100"/>
      </w:pPr>
    </w:p>
    <w:sectPr w:rsidR="00D01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1439"/>
    <w:multiLevelType w:val="hybridMultilevel"/>
    <w:tmpl w:val="E6511B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4594AC9"/>
    <w:multiLevelType w:val="hybridMultilevel"/>
    <w:tmpl w:val="76FAC3DE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C3DBB87"/>
    <w:multiLevelType w:val="hybridMultilevel"/>
    <w:tmpl w:val="455B25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F8"/>
    <w:rsid w:val="00D0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3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013F8"/>
    <w:pPr>
      <w:spacing w:line="4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D013F8"/>
    <w:pPr>
      <w:spacing w:line="2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D013F8"/>
    <w:pPr>
      <w:spacing w:line="22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D013F8"/>
    <w:rPr>
      <w:rFonts w:cs="Calibri"/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D013F8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01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3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013F8"/>
    <w:pPr>
      <w:spacing w:line="4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D013F8"/>
    <w:pPr>
      <w:spacing w:line="2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D013F8"/>
    <w:pPr>
      <w:spacing w:line="22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D013F8"/>
    <w:rPr>
      <w:rFonts w:cs="Calibri"/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D013F8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01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lwp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3223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Keeble</dc:creator>
  <cp:keywords/>
  <dc:description/>
  <cp:lastModifiedBy>Julia Keeble</cp:lastModifiedBy>
  <cp:revision>1</cp:revision>
  <dcterms:created xsi:type="dcterms:W3CDTF">2016-06-28T22:55:00Z</dcterms:created>
  <dcterms:modified xsi:type="dcterms:W3CDTF">2016-06-28T22:59:00Z</dcterms:modified>
</cp:coreProperties>
</file>