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b/>
          <w:bCs w:val="0"/>
          <w:noProof w:val="0"/>
          <w:color w:val="FFFFFF" w:themeColor="background1"/>
          <w:sz w:val="52"/>
          <w:szCs w:val="52"/>
          <w:lang w:val="en-AU" w:eastAsia="en-US"/>
        </w:rPr>
        <w:id w:val="2122263188"/>
        <w:placeholder>
          <w:docPart w:val="689CABB160704F899A7777A7B83D51EA"/>
        </w:placeholder>
      </w:sdtPr>
      <w:sdtEndPr>
        <w:rPr>
          <w:rStyle w:val="TitleChar"/>
        </w:rPr>
      </w:sdtEndPr>
      <w:sdtContent>
        <w:p w14:paraId="066DB673" w14:textId="706AC7CB" w:rsidR="00FE5BB6" w:rsidRPr="0079480E" w:rsidRDefault="0013272F" w:rsidP="00FE5BB6">
          <w:pPr>
            <w:pStyle w:val="Reporttitle"/>
            <w:rPr>
              <w:rStyle w:val="TitleChar"/>
              <w:b/>
              <w:bCs w:val="0"/>
              <w:noProof w:val="0"/>
              <w:color w:val="FFFFFF" w:themeColor="background1"/>
              <w:sz w:val="52"/>
              <w:szCs w:val="52"/>
              <w:lang w:val="en-AU" w:eastAsia="en-US"/>
            </w:rPr>
          </w:pPr>
          <w:r w:rsidRPr="0079480E">
            <w:rPr>
              <w:rStyle w:val="TitleChar"/>
              <w:b/>
              <w:bCs w:val="0"/>
              <w:noProof w:val="0"/>
              <w:color w:val="FFFFFF" w:themeColor="background1"/>
              <w:sz w:val="52"/>
              <w:szCs w:val="52"/>
              <w:lang w:val="en-AU" w:eastAsia="en-US"/>
            </w:rPr>
            <w:t>Local Government Better Practice Guide</w:t>
          </w:r>
        </w:p>
      </w:sdtContent>
    </w:sdt>
    <w:sdt>
      <w:sdtPr>
        <w:rPr>
          <w:rFonts w:ascii="Arial" w:hAnsi="Arial" w:cs="Times New Roman"/>
          <w:caps/>
          <w:color w:val="FFFFFF" w:themeColor="background1"/>
          <w:spacing w:val="0"/>
          <w:lang w:eastAsia="en-US"/>
        </w:rPr>
        <w:id w:val="-1272693036"/>
        <w:placeholder>
          <w:docPart w:val="A11BCFD98E62477F863292940A73BC0B"/>
        </w:placeholder>
      </w:sdtPr>
      <w:sdtEndPr>
        <w:rPr>
          <w:color w:val="100249" w:themeColor="accent4"/>
        </w:rPr>
      </w:sdtEndPr>
      <w:sdtContent>
        <w:bookmarkStart w:id="0" w:name="myBookmark" w:displacedByCustomXml="prev"/>
        <w:p w14:paraId="7E673158" w14:textId="571CB158" w:rsidR="00D26D1E" w:rsidRPr="0079480E" w:rsidRDefault="00D26D1E" w:rsidP="006B4DC9">
          <w:pPr>
            <w:pStyle w:val="IntroFeatureText"/>
            <w:rPr>
              <w:color w:val="FFFFFF" w:themeColor="background1"/>
            </w:rPr>
          </w:pPr>
          <w:r w:rsidRPr="0079480E">
            <w:rPr>
              <w:color w:val="FFFFFF" w:themeColor="background1"/>
            </w:rPr>
            <w:t>Model Financial Report 20</w:t>
          </w:r>
          <w:r w:rsidR="007546A5">
            <w:rPr>
              <w:color w:val="FFFFFF" w:themeColor="background1"/>
            </w:rPr>
            <w:t>2</w:t>
          </w:r>
          <w:r w:rsidR="006D6557">
            <w:rPr>
              <w:color w:val="FFFFFF" w:themeColor="background1"/>
            </w:rPr>
            <w:t>1</w:t>
          </w:r>
          <w:r w:rsidRPr="0079480E">
            <w:rPr>
              <w:color w:val="FFFFFF" w:themeColor="background1"/>
            </w:rPr>
            <w:t>-2</w:t>
          </w:r>
          <w:bookmarkEnd w:id="0"/>
          <w:r w:rsidR="006D6557">
            <w:rPr>
              <w:color w:val="FFFFFF" w:themeColor="background1"/>
            </w:rPr>
            <w:t>2</w:t>
          </w:r>
        </w:p>
        <w:p w14:paraId="39FD12B9" w14:textId="322B595E" w:rsidR="00FE5BB6" w:rsidRPr="00D96C1E" w:rsidRDefault="00B2112B" w:rsidP="00FE5BB6">
          <w:pPr>
            <w:pStyle w:val="Subtitle"/>
          </w:pPr>
        </w:p>
      </w:sdtContent>
    </w:sdt>
    <w:p w14:paraId="3CC41ED8" w14:textId="65401050" w:rsidR="00FE5BB6" w:rsidRDefault="00FE5BB6" w:rsidP="00FE5BB6"/>
    <w:p w14:paraId="4AE023ED" w14:textId="50D6BBED" w:rsidR="00FE5BB6" w:rsidRPr="00FE5BB6" w:rsidRDefault="00FE5BB6" w:rsidP="00FE5BB6">
      <w:pPr>
        <w:sectPr w:rsidR="00FE5BB6" w:rsidRPr="00FE5BB6"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13CF24AD" w14:textId="77777777" w:rsidR="004371F6" w:rsidRPr="00D96C1E" w:rsidRDefault="004371F6" w:rsidP="00D96C1E">
      <w:pPr>
        <w:pStyle w:val="TOCHeading"/>
      </w:pPr>
      <w:r w:rsidRPr="00D96C1E">
        <w:lastRenderedPageBreak/>
        <w:t>Table of contents</w:t>
      </w:r>
    </w:p>
    <w:p w14:paraId="3A623588" w14:textId="631CBB96" w:rsidR="005C1DD9" w:rsidRDefault="00BC3C4A">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"1-2" \h \z \u </w:instrText>
      </w:r>
      <w:r>
        <w:rPr>
          <w:noProof/>
          <w:color w:val="auto"/>
          <w:lang w:eastAsia="en-AU"/>
        </w:rPr>
        <w:fldChar w:fldCharType="separate"/>
      </w:r>
      <w:hyperlink w:anchor="_Toc94527444" w:history="1">
        <w:r w:rsidR="005C1DD9" w:rsidRPr="00A8725B">
          <w:rPr>
            <w:rStyle w:val="Hyperlink"/>
            <w:noProof/>
          </w:rPr>
          <w:t>1</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Acronyms</w:t>
        </w:r>
        <w:r w:rsidR="005C1DD9">
          <w:rPr>
            <w:noProof/>
            <w:webHidden/>
          </w:rPr>
          <w:tab/>
        </w:r>
        <w:r w:rsidR="005C1DD9">
          <w:rPr>
            <w:noProof/>
            <w:webHidden/>
          </w:rPr>
          <w:fldChar w:fldCharType="begin"/>
        </w:r>
        <w:r w:rsidR="005C1DD9">
          <w:rPr>
            <w:noProof/>
            <w:webHidden/>
          </w:rPr>
          <w:instrText xml:space="preserve"> PAGEREF _Toc94527444 \h </w:instrText>
        </w:r>
        <w:r w:rsidR="005C1DD9">
          <w:rPr>
            <w:noProof/>
            <w:webHidden/>
          </w:rPr>
        </w:r>
        <w:r w:rsidR="005C1DD9">
          <w:rPr>
            <w:noProof/>
            <w:webHidden/>
          </w:rPr>
          <w:fldChar w:fldCharType="separate"/>
        </w:r>
        <w:r w:rsidR="005C1DD9">
          <w:rPr>
            <w:noProof/>
            <w:webHidden/>
          </w:rPr>
          <w:t>2</w:t>
        </w:r>
        <w:r w:rsidR="005C1DD9">
          <w:rPr>
            <w:noProof/>
            <w:webHidden/>
          </w:rPr>
          <w:fldChar w:fldCharType="end"/>
        </w:r>
      </w:hyperlink>
    </w:p>
    <w:p w14:paraId="64AC7A5F" w14:textId="14EB572E" w:rsidR="005C1DD9" w:rsidRDefault="00B2112B">
      <w:pPr>
        <w:pStyle w:val="TOC1"/>
        <w:rPr>
          <w:rFonts w:asciiTheme="minorHAnsi" w:eastAsiaTheme="minorEastAsia" w:hAnsiTheme="minorHAnsi" w:cstheme="minorBidi"/>
          <w:noProof/>
          <w:color w:val="auto"/>
          <w:sz w:val="22"/>
          <w:szCs w:val="22"/>
          <w:lang w:eastAsia="en-AU"/>
        </w:rPr>
      </w:pPr>
      <w:hyperlink w:anchor="_Toc94527445" w:history="1">
        <w:r w:rsidR="005C1DD9" w:rsidRPr="00A8725B">
          <w:rPr>
            <w:rStyle w:val="Hyperlink"/>
            <w:noProof/>
          </w:rPr>
          <w:t>2</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A message from Local Government Victoria</w:t>
        </w:r>
        <w:r w:rsidR="005C1DD9">
          <w:rPr>
            <w:noProof/>
            <w:webHidden/>
          </w:rPr>
          <w:tab/>
        </w:r>
        <w:r w:rsidR="005C1DD9">
          <w:rPr>
            <w:noProof/>
            <w:webHidden/>
          </w:rPr>
          <w:fldChar w:fldCharType="begin"/>
        </w:r>
        <w:r w:rsidR="005C1DD9">
          <w:rPr>
            <w:noProof/>
            <w:webHidden/>
          </w:rPr>
          <w:instrText xml:space="preserve"> PAGEREF _Toc94527445 \h </w:instrText>
        </w:r>
        <w:r w:rsidR="005C1DD9">
          <w:rPr>
            <w:noProof/>
            <w:webHidden/>
          </w:rPr>
        </w:r>
        <w:r w:rsidR="005C1DD9">
          <w:rPr>
            <w:noProof/>
            <w:webHidden/>
          </w:rPr>
          <w:fldChar w:fldCharType="separate"/>
        </w:r>
        <w:r w:rsidR="005C1DD9">
          <w:rPr>
            <w:noProof/>
            <w:webHidden/>
          </w:rPr>
          <w:t>3</w:t>
        </w:r>
        <w:r w:rsidR="005C1DD9">
          <w:rPr>
            <w:noProof/>
            <w:webHidden/>
          </w:rPr>
          <w:fldChar w:fldCharType="end"/>
        </w:r>
      </w:hyperlink>
    </w:p>
    <w:p w14:paraId="47DF71CB" w14:textId="69536A26" w:rsidR="005C1DD9" w:rsidRDefault="00B2112B">
      <w:pPr>
        <w:pStyle w:val="TOC1"/>
        <w:rPr>
          <w:rFonts w:asciiTheme="minorHAnsi" w:eastAsiaTheme="minorEastAsia" w:hAnsiTheme="minorHAnsi" w:cstheme="minorBidi"/>
          <w:noProof/>
          <w:color w:val="auto"/>
          <w:sz w:val="22"/>
          <w:szCs w:val="22"/>
          <w:lang w:eastAsia="en-AU"/>
        </w:rPr>
      </w:pPr>
      <w:hyperlink w:anchor="_Toc94527446" w:history="1">
        <w:r w:rsidR="005C1DD9" w:rsidRPr="00A8725B">
          <w:rPr>
            <w:rStyle w:val="Hyperlink"/>
            <w:noProof/>
          </w:rPr>
          <w:t>3</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Introduction</w:t>
        </w:r>
        <w:r w:rsidR="005C1DD9">
          <w:rPr>
            <w:noProof/>
            <w:webHidden/>
          </w:rPr>
          <w:tab/>
        </w:r>
        <w:r w:rsidR="005C1DD9">
          <w:rPr>
            <w:noProof/>
            <w:webHidden/>
          </w:rPr>
          <w:fldChar w:fldCharType="begin"/>
        </w:r>
        <w:r w:rsidR="005C1DD9">
          <w:rPr>
            <w:noProof/>
            <w:webHidden/>
          </w:rPr>
          <w:instrText xml:space="preserve"> PAGEREF _Toc94527446 \h </w:instrText>
        </w:r>
        <w:r w:rsidR="005C1DD9">
          <w:rPr>
            <w:noProof/>
            <w:webHidden/>
          </w:rPr>
        </w:r>
        <w:r w:rsidR="005C1DD9">
          <w:rPr>
            <w:noProof/>
            <w:webHidden/>
          </w:rPr>
          <w:fldChar w:fldCharType="separate"/>
        </w:r>
        <w:r w:rsidR="005C1DD9">
          <w:rPr>
            <w:noProof/>
            <w:webHidden/>
          </w:rPr>
          <w:t>4</w:t>
        </w:r>
        <w:r w:rsidR="005C1DD9">
          <w:rPr>
            <w:noProof/>
            <w:webHidden/>
          </w:rPr>
          <w:fldChar w:fldCharType="end"/>
        </w:r>
      </w:hyperlink>
    </w:p>
    <w:p w14:paraId="621D4612" w14:textId="2A5716B6" w:rsidR="005C1DD9" w:rsidRDefault="00B2112B">
      <w:pPr>
        <w:pStyle w:val="TOC2"/>
        <w:rPr>
          <w:rFonts w:asciiTheme="minorHAnsi" w:eastAsiaTheme="minorEastAsia" w:hAnsiTheme="minorHAnsi" w:cstheme="minorBidi"/>
          <w:noProof/>
          <w:color w:val="auto"/>
          <w:sz w:val="22"/>
          <w:szCs w:val="22"/>
          <w:lang w:eastAsia="en-AU"/>
        </w:rPr>
      </w:pPr>
      <w:hyperlink w:anchor="_Toc94527447" w:history="1">
        <w:r w:rsidR="005C1DD9" w:rsidRPr="00A8725B">
          <w:rPr>
            <w:rStyle w:val="Hyperlink"/>
            <w:noProof/>
          </w:rPr>
          <w:t>3.1</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Local Government Act 2020</w:t>
        </w:r>
        <w:r w:rsidR="005C1DD9">
          <w:rPr>
            <w:noProof/>
            <w:webHidden/>
          </w:rPr>
          <w:tab/>
        </w:r>
        <w:r w:rsidR="005C1DD9">
          <w:rPr>
            <w:noProof/>
            <w:webHidden/>
          </w:rPr>
          <w:fldChar w:fldCharType="begin"/>
        </w:r>
        <w:r w:rsidR="005C1DD9">
          <w:rPr>
            <w:noProof/>
            <w:webHidden/>
          </w:rPr>
          <w:instrText xml:space="preserve"> PAGEREF _Toc94527447 \h </w:instrText>
        </w:r>
        <w:r w:rsidR="005C1DD9">
          <w:rPr>
            <w:noProof/>
            <w:webHidden/>
          </w:rPr>
        </w:r>
        <w:r w:rsidR="005C1DD9">
          <w:rPr>
            <w:noProof/>
            <w:webHidden/>
          </w:rPr>
          <w:fldChar w:fldCharType="separate"/>
        </w:r>
        <w:r w:rsidR="005C1DD9">
          <w:rPr>
            <w:noProof/>
            <w:webHidden/>
          </w:rPr>
          <w:t>4</w:t>
        </w:r>
        <w:r w:rsidR="005C1DD9">
          <w:rPr>
            <w:noProof/>
            <w:webHidden/>
          </w:rPr>
          <w:fldChar w:fldCharType="end"/>
        </w:r>
      </w:hyperlink>
    </w:p>
    <w:p w14:paraId="18160BC4" w14:textId="16EBE8CB" w:rsidR="005C1DD9" w:rsidRDefault="00B2112B">
      <w:pPr>
        <w:pStyle w:val="TOC2"/>
        <w:rPr>
          <w:rFonts w:asciiTheme="minorHAnsi" w:eastAsiaTheme="minorEastAsia" w:hAnsiTheme="minorHAnsi" w:cstheme="minorBidi"/>
          <w:noProof/>
          <w:color w:val="auto"/>
          <w:sz w:val="22"/>
          <w:szCs w:val="22"/>
          <w:lang w:eastAsia="en-AU"/>
        </w:rPr>
      </w:pPr>
      <w:hyperlink w:anchor="_Toc94527448" w:history="1">
        <w:r w:rsidR="005C1DD9" w:rsidRPr="00A8725B">
          <w:rPr>
            <w:rStyle w:val="Hyperlink"/>
            <w:noProof/>
          </w:rPr>
          <w:t>3.2</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About this guide</w:t>
        </w:r>
        <w:r w:rsidR="005C1DD9">
          <w:rPr>
            <w:noProof/>
            <w:webHidden/>
          </w:rPr>
          <w:tab/>
        </w:r>
        <w:r w:rsidR="005C1DD9">
          <w:rPr>
            <w:noProof/>
            <w:webHidden/>
          </w:rPr>
          <w:fldChar w:fldCharType="begin"/>
        </w:r>
        <w:r w:rsidR="005C1DD9">
          <w:rPr>
            <w:noProof/>
            <w:webHidden/>
          </w:rPr>
          <w:instrText xml:space="preserve"> PAGEREF _Toc94527448 \h </w:instrText>
        </w:r>
        <w:r w:rsidR="005C1DD9">
          <w:rPr>
            <w:noProof/>
            <w:webHidden/>
          </w:rPr>
        </w:r>
        <w:r w:rsidR="005C1DD9">
          <w:rPr>
            <w:noProof/>
            <w:webHidden/>
          </w:rPr>
          <w:fldChar w:fldCharType="separate"/>
        </w:r>
        <w:r w:rsidR="005C1DD9">
          <w:rPr>
            <w:noProof/>
            <w:webHidden/>
          </w:rPr>
          <w:t>6</w:t>
        </w:r>
        <w:r w:rsidR="005C1DD9">
          <w:rPr>
            <w:noProof/>
            <w:webHidden/>
          </w:rPr>
          <w:fldChar w:fldCharType="end"/>
        </w:r>
      </w:hyperlink>
    </w:p>
    <w:p w14:paraId="20CE0EE9" w14:textId="1D79B587" w:rsidR="005C1DD9" w:rsidRDefault="00B2112B">
      <w:pPr>
        <w:pStyle w:val="TOC1"/>
        <w:rPr>
          <w:rFonts w:asciiTheme="minorHAnsi" w:eastAsiaTheme="minorEastAsia" w:hAnsiTheme="minorHAnsi" w:cstheme="minorBidi"/>
          <w:noProof/>
          <w:color w:val="auto"/>
          <w:sz w:val="22"/>
          <w:szCs w:val="22"/>
          <w:lang w:eastAsia="en-AU"/>
        </w:rPr>
      </w:pPr>
      <w:hyperlink w:anchor="_Toc94527449" w:history="1">
        <w:r w:rsidR="005C1DD9" w:rsidRPr="00A8725B">
          <w:rPr>
            <w:rStyle w:val="Hyperlink"/>
            <w:rFonts w:eastAsia="Cambria"/>
            <w:noProof/>
            <w:lang w:val="en-GB"/>
          </w:rPr>
          <w:t>4</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lang w:val="en-GB"/>
          </w:rPr>
          <w:t>Integrated Strategic Planning and Reporting Framework</w:t>
        </w:r>
        <w:r w:rsidR="005C1DD9">
          <w:rPr>
            <w:noProof/>
            <w:webHidden/>
          </w:rPr>
          <w:tab/>
        </w:r>
        <w:r w:rsidR="005C1DD9">
          <w:rPr>
            <w:noProof/>
            <w:webHidden/>
          </w:rPr>
          <w:fldChar w:fldCharType="begin"/>
        </w:r>
        <w:r w:rsidR="005C1DD9">
          <w:rPr>
            <w:noProof/>
            <w:webHidden/>
          </w:rPr>
          <w:instrText xml:space="preserve"> PAGEREF _Toc94527449 \h </w:instrText>
        </w:r>
        <w:r w:rsidR="005C1DD9">
          <w:rPr>
            <w:noProof/>
            <w:webHidden/>
          </w:rPr>
        </w:r>
        <w:r w:rsidR="005C1DD9">
          <w:rPr>
            <w:noProof/>
            <w:webHidden/>
          </w:rPr>
          <w:fldChar w:fldCharType="separate"/>
        </w:r>
        <w:r w:rsidR="005C1DD9">
          <w:rPr>
            <w:noProof/>
            <w:webHidden/>
          </w:rPr>
          <w:t>8</w:t>
        </w:r>
        <w:r w:rsidR="005C1DD9">
          <w:rPr>
            <w:noProof/>
            <w:webHidden/>
          </w:rPr>
          <w:fldChar w:fldCharType="end"/>
        </w:r>
      </w:hyperlink>
    </w:p>
    <w:p w14:paraId="1C1EB6AC" w14:textId="746D08EA" w:rsidR="005C1DD9" w:rsidRDefault="00B2112B">
      <w:pPr>
        <w:pStyle w:val="TOC1"/>
        <w:rPr>
          <w:rFonts w:asciiTheme="minorHAnsi" w:eastAsiaTheme="minorEastAsia" w:hAnsiTheme="minorHAnsi" w:cstheme="minorBidi"/>
          <w:noProof/>
          <w:color w:val="auto"/>
          <w:sz w:val="22"/>
          <w:szCs w:val="22"/>
          <w:lang w:eastAsia="en-AU"/>
        </w:rPr>
      </w:pPr>
      <w:hyperlink w:anchor="_Toc94527450" w:history="1">
        <w:r w:rsidR="005C1DD9" w:rsidRPr="00A8725B">
          <w:rPr>
            <w:rStyle w:val="Hyperlink"/>
            <w:rFonts w:eastAsia="Cambria"/>
            <w:noProof/>
          </w:rPr>
          <w:t>5</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rPr>
          <w:t>Local Government Model Financial Report (Overview)</w:t>
        </w:r>
        <w:r w:rsidR="005C1DD9">
          <w:rPr>
            <w:noProof/>
            <w:webHidden/>
          </w:rPr>
          <w:tab/>
        </w:r>
        <w:r w:rsidR="005C1DD9">
          <w:rPr>
            <w:noProof/>
            <w:webHidden/>
          </w:rPr>
          <w:fldChar w:fldCharType="begin"/>
        </w:r>
        <w:r w:rsidR="005C1DD9">
          <w:rPr>
            <w:noProof/>
            <w:webHidden/>
          </w:rPr>
          <w:instrText xml:space="preserve"> PAGEREF _Toc94527450 \h </w:instrText>
        </w:r>
        <w:r w:rsidR="005C1DD9">
          <w:rPr>
            <w:noProof/>
            <w:webHidden/>
          </w:rPr>
        </w:r>
        <w:r w:rsidR="005C1DD9">
          <w:rPr>
            <w:noProof/>
            <w:webHidden/>
          </w:rPr>
          <w:fldChar w:fldCharType="separate"/>
        </w:r>
        <w:r w:rsidR="005C1DD9">
          <w:rPr>
            <w:noProof/>
            <w:webHidden/>
          </w:rPr>
          <w:t>11</w:t>
        </w:r>
        <w:r w:rsidR="005C1DD9">
          <w:rPr>
            <w:noProof/>
            <w:webHidden/>
          </w:rPr>
          <w:fldChar w:fldCharType="end"/>
        </w:r>
      </w:hyperlink>
    </w:p>
    <w:p w14:paraId="61529689" w14:textId="41D14087" w:rsidR="005C1DD9" w:rsidRDefault="00B2112B">
      <w:pPr>
        <w:pStyle w:val="TOC2"/>
        <w:rPr>
          <w:rFonts w:asciiTheme="minorHAnsi" w:eastAsiaTheme="minorEastAsia" w:hAnsiTheme="minorHAnsi" w:cstheme="minorBidi"/>
          <w:noProof/>
          <w:color w:val="auto"/>
          <w:sz w:val="22"/>
          <w:szCs w:val="22"/>
          <w:lang w:eastAsia="en-AU"/>
        </w:rPr>
      </w:pPr>
      <w:hyperlink w:anchor="_Toc94527451" w:history="1">
        <w:r w:rsidR="005C1DD9" w:rsidRPr="00A8725B">
          <w:rPr>
            <w:rStyle w:val="Hyperlink"/>
            <w:rFonts w:eastAsia="Cambria"/>
            <w:noProof/>
          </w:rPr>
          <w:t>5.1</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rPr>
          <w:t>Statutory and regulatory requirements</w:t>
        </w:r>
        <w:r w:rsidR="005C1DD9">
          <w:rPr>
            <w:noProof/>
            <w:webHidden/>
          </w:rPr>
          <w:tab/>
        </w:r>
        <w:r w:rsidR="005C1DD9">
          <w:rPr>
            <w:noProof/>
            <w:webHidden/>
          </w:rPr>
          <w:fldChar w:fldCharType="begin"/>
        </w:r>
        <w:r w:rsidR="005C1DD9">
          <w:rPr>
            <w:noProof/>
            <w:webHidden/>
          </w:rPr>
          <w:instrText xml:space="preserve"> PAGEREF _Toc94527451 \h </w:instrText>
        </w:r>
        <w:r w:rsidR="005C1DD9">
          <w:rPr>
            <w:noProof/>
            <w:webHidden/>
          </w:rPr>
        </w:r>
        <w:r w:rsidR="005C1DD9">
          <w:rPr>
            <w:noProof/>
            <w:webHidden/>
          </w:rPr>
          <w:fldChar w:fldCharType="separate"/>
        </w:r>
        <w:r w:rsidR="005C1DD9">
          <w:rPr>
            <w:noProof/>
            <w:webHidden/>
          </w:rPr>
          <w:t>11</w:t>
        </w:r>
        <w:r w:rsidR="005C1DD9">
          <w:rPr>
            <w:noProof/>
            <w:webHidden/>
          </w:rPr>
          <w:fldChar w:fldCharType="end"/>
        </w:r>
      </w:hyperlink>
    </w:p>
    <w:p w14:paraId="3865EC7F" w14:textId="2A6D1F84" w:rsidR="005C1DD9" w:rsidRDefault="00B2112B">
      <w:pPr>
        <w:pStyle w:val="TOC1"/>
        <w:rPr>
          <w:rFonts w:asciiTheme="minorHAnsi" w:eastAsiaTheme="minorEastAsia" w:hAnsiTheme="minorHAnsi" w:cstheme="minorBidi"/>
          <w:noProof/>
          <w:color w:val="auto"/>
          <w:sz w:val="22"/>
          <w:szCs w:val="22"/>
          <w:lang w:eastAsia="en-AU"/>
        </w:rPr>
      </w:pPr>
      <w:hyperlink w:anchor="_Toc94527452" w:history="1">
        <w:r w:rsidR="005C1DD9" w:rsidRPr="00A8725B">
          <w:rPr>
            <w:rStyle w:val="Hyperlink"/>
            <w:rFonts w:eastAsia="Cambria"/>
            <w:noProof/>
            <w:lang w:val="en-GB"/>
          </w:rPr>
          <w:t>6</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lang w:val="en-GB"/>
          </w:rPr>
          <w:t>Local Government Model Financial Report (Guidance)</w:t>
        </w:r>
        <w:r w:rsidR="005C1DD9">
          <w:rPr>
            <w:noProof/>
            <w:webHidden/>
          </w:rPr>
          <w:tab/>
        </w:r>
        <w:r w:rsidR="005C1DD9">
          <w:rPr>
            <w:noProof/>
            <w:webHidden/>
          </w:rPr>
          <w:fldChar w:fldCharType="begin"/>
        </w:r>
        <w:r w:rsidR="005C1DD9">
          <w:rPr>
            <w:noProof/>
            <w:webHidden/>
          </w:rPr>
          <w:instrText xml:space="preserve"> PAGEREF _Toc94527452 \h </w:instrText>
        </w:r>
        <w:r w:rsidR="005C1DD9">
          <w:rPr>
            <w:noProof/>
            <w:webHidden/>
          </w:rPr>
        </w:r>
        <w:r w:rsidR="005C1DD9">
          <w:rPr>
            <w:noProof/>
            <w:webHidden/>
          </w:rPr>
          <w:fldChar w:fldCharType="separate"/>
        </w:r>
        <w:r w:rsidR="005C1DD9">
          <w:rPr>
            <w:noProof/>
            <w:webHidden/>
          </w:rPr>
          <w:t>12</w:t>
        </w:r>
        <w:r w:rsidR="005C1DD9">
          <w:rPr>
            <w:noProof/>
            <w:webHidden/>
          </w:rPr>
          <w:fldChar w:fldCharType="end"/>
        </w:r>
      </w:hyperlink>
    </w:p>
    <w:p w14:paraId="392E9F1A" w14:textId="2ADEFA46" w:rsidR="005C1DD9" w:rsidRDefault="00B2112B">
      <w:pPr>
        <w:pStyle w:val="TOC2"/>
        <w:rPr>
          <w:rFonts w:asciiTheme="minorHAnsi" w:eastAsiaTheme="minorEastAsia" w:hAnsiTheme="minorHAnsi" w:cstheme="minorBidi"/>
          <w:noProof/>
          <w:color w:val="auto"/>
          <w:sz w:val="22"/>
          <w:szCs w:val="22"/>
          <w:lang w:eastAsia="en-AU"/>
        </w:rPr>
      </w:pPr>
      <w:hyperlink w:anchor="_Toc94527453" w:history="1">
        <w:r w:rsidR="005C1DD9" w:rsidRPr="00A8725B">
          <w:rPr>
            <w:rStyle w:val="Hyperlink"/>
            <w:rFonts w:eastAsia="Cambria"/>
            <w:noProof/>
          </w:rPr>
          <w:t>6.1</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rPr>
          <w:t>Context and development of guidance</w:t>
        </w:r>
        <w:r w:rsidR="005C1DD9">
          <w:rPr>
            <w:noProof/>
            <w:webHidden/>
          </w:rPr>
          <w:tab/>
        </w:r>
        <w:r w:rsidR="005C1DD9">
          <w:rPr>
            <w:noProof/>
            <w:webHidden/>
          </w:rPr>
          <w:fldChar w:fldCharType="begin"/>
        </w:r>
        <w:r w:rsidR="005C1DD9">
          <w:rPr>
            <w:noProof/>
            <w:webHidden/>
          </w:rPr>
          <w:instrText xml:space="preserve"> PAGEREF _Toc94527453 \h </w:instrText>
        </w:r>
        <w:r w:rsidR="005C1DD9">
          <w:rPr>
            <w:noProof/>
            <w:webHidden/>
          </w:rPr>
        </w:r>
        <w:r w:rsidR="005C1DD9">
          <w:rPr>
            <w:noProof/>
            <w:webHidden/>
          </w:rPr>
          <w:fldChar w:fldCharType="separate"/>
        </w:r>
        <w:r w:rsidR="005C1DD9">
          <w:rPr>
            <w:noProof/>
            <w:webHidden/>
          </w:rPr>
          <w:t>12</w:t>
        </w:r>
        <w:r w:rsidR="005C1DD9">
          <w:rPr>
            <w:noProof/>
            <w:webHidden/>
          </w:rPr>
          <w:fldChar w:fldCharType="end"/>
        </w:r>
      </w:hyperlink>
    </w:p>
    <w:p w14:paraId="4C9A6F8D" w14:textId="6290922C" w:rsidR="005C1DD9" w:rsidRDefault="00B2112B">
      <w:pPr>
        <w:pStyle w:val="TOC1"/>
        <w:rPr>
          <w:rFonts w:asciiTheme="minorHAnsi" w:eastAsiaTheme="minorEastAsia" w:hAnsiTheme="minorHAnsi" w:cstheme="minorBidi"/>
          <w:noProof/>
          <w:color w:val="auto"/>
          <w:sz w:val="22"/>
          <w:szCs w:val="22"/>
          <w:lang w:eastAsia="en-AU"/>
        </w:rPr>
      </w:pPr>
      <w:hyperlink w:anchor="_Toc94527454" w:history="1">
        <w:r w:rsidR="005C1DD9" w:rsidRPr="00A8725B">
          <w:rPr>
            <w:rStyle w:val="Hyperlink"/>
            <w:rFonts w:eastAsia="Cambria"/>
            <w:noProof/>
          </w:rPr>
          <w:t>7</w:t>
        </w:r>
        <w:r w:rsidR="005C1DD9">
          <w:rPr>
            <w:rFonts w:asciiTheme="minorHAnsi" w:eastAsiaTheme="minorEastAsia" w:hAnsiTheme="minorHAnsi" w:cstheme="minorBidi"/>
            <w:noProof/>
            <w:color w:val="auto"/>
            <w:sz w:val="22"/>
            <w:szCs w:val="22"/>
            <w:lang w:eastAsia="en-AU"/>
          </w:rPr>
          <w:tab/>
        </w:r>
        <w:r w:rsidR="005C1DD9" w:rsidRPr="00A8725B">
          <w:rPr>
            <w:rStyle w:val="Hyperlink"/>
            <w:rFonts w:eastAsia="Cambria"/>
            <w:noProof/>
          </w:rPr>
          <w:t>Glossary</w:t>
        </w:r>
        <w:r w:rsidR="005C1DD9">
          <w:rPr>
            <w:noProof/>
            <w:webHidden/>
          </w:rPr>
          <w:tab/>
        </w:r>
        <w:r w:rsidR="005C1DD9">
          <w:rPr>
            <w:noProof/>
            <w:webHidden/>
          </w:rPr>
          <w:fldChar w:fldCharType="begin"/>
        </w:r>
        <w:r w:rsidR="005C1DD9">
          <w:rPr>
            <w:noProof/>
            <w:webHidden/>
          </w:rPr>
          <w:instrText xml:space="preserve"> PAGEREF _Toc94527454 \h </w:instrText>
        </w:r>
        <w:r w:rsidR="005C1DD9">
          <w:rPr>
            <w:noProof/>
            <w:webHidden/>
          </w:rPr>
        </w:r>
        <w:r w:rsidR="005C1DD9">
          <w:rPr>
            <w:noProof/>
            <w:webHidden/>
          </w:rPr>
          <w:fldChar w:fldCharType="separate"/>
        </w:r>
        <w:r w:rsidR="005C1DD9">
          <w:rPr>
            <w:noProof/>
            <w:webHidden/>
          </w:rPr>
          <w:t>14</w:t>
        </w:r>
        <w:r w:rsidR="005C1DD9">
          <w:rPr>
            <w:noProof/>
            <w:webHidden/>
          </w:rPr>
          <w:fldChar w:fldCharType="end"/>
        </w:r>
      </w:hyperlink>
    </w:p>
    <w:p w14:paraId="5BB65C85" w14:textId="2BD41F54" w:rsidR="005C1DD9" w:rsidRDefault="00B2112B">
      <w:pPr>
        <w:pStyle w:val="TOC1"/>
        <w:rPr>
          <w:rFonts w:asciiTheme="minorHAnsi" w:eastAsiaTheme="minorEastAsia" w:hAnsiTheme="minorHAnsi" w:cstheme="minorBidi"/>
          <w:noProof/>
          <w:color w:val="auto"/>
          <w:sz w:val="22"/>
          <w:szCs w:val="22"/>
          <w:lang w:eastAsia="en-AU"/>
        </w:rPr>
      </w:pPr>
      <w:hyperlink w:anchor="_Toc94527455" w:history="1">
        <w:r w:rsidR="005C1DD9" w:rsidRPr="00A8725B">
          <w:rPr>
            <w:rStyle w:val="Hyperlink"/>
            <w:noProof/>
          </w:rPr>
          <w:t>8</w:t>
        </w:r>
        <w:r w:rsidR="005C1DD9">
          <w:rPr>
            <w:rFonts w:asciiTheme="minorHAnsi" w:eastAsiaTheme="minorEastAsia" w:hAnsiTheme="minorHAnsi" w:cstheme="minorBidi"/>
            <w:noProof/>
            <w:color w:val="auto"/>
            <w:sz w:val="22"/>
            <w:szCs w:val="22"/>
            <w:lang w:eastAsia="en-AU"/>
          </w:rPr>
          <w:tab/>
        </w:r>
        <w:r w:rsidR="005C1DD9" w:rsidRPr="00A8725B">
          <w:rPr>
            <w:rStyle w:val="Hyperlink"/>
            <w:noProof/>
          </w:rPr>
          <w:t>References</w:t>
        </w:r>
        <w:r w:rsidR="005C1DD9">
          <w:rPr>
            <w:noProof/>
            <w:webHidden/>
          </w:rPr>
          <w:tab/>
        </w:r>
        <w:r w:rsidR="005C1DD9">
          <w:rPr>
            <w:noProof/>
            <w:webHidden/>
          </w:rPr>
          <w:fldChar w:fldCharType="begin"/>
        </w:r>
        <w:r w:rsidR="005C1DD9">
          <w:rPr>
            <w:noProof/>
            <w:webHidden/>
          </w:rPr>
          <w:instrText xml:space="preserve"> PAGEREF _Toc94527455 \h </w:instrText>
        </w:r>
        <w:r w:rsidR="005C1DD9">
          <w:rPr>
            <w:noProof/>
            <w:webHidden/>
          </w:rPr>
        </w:r>
        <w:r w:rsidR="005C1DD9">
          <w:rPr>
            <w:noProof/>
            <w:webHidden/>
          </w:rPr>
          <w:fldChar w:fldCharType="separate"/>
        </w:r>
        <w:r w:rsidR="005C1DD9">
          <w:rPr>
            <w:noProof/>
            <w:webHidden/>
          </w:rPr>
          <w:t>16</w:t>
        </w:r>
        <w:r w:rsidR="005C1DD9">
          <w:rPr>
            <w:noProof/>
            <w:webHidden/>
          </w:rPr>
          <w:fldChar w:fldCharType="end"/>
        </w:r>
      </w:hyperlink>
    </w:p>
    <w:p w14:paraId="7095F10E" w14:textId="7E085485" w:rsidR="00D96C1E" w:rsidRDefault="00BC3C4A" w:rsidP="00D96C1E">
      <w:pPr>
        <w:rPr>
          <w:noProof/>
        </w:rPr>
      </w:pPr>
      <w:r>
        <w:rPr>
          <w:noProof/>
          <w:color w:val="auto"/>
          <w:lang w:eastAsia="en-AU"/>
        </w:rPr>
        <w:fldChar w:fldCharType="end"/>
      </w:r>
    </w:p>
    <w:p w14:paraId="434D8971" w14:textId="77777777" w:rsidR="00D96C1E" w:rsidRDefault="00D96C1E" w:rsidP="00D96C1E">
      <w:pPr>
        <w:rPr>
          <w:noProof/>
        </w:rPr>
      </w:pPr>
    </w:p>
    <w:p w14:paraId="109E8880" w14:textId="77777777" w:rsidR="00D96C1E" w:rsidRDefault="00D96C1E" w:rsidP="00D96C1E">
      <w:pPr>
        <w:rPr>
          <w:noProof/>
        </w:rPr>
      </w:pPr>
    </w:p>
    <w:p w14:paraId="2CE73ED0"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B39C2E5" w14:textId="77777777" w:rsidR="00C54082" w:rsidRDefault="00665435" w:rsidP="00247333">
      <w:pPr>
        <w:pStyle w:val="Heading1"/>
      </w:pPr>
      <w:bookmarkStart w:id="1" w:name="_Toc94527444"/>
      <w:r>
        <w:lastRenderedPageBreak/>
        <w:t>A</w:t>
      </w:r>
      <w:r w:rsidR="004E111A">
        <w:t>cronyms</w:t>
      </w:r>
      <w:bookmarkEnd w:id="1"/>
    </w:p>
    <w:p w14:paraId="4E7C50DD" w14:textId="77777777" w:rsidR="00C54082" w:rsidRPr="00F127FE" w:rsidRDefault="00C54082" w:rsidP="00C54082">
      <w:r w:rsidRPr="00F127FE">
        <w:t>AAS</w:t>
      </w:r>
      <w:r w:rsidRPr="00F127FE">
        <w:tab/>
      </w:r>
      <w:r w:rsidRPr="00F127FE">
        <w:tab/>
        <w:t>Australian Accounting Standards</w:t>
      </w:r>
    </w:p>
    <w:p w14:paraId="27810995" w14:textId="6B91D1E2" w:rsidR="00680542" w:rsidRPr="00F127FE" w:rsidRDefault="00680542" w:rsidP="00C54082">
      <w:r w:rsidRPr="00F127FE">
        <w:t>BPG</w:t>
      </w:r>
      <w:r w:rsidR="00CC1715" w:rsidRPr="00F127FE">
        <w:tab/>
      </w:r>
      <w:r w:rsidR="00CC1715" w:rsidRPr="00F127FE">
        <w:tab/>
        <w:t>Better Practice Guide</w:t>
      </w:r>
    </w:p>
    <w:p w14:paraId="12371850" w14:textId="77777777" w:rsidR="00C54082" w:rsidRPr="00F127FE" w:rsidRDefault="00C54082" w:rsidP="00C54082">
      <w:r w:rsidRPr="00F127FE">
        <w:t>COVID-19</w:t>
      </w:r>
      <w:r w:rsidRPr="00F127FE">
        <w:tab/>
        <w:t>Coronavirus (COVID-19) Pandemic</w:t>
      </w:r>
    </w:p>
    <w:p w14:paraId="66AC695C" w14:textId="77777777" w:rsidR="00C54082" w:rsidRPr="00F127FE" w:rsidRDefault="00C54082" w:rsidP="00C54082">
      <w:r w:rsidRPr="00F127FE">
        <w:t>DJPR</w:t>
      </w:r>
      <w:r w:rsidRPr="00F127FE">
        <w:tab/>
      </w:r>
      <w:r w:rsidRPr="00F127FE">
        <w:tab/>
        <w:t>Department of Jobs, Precincts and Regions</w:t>
      </w:r>
    </w:p>
    <w:p w14:paraId="7F52E661" w14:textId="77777777" w:rsidR="00C54082" w:rsidRPr="00F127FE" w:rsidRDefault="00C54082" w:rsidP="00C54082">
      <w:r w:rsidRPr="00F127FE">
        <w:t>FinPro</w:t>
      </w:r>
      <w:r w:rsidRPr="00F127FE">
        <w:tab/>
      </w:r>
      <w:r w:rsidRPr="00F127FE">
        <w:tab/>
        <w:t>Local Government Finance Professionals</w:t>
      </w:r>
    </w:p>
    <w:p w14:paraId="2A5D1006" w14:textId="77777777" w:rsidR="00C54082" w:rsidRPr="00F127FE" w:rsidRDefault="00C54082" w:rsidP="00C54082">
      <w:r w:rsidRPr="00F127FE">
        <w:t>FTE</w:t>
      </w:r>
      <w:r w:rsidRPr="00F127FE">
        <w:tab/>
      </w:r>
      <w:r w:rsidRPr="00F127FE">
        <w:tab/>
        <w:t>Full Time Equivalent</w:t>
      </w:r>
    </w:p>
    <w:p w14:paraId="4F3C8886" w14:textId="77777777" w:rsidR="00C54082" w:rsidRPr="00F127FE" w:rsidRDefault="00C54082" w:rsidP="00C54082">
      <w:r w:rsidRPr="00F127FE">
        <w:t>FY</w:t>
      </w:r>
      <w:r w:rsidRPr="00F127FE">
        <w:tab/>
      </w:r>
      <w:r w:rsidRPr="00F127FE">
        <w:tab/>
        <w:t>Financial Year</w:t>
      </w:r>
    </w:p>
    <w:p w14:paraId="604E6E6B" w14:textId="77777777" w:rsidR="00C54082" w:rsidRPr="00F127FE" w:rsidRDefault="00C54082" w:rsidP="00C54082">
      <w:r w:rsidRPr="00F127FE">
        <w:t>FGRS</w:t>
      </w:r>
      <w:r w:rsidRPr="00F127FE">
        <w:tab/>
      </w:r>
      <w:r w:rsidRPr="00F127FE">
        <w:tab/>
        <w:t>Fair Go Rates System</w:t>
      </w:r>
    </w:p>
    <w:p w14:paraId="26BA6191" w14:textId="643B2831" w:rsidR="003268AE" w:rsidRPr="00F127FE" w:rsidRDefault="003268AE" w:rsidP="00C54082">
      <w:r w:rsidRPr="00F127FE">
        <w:t>ISPRF</w:t>
      </w:r>
      <w:r w:rsidRPr="00F127FE">
        <w:tab/>
      </w:r>
      <w:r w:rsidRPr="00F127FE">
        <w:tab/>
        <w:t>Integrated Strategic Planning and Reporting Framework</w:t>
      </w:r>
    </w:p>
    <w:p w14:paraId="3BEEF4BC" w14:textId="77777777" w:rsidR="00C54082" w:rsidRPr="00F127FE" w:rsidRDefault="00C54082" w:rsidP="00C54082">
      <w:r w:rsidRPr="00F127FE">
        <w:t>LGMFR</w:t>
      </w:r>
      <w:r w:rsidRPr="00F127FE">
        <w:tab/>
      </w:r>
      <w:r w:rsidRPr="00F127FE">
        <w:tab/>
        <w:t>Local Government Model Financial Report</w:t>
      </w:r>
    </w:p>
    <w:p w14:paraId="592F9F6C" w14:textId="77777777" w:rsidR="00C54082" w:rsidRPr="00F127FE" w:rsidRDefault="00C54082" w:rsidP="00C54082">
      <w:r w:rsidRPr="00F127FE">
        <w:t>LGPRF</w:t>
      </w:r>
      <w:r w:rsidRPr="00F127FE">
        <w:tab/>
      </w:r>
      <w:r w:rsidRPr="00F127FE">
        <w:tab/>
        <w:t>Local Government Performance Reporting Framework</w:t>
      </w:r>
    </w:p>
    <w:p w14:paraId="1303C4E2" w14:textId="77777777" w:rsidR="00C54082" w:rsidRPr="00F127FE" w:rsidRDefault="00C54082" w:rsidP="00C54082">
      <w:r w:rsidRPr="00F127FE">
        <w:t>LGV</w:t>
      </w:r>
      <w:r w:rsidRPr="00F127FE">
        <w:tab/>
      </w:r>
      <w:r w:rsidRPr="00F127FE">
        <w:tab/>
        <w:t>Local Government Victoria</w:t>
      </w:r>
    </w:p>
    <w:p w14:paraId="07B9FC82" w14:textId="77777777" w:rsidR="00C54082" w:rsidRDefault="00C54082" w:rsidP="00C54082">
      <w:r w:rsidRPr="00F127FE">
        <w:t>VAGO</w:t>
      </w:r>
      <w:r w:rsidRPr="00F127FE">
        <w:tab/>
      </w:r>
      <w:r w:rsidRPr="00F127FE">
        <w:tab/>
        <w:t>Victorian Auditor</w:t>
      </w:r>
      <w:r w:rsidRPr="00F127FE">
        <w:rPr>
          <w:rFonts w:ascii="Cambria Math" w:hAnsi="Cambria Math" w:cs="Cambria Math"/>
        </w:rPr>
        <w:t>‐</w:t>
      </w:r>
      <w:r w:rsidRPr="00F127FE">
        <w:t>General</w:t>
      </w:r>
      <w:r w:rsidRPr="00F127FE">
        <w:rPr>
          <w:rFonts w:cs="Arial"/>
        </w:rPr>
        <w:t>’</w:t>
      </w:r>
      <w:r w:rsidRPr="00F127FE">
        <w:t>s Office</w:t>
      </w:r>
    </w:p>
    <w:p w14:paraId="3E6180C3" w14:textId="79B5FA35" w:rsidR="004371F6" w:rsidRDefault="004E111A" w:rsidP="00247333">
      <w:pPr>
        <w:pStyle w:val="Heading1"/>
      </w:pPr>
      <w:bookmarkStart w:id="2" w:name="_Toc94527445"/>
      <w:r>
        <w:lastRenderedPageBreak/>
        <w:t>A</w:t>
      </w:r>
      <w:r w:rsidR="00665435">
        <w:t xml:space="preserve"> </w:t>
      </w:r>
      <w:r w:rsidR="00926908">
        <w:t>message from Local Government Victoria</w:t>
      </w:r>
      <w:bookmarkEnd w:id="2"/>
    </w:p>
    <w:p w14:paraId="309668CE" w14:textId="7EAB7C25" w:rsidR="00F74534" w:rsidRDefault="00F74534" w:rsidP="003E2620">
      <w:pPr>
        <w:pStyle w:val="BodyText"/>
        <w:rPr>
          <w:rFonts w:eastAsiaTheme="minorHAnsi"/>
        </w:rPr>
      </w:pPr>
      <w:bookmarkStart w:id="3" w:name="_Toc315765092"/>
      <w:r w:rsidRPr="00462872">
        <w:rPr>
          <w:rFonts w:eastAsiaTheme="minorHAnsi"/>
        </w:rPr>
        <w:t>Welcome to the 20</w:t>
      </w:r>
      <w:r w:rsidR="007546A5" w:rsidRPr="00462872">
        <w:rPr>
          <w:rFonts w:eastAsiaTheme="minorHAnsi"/>
        </w:rPr>
        <w:t>2</w:t>
      </w:r>
      <w:r w:rsidR="00207D34">
        <w:rPr>
          <w:rFonts w:eastAsiaTheme="minorHAnsi"/>
        </w:rPr>
        <w:t>1</w:t>
      </w:r>
      <w:r w:rsidRPr="00462872">
        <w:rPr>
          <w:rFonts w:eastAsiaTheme="minorHAnsi"/>
        </w:rPr>
        <w:t>-2</w:t>
      </w:r>
      <w:r w:rsidR="00207D34">
        <w:rPr>
          <w:rFonts w:eastAsiaTheme="minorHAnsi"/>
        </w:rPr>
        <w:t>2</w:t>
      </w:r>
      <w:r w:rsidRPr="00462872">
        <w:rPr>
          <w:rFonts w:eastAsiaTheme="minorHAnsi"/>
        </w:rPr>
        <w:t xml:space="preserve"> version of this Better Practice Guide (BPG) which accompanies the Local Government Model Financial Report (LGMFR).</w:t>
      </w:r>
    </w:p>
    <w:p w14:paraId="13C69CF7" w14:textId="77437490" w:rsidR="0033056C" w:rsidRPr="00462872" w:rsidRDefault="0033056C" w:rsidP="003E2620">
      <w:pPr>
        <w:pStyle w:val="BodyText"/>
        <w:rPr>
          <w:rFonts w:eastAsiaTheme="minorHAnsi"/>
        </w:rPr>
      </w:pPr>
      <w:r>
        <w:rPr>
          <w:rFonts w:eastAsiaTheme="minorHAnsi"/>
        </w:rPr>
        <w:t xml:space="preserve">Following the </w:t>
      </w:r>
      <w:r w:rsidR="00424FC4">
        <w:rPr>
          <w:rFonts w:eastAsiaTheme="minorHAnsi"/>
        </w:rPr>
        <w:t xml:space="preserve">application of </w:t>
      </w:r>
      <w:r>
        <w:rPr>
          <w:rFonts w:eastAsiaTheme="minorHAnsi"/>
        </w:rPr>
        <w:t>transitional provisions</w:t>
      </w:r>
      <w:r w:rsidR="00424FC4">
        <w:rPr>
          <w:rFonts w:eastAsiaTheme="minorHAnsi"/>
        </w:rPr>
        <w:t xml:space="preserve"> for the last reporting period, the 2021-22</w:t>
      </w:r>
      <w:r w:rsidR="00431773">
        <w:rPr>
          <w:rFonts w:eastAsiaTheme="minorHAnsi"/>
        </w:rPr>
        <w:t xml:space="preserve"> financial year is the first </w:t>
      </w:r>
      <w:r w:rsidR="005C137A">
        <w:rPr>
          <w:rFonts w:eastAsiaTheme="minorHAnsi"/>
        </w:rPr>
        <w:t xml:space="preserve">reporting period to which the provisions of </w:t>
      </w:r>
      <w:r w:rsidR="00B7011B">
        <w:rPr>
          <w:rFonts w:eastAsiaTheme="minorHAnsi"/>
        </w:rPr>
        <w:t xml:space="preserve">the </w:t>
      </w:r>
      <w:r w:rsidR="00B7011B" w:rsidRPr="009D0D90">
        <w:rPr>
          <w:rFonts w:eastAsiaTheme="minorHAnsi"/>
          <w:i/>
          <w:iCs/>
        </w:rPr>
        <w:t>Local Government Act 2020</w:t>
      </w:r>
      <w:r w:rsidR="00B7011B">
        <w:rPr>
          <w:rFonts w:eastAsiaTheme="minorHAnsi"/>
        </w:rPr>
        <w:t xml:space="preserve"> and the Local Government (Planning and Reporting) Regulations 2020</w:t>
      </w:r>
      <w:r w:rsidR="009D0D90">
        <w:rPr>
          <w:rFonts w:eastAsiaTheme="minorHAnsi"/>
        </w:rPr>
        <w:t xml:space="preserve"> apply </w:t>
      </w:r>
      <w:r w:rsidR="00C80932">
        <w:rPr>
          <w:rFonts w:eastAsiaTheme="minorHAnsi"/>
        </w:rPr>
        <w:t>for</w:t>
      </w:r>
      <w:r w:rsidR="009D0D90">
        <w:rPr>
          <w:rFonts w:eastAsiaTheme="minorHAnsi"/>
        </w:rPr>
        <w:t xml:space="preserve"> </w:t>
      </w:r>
      <w:r w:rsidR="008268CA">
        <w:rPr>
          <w:rFonts w:eastAsiaTheme="minorHAnsi"/>
        </w:rPr>
        <w:t xml:space="preserve">council </w:t>
      </w:r>
      <w:r w:rsidR="009D0D90">
        <w:rPr>
          <w:rFonts w:eastAsiaTheme="minorHAnsi"/>
        </w:rPr>
        <w:t>annual report</w:t>
      </w:r>
      <w:r w:rsidR="008268CA">
        <w:rPr>
          <w:rFonts w:eastAsiaTheme="minorHAnsi"/>
        </w:rPr>
        <w:t>s</w:t>
      </w:r>
      <w:r w:rsidR="009D0D90">
        <w:rPr>
          <w:rFonts w:eastAsiaTheme="minorHAnsi"/>
        </w:rPr>
        <w:t>.</w:t>
      </w:r>
      <w:r>
        <w:rPr>
          <w:rFonts w:eastAsiaTheme="minorHAnsi"/>
        </w:rPr>
        <w:t xml:space="preserve"> </w:t>
      </w:r>
    </w:p>
    <w:p w14:paraId="5703F1FC" w14:textId="29795D4D" w:rsidR="0054326C" w:rsidRPr="00DA4405" w:rsidRDefault="008D1DF3" w:rsidP="001906AE">
      <w:pPr>
        <w:pStyle w:val="BodyText"/>
        <w:rPr>
          <w:rFonts w:eastAsiaTheme="minorHAnsi"/>
        </w:rPr>
      </w:pPr>
      <w:r w:rsidRPr="00DA4405">
        <w:rPr>
          <w:rFonts w:eastAsiaTheme="minorHAnsi"/>
        </w:rPr>
        <w:t>For context t</w:t>
      </w:r>
      <w:r w:rsidR="00562AC4" w:rsidRPr="00DA4405">
        <w:rPr>
          <w:rFonts w:eastAsiaTheme="minorHAnsi"/>
        </w:rPr>
        <w:t>his B</w:t>
      </w:r>
      <w:r w:rsidR="00225313" w:rsidRPr="00DA4405">
        <w:rPr>
          <w:rFonts w:eastAsiaTheme="minorHAnsi"/>
        </w:rPr>
        <w:t>PG</w:t>
      </w:r>
      <w:r w:rsidR="00562AC4" w:rsidRPr="00DA4405">
        <w:rPr>
          <w:rFonts w:eastAsiaTheme="minorHAnsi"/>
        </w:rPr>
        <w:t xml:space="preserve"> </w:t>
      </w:r>
      <w:r w:rsidR="00E4733F" w:rsidRPr="00DA4405">
        <w:rPr>
          <w:rFonts w:eastAsiaTheme="minorHAnsi"/>
        </w:rPr>
        <w:t xml:space="preserve">sets out the </w:t>
      </w:r>
      <w:r w:rsidR="00535B4A" w:rsidRPr="00DA4405">
        <w:rPr>
          <w:rFonts w:eastAsiaTheme="minorHAnsi"/>
        </w:rPr>
        <w:t>broader Integrated Strategic Planning and Reporting Framework (ISPRF)</w:t>
      </w:r>
      <w:r w:rsidRPr="00DA4405">
        <w:rPr>
          <w:rFonts w:eastAsiaTheme="minorHAnsi"/>
        </w:rPr>
        <w:t xml:space="preserve"> introduced by the new legislation and</w:t>
      </w:r>
      <w:r w:rsidR="00661925" w:rsidRPr="00DA4405">
        <w:rPr>
          <w:rFonts w:eastAsiaTheme="minorHAnsi"/>
        </w:rPr>
        <w:t xml:space="preserve"> regulations. </w:t>
      </w:r>
    </w:p>
    <w:p w14:paraId="4C2C315B" w14:textId="56B039AC" w:rsidR="00BB57A1" w:rsidRDefault="004505C4" w:rsidP="00AE10C1">
      <w:pPr>
        <w:pStyle w:val="BodyText"/>
        <w:rPr>
          <w:rFonts w:eastAsiaTheme="minorHAnsi"/>
        </w:rPr>
      </w:pPr>
      <w:r w:rsidRPr="00DA4405">
        <w:rPr>
          <w:rFonts w:eastAsiaTheme="minorHAnsi"/>
        </w:rPr>
        <w:t>T</w:t>
      </w:r>
      <w:r w:rsidR="000C26DF" w:rsidRPr="00DA4405">
        <w:rPr>
          <w:rFonts w:eastAsiaTheme="minorHAnsi"/>
        </w:rPr>
        <w:t xml:space="preserve">he </w:t>
      </w:r>
      <w:r w:rsidR="00D26FDE" w:rsidRPr="00DA4405">
        <w:rPr>
          <w:rFonts w:eastAsiaTheme="minorHAnsi"/>
        </w:rPr>
        <w:t xml:space="preserve">annual reporting </w:t>
      </w:r>
      <w:r w:rsidR="00415CAD" w:rsidRPr="00DA4405">
        <w:rPr>
          <w:rFonts w:eastAsiaTheme="minorHAnsi"/>
        </w:rPr>
        <w:t>responsibilities</w:t>
      </w:r>
      <w:r w:rsidR="00D26FDE" w:rsidRPr="00DA4405">
        <w:rPr>
          <w:rFonts w:eastAsiaTheme="minorHAnsi"/>
        </w:rPr>
        <w:t xml:space="preserve"> for Victorian councils </w:t>
      </w:r>
      <w:r w:rsidR="00786A9C">
        <w:rPr>
          <w:rFonts w:eastAsiaTheme="minorHAnsi"/>
        </w:rPr>
        <w:t>also</w:t>
      </w:r>
      <w:r w:rsidR="00EC4414" w:rsidRPr="00DA4405">
        <w:rPr>
          <w:rFonts w:eastAsiaTheme="minorHAnsi"/>
        </w:rPr>
        <w:t xml:space="preserve"> reflect the requirements of Australian Accounting Standards</w:t>
      </w:r>
      <w:r w:rsidR="00625D80" w:rsidRPr="00DA4405">
        <w:rPr>
          <w:rFonts w:eastAsiaTheme="minorHAnsi"/>
        </w:rPr>
        <w:t xml:space="preserve"> and the Local Government Performance Reporting Framework (LGPRF). </w:t>
      </w:r>
      <w:r w:rsidR="00323FB3" w:rsidRPr="00DA4405">
        <w:rPr>
          <w:rFonts w:eastAsiaTheme="minorHAnsi"/>
        </w:rPr>
        <w:t>The regulations continue to require the financial statements in annual reports to be prepared in accordance with the LGMFR.</w:t>
      </w:r>
      <w:r w:rsidR="00BB57A1">
        <w:rPr>
          <w:rFonts w:eastAsiaTheme="minorHAnsi"/>
        </w:rPr>
        <w:t xml:space="preserve"> </w:t>
      </w:r>
      <w:r w:rsidR="00AE10C1" w:rsidRPr="00DA4405">
        <w:rPr>
          <w:rFonts w:eastAsiaTheme="minorHAnsi"/>
        </w:rPr>
        <w:t xml:space="preserve">The LGMFR and BPG are developed to assist councils in the preparation of financial statements for inclusion in their annual report. </w:t>
      </w:r>
    </w:p>
    <w:p w14:paraId="52755F11" w14:textId="6E299453" w:rsidR="00AE10C1" w:rsidRPr="00DA4405" w:rsidRDefault="00AE10C1" w:rsidP="00AE10C1">
      <w:pPr>
        <w:pStyle w:val="BodyText"/>
        <w:rPr>
          <w:rFonts w:eastAsiaTheme="minorHAnsi"/>
        </w:rPr>
      </w:pPr>
      <w:r w:rsidRPr="00DA4405">
        <w:rPr>
          <w:rFonts w:eastAsiaTheme="minorHAnsi"/>
        </w:rPr>
        <w:t>Local Government Victoria (LGV) again convened a working group to guide the development of this year’s LGMFR and BPG. LGV would like to take this opportunity to acknowledge the contributions of the Local Government Finance Professionals (FinPro), CPA Australia, Crowe Australasia and the Victorian Auditor-General’s Office (VAGO) in an observer capacity, to the update of this year’s edition of the BPG and LGMFR.</w:t>
      </w:r>
    </w:p>
    <w:p w14:paraId="793FD424" w14:textId="6B44838F" w:rsidR="003C42CC" w:rsidRDefault="003C42CC" w:rsidP="001906AE">
      <w:pPr>
        <w:pStyle w:val="BodyText"/>
        <w:rPr>
          <w:rFonts w:eastAsiaTheme="minorHAnsi"/>
        </w:rPr>
      </w:pPr>
      <w:r>
        <w:rPr>
          <w:rFonts w:eastAsiaTheme="minorHAnsi"/>
        </w:rPr>
        <w:t>The key changes to the LGMFR for 202</w:t>
      </w:r>
      <w:r w:rsidR="00FB2D9D">
        <w:rPr>
          <w:rFonts w:eastAsiaTheme="minorHAnsi"/>
        </w:rPr>
        <w:t>1</w:t>
      </w:r>
      <w:r>
        <w:rPr>
          <w:rFonts w:eastAsiaTheme="minorHAnsi"/>
        </w:rPr>
        <w:t>-2</w:t>
      </w:r>
      <w:r w:rsidR="00FB2D9D">
        <w:rPr>
          <w:rFonts w:eastAsiaTheme="minorHAnsi"/>
        </w:rPr>
        <w:t>2</w:t>
      </w:r>
      <w:r>
        <w:rPr>
          <w:rFonts w:eastAsiaTheme="minorHAnsi"/>
        </w:rPr>
        <w:t xml:space="preserve"> include</w:t>
      </w:r>
      <w:r w:rsidR="00E816C3">
        <w:rPr>
          <w:rFonts w:eastAsiaTheme="minorHAnsi"/>
        </w:rPr>
        <w:t>:</w:t>
      </w:r>
    </w:p>
    <w:p w14:paraId="37C9332C" w14:textId="7649B3DD" w:rsidR="00E7600B" w:rsidRDefault="00AC48DF" w:rsidP="00E816C3">
      <w:pPr>
        <w:pStyle w:val="BodyText"/>
        <w:numPr>
          <w:ilvl w:val="0"/>
          <w:numId w:val="31"/>
        </w:numPr>
        <w:rPr>
          <w:rFonts w:eastAsiaTheme="minorHAnsi"/>
        </w:rPr>
      </w:pPr>
      <w:r>
        <w:rPr>
          <w:rFonts w:eastAsiaTheme="minorHAnsi"/>
        </w:rPr>
        <w:t>R</w:t>
      </w:r>
      <w:r w:rsidR="00FB2D9D">
        <w:rPr>
          <w:rFonts w:eastAsiaTheme="minorHAnsi"/>
        </w:rPr>
        <w:t xml:space="preserve">eferences </w:t>
      </w:r>
      <w:r>
        <w:rPr>
          <w:rFonts w:eastAsiaTheme="minorHAnsi"/>
        </w:rPr>
        <w:t xml:space="preserve">in the LGMFR </w:t>
      </w:r>
      <w:r w:rsidR="005945FD">
        <w:rPr>
          <w:rFonts w:eastAsiaTheme="minorHAnsi"/>
        </w:rPr>
        <w:t>(</w:t>
      </w:r>
      <w:r>
        <w:rPr>
          <w:rFonts w:eastAsiaTheme="minorHAnsi"/>
        </w:rPr>
        <w:t>and BPG</w:t>
      </w:r>
      <w:r w:rsidR="005945FD">
        <w:rPr>
          <w:rFonts w:eastAsiaTheme="minorHAnsi"/>
        </w:rPr>
        <w:t>)</w:t>
      </w:r>
      <w:r>
        <w:rPr>
          <w:rFonts w:eastAsiaTheme="minorHAnsi"/>
        </w:rPr>
        <w:t xml:space="preserve"> have been updated to reflect the </w:t>
      </w:r>
      <w:r w:rsidRPr="00E7600B">
        <w:rPr>
          <w:rFonts w:eastAsiaTheme="minorHAnsi"/>
          <w:i/>
          <w:iCs/>
        </w:rPr>
        <w:t>Local Government Act 2020</w:t>
      </w:r>
      <w:r>
        <w:rPr>
          <w:rFonts w:eastAsiaTheme="minorHAnsi"/>
        </w:rPr>
        <w:t xml:space="preserve"> and the Local Government (Planning and Reporting) Regulations 2020</w:t>
      </w:r>
      <w:r w:rsidR="00E7600B">
        <w:rPr>
          <w:rFonts w:eastAsiaTheme="minorHAnsi"/>
        </w:rPr>
        <w:t>, including the certification of the financial statements;</w:t>
      </w:r>
    </w:p>
    <w:p w14:paraId="15DC945E" w14:textId="710F108C" w:rsidR="00E27187" w:rsidRDefault="00E27187" w:rsidP="00E816C3">
      <w:pPr>
        <w:pStyle w:val="BodyText"/>
        <w:numPr>
          <w:ilvl w:val="0"/>
          <w:numId w:val="31"/>
        </w:numPr>
        <w:rPr>
          <w:rFonts w:eastAsiaTheme="minorHAnsi"/>
        </w:rPr>
      </w:pPr>
      <w:r>
        <w:rPr>
          <w:rFonts w:eastAsiaTheme="minorHAnsi"/>
        </w:rPr>
        <w:t>A sub-total</w:t>
      </w:r>
      <w:r w:rsidR="001E0BF6">
        <w:rPr>
          <w:rFonts w:eastAsiaTheme="minorHAnsi"/>
        </w:rPr>
        <w:t xml:space="preserve"> has been added to the Comprehensive Income Statement for Total other comprehensive income;</w:t>
      </w:r>
    </w:p>
    <w:p w14:paraId="6D7BC40E" w14:textId="4DF6F332" w:rsidR="00F90AF3" w:rsidRDefault="00332B3B" w:rsidP="00E816C3">
      <w:pPr>
        <w:pStyle w:val="BodyText"/>
        <w:numPr>
          <w:ilvl w:val="0"/>
          <w:numId w:val="31"/>
        </w:numPr>
        <w:rPr>
          <w:rFonts w:eastAsiaTheme="minorHAnsi"/>
        </w:rPr>
      </w:pPr>
      <w:r>
        <w:rPr>
          <w:rFonts w:eastAsiaTheme="minorHAnsi"/>
        </w:rPr>
        <w:t>A new line item</w:t>
      </w:r>
      <w:r w:rsidR="006510F1">
        <w:rPr>
          <w:rFonts w:eastAsiaTheme="minorHAnsi"/>
        </w:rPr>
        <w:t xml:space="preserve"> has been added to the Balance Sheet for unearned income / revenue;</w:t>
      </w:r>
    </w:p>
    <w:p w14:paraId="3BB1F0DD" w14:textId="43E45375" w:rsidR="00E00E20" w:rsidRDefault="00E833F9" w:rsidP="00E816C3">
      <w:pPr>
        <w:pStyle w:val="BodyText"/>
        <w:numPr>
          <w:ilvl w:val="0"/>
          <w:numId w:val="31"/>
        </w:numPr>
        <w:rPr>
          <w:rFonts w:eastAsiaTheme="minorHAnsi"/>
        </w:rPr>
      </w:pPr>
      <w:r>
        <w:rPr>
          <w:rFonts w:eastAsiaTheme="minorHAnsi"/>
        </w:rPr>
        <w:t xml:space="preserve">Note disclosures have been updated to include </w:t>
      </w:r>
      <w:r w:rsidR="00E00E20">
        <w:rPr>
          <w:rFonts w:eastAsiaTheme="minorHAnsi"/>
        </w:rPr>
        <w:t>potential borrowings from the Treasury Corporation of Victoria (TCV);</w:t>
      </w:r>
    </w:p>
    <w:p w14:paraId="755BA4E7" w14:textId="7FC48F91" w:rsidR="009C1498" w:rsidRDefault="00974069" w:rsidP="00E816C3">
      <w:pPr>
        <w:pStyle w:val="BodyText"/>
        <w:numPr>
          <w:ilvl w:val="0"/>
          <w:numId w:val="31"/>
        </w:numPr>
        <w:rPr>
          <w:rFonts w:eastAsiaTheme="minorHAnsi"/>
        </w:rPr>
      </w:pPr>
      <w:r w:rsidRPr="00974069">
        <w:rPr>
          <w:rFonts w:eastAsiaTheme="minorHAnsi"/>
        </w:rPr>
        <w:t xml:space="preserve">Text disclosures in relation to </w:t>
      </w:r>
      <w:r w:rsidR="004D6DAC">
        <w:rPr>
          <w:rFonts w:eastAsiaTheme="minorHAnsi"/>
        </w:rPr>
        <w:t xml:space="preserve">the </w:t>
      </w:r>
      <w:r w:rsidRPr="00974069">
        <w:rPr>
          <w:rFonts w:eastAsiaTheme="minorHAnsi"/>
        </w:rPr>
        <w:t xml:space="preserve">potential contingent liability for former MAV WorkCare members </w:t>
      </w:r>
      <w:r w:rsidR="004D6DAC">
        <w:rPr>
          <w:rFonts w:eastAsiaTheme="minorHAnsi"/>
        </w:rPr>
        <w:t>ha</w:t>
      </w:r>
      <w:r w:rsidR="00C21232">
        <w:rPr>
          <w:rFonts w:eastAsiaTheme="minorHAnsi"/>
        </w:rPr>
        <w:t>ve</w:t>
      </w:r>
      <w:r w:rsidR="004D6DAC">
        <w:rPr>
          <w:rFonts w:eastAsiaTheme="minorHAnsi"/>
        </w:rPr>
        <w:t xml:space="preserve"> been </w:t>
      </w:r>
      <w:r w:rsidRPr="00974069">
        <w:rPr>
          <w:rFonts w:eastAsiaTheme="minorHAnsi"/>
        </w:rPr>
        <w:t>updated to reflect the closure of the scheme and the subsequent six-year liability period</w:t>
      </w:r>
      <w:r w:rsidR="004D6DAC">
        <w:rPr>
          <w:rFonts w:eastAsiaTheme="minorHAnsi"/>
        </w:rPr>
        <w:t xml:space="preserve">; </w:t>
      </w:r>
      <w:r w:rsidR="005945FD">
        <w:rPr>
          <w:rFonts w:eastAsiaTheme="minorHAnsi"/>
        </w:rPr>
        <w:t>and</w:t>
      </w:r>
    </w:p>
    <w:p w14:paraId="3D6657F9" w14:textId="3FDD7690" w:rsidR="006510F1" w:rsidRDefault="006D37E5" w:rsidP="00E816C3">
      <w:pPr>
        <w:pStyle w:val="BodyText"/>
        <w:numPr>
          <w:ilvl w:val="0"/>
          <w:numId w:val="31"/>
        </w:numPr>
        <w:rPr>
          <w:rFonts w:eastAsiaTheme="minorHAnsi"/>
        </w:rPr>
      </w:pPr>
      <w:r>
        <w:rPr>
          <w:rFonts w:eastAsiaTheme="minorHAnsi"/>
        </w:rPr>
        <w:t>The superannuation contribution rate has been updated to 10 per cent.</w:t>
      </w:r>
    </w:p>
    <w:p w14:paraId="296FFE4A" w14:textId="77777777" w:rsidR="00F74534" w:rsidRPr="003E2620" w:rsidRDefault="00F74534" w:rsidP="003E2620">
      <w:pPr>
        <w:pStyle w:val="BodyText"/>
        <w:rPr>
          <w:rFonts w:eastAsiaTheme="minorHAnsi"/>
        </w:rPr>
      </w:pP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LGMFR and BPG is available on the Department’s website at </w:t>
      </w:r>
      <w:hyperlink r:id="rId17" w:history="1">
        <w:r w:rsidRPr="003E2620">
          <w:rPr>
            <w:rStyle w:val="Hyperlink"/>
            <w:rFonts w:eastAsiaTheme="minorHAnsi"/>
            <w:color w:val="000000" w:themeColor="text1"/>
            <w:u w:val="none"/>
          </w:rPr>
          <w:t>www.localgovernment.vic.gov.au</w:t>
        </w:r>
      </w:hyperlink>
      <w:r w:rsidRPr="003E2620">
        <w:rPr>
          <w:rFonts w:eastAsiaTheme="minorHAnsi"/>
        </w:rPr>
        <w:t>.</w:t>
      </w:r>
    </w:p>
    <w:p w14:paraId="379F0385" w14:textId="3645E37C" w:rsidR="00F74534" w:rsidRPr="003E2620" w:rsidRDefault="00A30532" w:rsidP="003E2620">
      <w:pPr>
        <w:pStyle w:val="BodyText"/>
        <w:rPr>
          <w:rFonts w:eastAsiaTheme="minorHAnsi"/>
        </w:rPr>
      </w:pPr>
      <w:r>
        <w:rPr>
          <w:rFonts w:eastAsiaTheme="minorHAnsi"/>
        </w:rPr>
        <w:t>We</w:t>
      </w:r>
      <w:r w:rsidR="00F74534" w:rsidRPr="003E2620">
        <w:rPr>
          <w:rFonts w:eastAsiaTheme="minorHAnsi"/>
        </w:rPr>
        <w:t xml:space="preserve"> trust that you find the LGMFR and this associated BPG very practical tools to assist in the preparation of your financial statements for the 20</w:t>
      </w:r>
      <w:r w:rsidR="00305A14">
        <w:rPr>
          <w:rFonts w:eastAsiaTheme="minorHAnsi"/>
        </w:rPr>
        <w:t>2</w:t>
      </w:r>
      <w:r w:rsidR="005945FD">
        <w:rPr>
          <w:rFonts w:eastAsiaTheme="minorHAnsi"/>
        </w:rPr>
        <w:t>1</w:t>
      </w:r>
      <w:r w:rsidR="00F74534" w:rsidRPr="003E2620">
        <w:rPr>
          <w:rFonts w:eastAsiaTheme="minorHAnsi"/>
        </w:rPr>
        <w:t>-2</w:t>
      </w:r>
      <w:r w:rsidR="005945FD">
        <w:rPr>
          <w:rFonts w:eastAsiaTheme="minorHAnsi"/>
        </w:rPr>
        <w:t>2</w:t>
      </w:r>
      <w:r w:rsidR="00F74534" w:rsidRPr="003E2620">
        <w:rPr>
          <w:rFonts w:eastAsiaTheme="minorHAnsi"/>
        </w:rPr>
        <w:t xml:space="preserve"> financial year.</w:t>
      </w:r>
    </w:p>
    <w:p w14:paraId="6A56E3A6" w14:textId="77777777" w:rsidR="00F74534" w:rsidRDefault="00F74534" w:rsidP="00F74534">
      <w:pPr>
        <w:pStyle w:val="BodyText"/>
        <w:rPr>
          <w:rFonts w:eastAsiaTheme="minorHAnsi"/>
        </w:rPr>
      </w:pPr>
    </w:p>
    <w:p w14:paraId="22684B72" w14:textId="77777777" w:rsidR="00F74534" w:rsidRPr="00A63A14" w:rsidRDefault="00F74534" w:rsidP="00F74534">
      <w:pPr>
        <w:pStyle w:val="BodyText"/>
        <w:rPr>
          <w:rFonts w:eastAsiaTheme="minorHAnsi"/>
        </w:rPr>
      </w:pPr>
    </w:p>
    <w:p w14:paraId="2BBC107F" w14:textId="77777777" w:rsidR="00F74534" w:rsidRPr="003E2620" w:rsidRDefault="00F74534" w:rsidP="003E2620">
      <w:pPr>
        <w:pStyle w:val="BodyText"/>
      </w:pPr>
      <w:r w:rsidRPr="003E2620">
        <w:t>Local Government Victoria</w:t>
      </w:r>
    </w:p>
    <w:p w14:paraId="3F9DBF5F" w14:textId="4B760B14" w:rsidR="004371F6" w:rsidRDefault="0030048E" w:rsidP="0022061D">
      <w:pPr>
        <w:pStyle w:val="Heading1"/>
      </w:pPr>
      <w:bookmarkStart w:id="4" w:name="_Toc94527446"/>
      <w:bookmarkEnd w:id="3"/>
      <w:r>
        <w:lastRenderedPageBreak/>
        <w:t>Introduction</w:t>
      </w:r>
      <w:bookmarkEnd w:id="4"/>
    </w:p>
    <w:p w14:paraId="0F306296" w14:textId="1D630279" w:rsidR="009F7FCA" w:rsidRPr="003E2620" w:rsidRDefault="009F7FCA" w:rsidP="0001325B">
      <w:pPr>
        <w:pStyle w:val="BodyText"/>
      </w:pPr>
      <w:r w:rsidRPr="003E2620">
        <w:t>Local government in Victoria manages approximately $1</w:t>
      </w:r>
      <w:r w:rsidR="006367E9">
        <w:t>14.</w:t>
      </w:r>
      <w:r w:rsidR="00FD732F">
        <w:t>07</w:t>
      </w:r>
      <w:r w:rsidRPr="003E2620">
        <w:t xml:space="preserve"> billion of community assets and infrastructure and spends around $9</w:t>
      </w:r>
      <w:r w:rsidR="00C67680">
        <w:t>.8</w:t>
      </w:r>
      <w:r w:rsidRPr="003E2620">
        <w:t xml:space="preserve"> billion on the provision of services annually.</w:t>
      </w:r>
      <w:r w:rsidR="00B435CC">
        <w:rPr>
          <w:rStyle w:val="FootnoteReference"/>
        </w:rPr>
        <w:footnoteReference w:id="2"/>
      </w:r>
      <w:r w:rsidRPr="003E2620">
        <w:t xml:space="preserve"> Local government, in partnership with other levels of government, is responsible for aspects of everyday life that people care about deeply – from vibrant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21C37ADA" w14:textId="0B64ADBA" w:rsidR="004371F6" w:rsidRPr="00572E44" w:rsidRDefault="008678F3" w:rsidP="00572E44">
      <w:pPr>
        <w:pStyle w:val="Heading2"/>
      </w:pPr>
      <w:bookmarkStart w:id="5" w:name="_Toc94527447"/>
      <w:r w:rsidRPr="00572E44">
        <w:t xml:space="preserve">Local Government Act </w:t>
      </w:r>
      <w:r w:rsidR="00126F5A">
        <w:t>2020</w:t>
      </w:r>
      <w:bookmarkEnd w:id="5"/>
    </w:p>
    <w:p w14:paraId="04CB3376" w14:textId="41044F23" w:rsidR="000733CF" w:rsidRPr="00A44283" w:rsidRDefault="000733CF" w:rsidP="00B23EEE">
      <w:pPr>
        <w:pStyle w:val="Heading3"/>
        <w:rPr>
          <w:rFonts w:eastAsia="Cambria"/>
        </w:rPr>
      </w:pPr>
      <w:bookmarkStart w:id="6" w:name="_Toc315765096"/>
      <w:r w:rsidRPr="00A44283">
        <w:rPr>
          <w:rFonts w:eastAsia="Cambria"/>
        </w:rPr>
        <w:t>Objective</w:t>
      </w:r>
      <w:r w:rsidR="00702834" w:rsidRPr="00A44283">
        <w:rPr>
          <w:rFonts w:eastAsia="Cambria"/>
        </w:rPr>
        <w:t>s</w:t>
      </w:r>
      <w:r w:rsidRPr="00A44283">
        <w:rPr>
          <w:rFonts w:eastAsia="Cambria"/>
        </w:rPr>
        <w:t xml:space="preserve"> and purpose</w:t>
      </w:r>
    </w:p>
    <w:p w14:paraId="6D4D8B4B" w14:textId="0A1E8CD8" w:rsidR="00D51CFB" w:rsidRPr="00A44283" w:rsidRDefault="00560596" w:rsidP="003E2620">
      <w:pPr>
        <w:pStyle w:val="BodyText"/>
      </w:pPr>
      <w:r w:rsidRPr="00A44283">
        <w:t xml:space="preserve">The </w:t>
      </w:r>
      <w:r w:rsidRPr="00A44283">
        <w:rPr>
          <w:i/>
          <w:iCs/>
        </w:rPr>
        <w:t>Local Government Act 2020</w:t>
      </w:r>
      <w:r w:rsidRPr="00A44283">
        <w:t xml:space="preserve"> (the Act) received Royal Asse</w:t>
      </w:r>
      <w:r w:rsidR="00090A97">
        <w:t>n</w:t>
      </w:r>
      <w:r w:rsidRPr="00A44283">
        <w:t>t on 24 March 2020 with proclamation occur</w:t>
      </w:r>
      <w:r w:rsidR="008C7E05">
        <w:t>ring</w:t>
      </w:r>
      <w:r w:rsidRPr="00A44283">
        <w:t xml:space="preserve"> in stages. </w:t>
      </w:r>
      <w:r w:rsidR="00B461CF" w:rsidRPr="00A44283">
        <w:t xml:space="preserve">The </w:t>
      </w:r>
      <w:r w:rsidR="00D036D3" w:rsidRPr="00A44283">
        <w:t xml:space="preserve">Act </w:t>
      </w:r>
      <w:r w:rsidR="0093645A" w:rsidRPr="00A44283">
        <w:t>is a principles-based Act, removing unnecessary regulatory and legislative prescription.</w:t>
      </w:r>
      <w:r w:rsidR="00B461CF" w:rsidRPr="00A44283">
        <w:t xml:space="preserve"> </w:t>
      </w:r>
    </w:p>
    <w:p w14:paraId="23216CE3" w14:textId="76C48C76" w:rsidR="00D42076" w:rsidRPr="00A44283" w:rsidRDefault="00E701D8" w:rsidP="003E2620">
      <w:pPr>
        <w:pStyle w:val="BodyText"/>
      </w:pPr>
      <w:r w:rsidRPr="00A44283">
        <w:t xml:space="preserve">The </w:t>
      </w:r>
      <w:r w:rsidR="002D2394" w:rsidRPr="00A44283">
        <w:t xml:space="preserve">objectives of the </w:t>
      </w:r>
      <w:r w:rsidRPr="00A44283">
        <w:t xml:space="preserve">Act </w:t>
      </w:r>
      <w:r w:rsidR="002D2394" w:rsidRPr="00A44283">
        <w:t xml:space="preserve">are </w:t>
      </w:r>
      <w:r w:rsidR="00D42076" w:rsidRPr="00A44283">
        <w:t>as follows:</w:t>
      </w:r>
    </w:p>
    <w:p w14:paraId="74F7D2FE" w14:textId="28874EA6" w:rsidR="00D42076" w:rsidRPr="00A44283" w:rsidRDefault="00D42076" w:rsidP="003E2620">
      <w:pPr>
        <w:pStyle w:val="BodyText"/>
        <w:rPr>
          <w:i/>
          <w:iCs/>
        </w:rPr>
      </w:pPr>
      <w:r w:rsidRPr="00A44283">
        <w:rPr>
          <w:i/>
          <w:iCs/>
        </w:rPr>
        <w:t xml:space="preserve">The objectives of this Act are </w:t>
      </w:r>
      <w:r w:rsidR="0089310B" w:rsidRPr="00A44283">
        <w:rPr>
          <w:i/>
          <w:iCs/>
        </w:rPr>
        <w:t xml:space="preserve">to ensure that – </w:t>
      </w:r>
    </w:p>
    <w:p w14:paraId="40ED614B" w14:textId="2E84F9B3" w:rsidR="00876521" w:rsidRPr="00A44283" w:rsidRDefault="0089310B" w:rsidP="0089310B">
      <w:pPr>
        <w:pStyle w:val="BodyText"/>
        <w:numPr>
          <w:ilvl w:val="0"/>
          <w:numId w:val="19"/>
        </w:numPr>
        <w:rPr>
          <w:i/>
          <w:iCs/>
        </w:rPr>
      </w:pPr>
      <w:r w:rsidRPr="00A44283">
        <w:rPr>
          <w:i/>
          <w:iCs/>
        </w:rPr>
        <w:t xml:space="preserve">local government continues to be constituted </w:t>
      </w:r>
      <w:r w:rsidR="00876521" w:rsidRPr="00A44283">
        <w:rPr>
          <w:i/>
          <w:iCs/>
        </w:rPr>
        <w:t>as a democratically elected tier of Government in Victoria; and</w:t>
      </w:r>
    </w:p>
    <w:p w14:paraId="3E6C0E63" w14:textId="2762F34B" w:rsidR="00876521" w:rsidRPr="00A44283" w:rsidRDefault="00876521" w:rsidP="0089310B">
      <w:pPr>
        <w:pStyle w:val="BodyText"/>
        <w:numPr>
          <w:ilvl w:val="0"/>
          <w:numId w:val="19"/>
        </w:numPr>
        <w:rPr>
          <w:i/>
          <w:iCs/>
        </w:rPr>
      </w:pPr>
      <w:r w:rsidRPr="00A44283">
        <w:rPr>
          <w:i/>
          <w:iCs/>
        </w:rPr>
        <w:t xml:space="preserve">Councils are constituted </w:t>
      </w:r>
      <w:r w:rsidR="002574B9" w:rsidRPr="00A44283">
        <w:rPr>
          <w:i/>
          <w:iCs/>
        </w:rPr>
        <w:t>as representative bodies that are accountable, transparent, collaborative, efficient and engaged with their communities</w:t>
      </w:r>
      <w:r w:rsidR="00B13281" w:rsidRPr="00A44283">
        <w:rPr>
          <w:i/>
          <w:iCs/>
        </w:rPr>
        <w:t>; and</w:t>
      </w:r>
    </w:p>
    <w:p w14:paraId="1A1C5565" w14:textId="71A5D159" w:rsidR="00B13281" w:rsidRPr="00A44283" w:rsidRDefault="00B13281" w:rsidP="0089310B">
      <w:pPr>
        <w:pStyle w:val="BodyText"/>
        <w:numPr>
          <w:ilvl w:val="0"/>
          <w:numId w:val="19"/>
        </w:numPr>
        <w:rPr>
          <w:i/>
          <w:iCs/>
        </w:rPr>
      </w:pPr>
      <w:r w:rsidRPr="00A44283">
        <w:rPr>
          <w:i/>
          <w:iCs/>
        </w:rPr>
        <w:t>Councils have the functions and powers necessary to enable Councils to perform their role.</w:t>
      </w:r>
      <w:r w:rsidR="00CC79EB" w:rsidRPr="00A44283">
        <w:rPr>
          <w:rStyle w:val="FootnoteReference"/>
          <w:i/>
          <w:iCs/>
        </w:rPr>
        <w:footnoteReference w:id="3"/>
      </w:r>
    </w:p>
    <w:p w14:paraId="3C43169E" w14:textId="4D638DA1" w:rsidR="00B979D7" w:rsidRPr="00A44283" w:rsidRDefault="001C361F" w:rsidP="006512DD">
      <w:pPr>
        <w:pStyle w:val="BodyText"/>
      </w:pPr>
      <w:r w:rsidRPr="00A44283">
        <w:t xml:space="preserve">The </w:t>
      </w:r>
      <w:r w:rsidR="00BA620C" w:rsidRPr="00A44283">
        <w:t xml:space="preserve">purpose of the </w:t>
      </w:r>
      <w:r w:rsidRPr="00A44283">
        <w:t xml:space="preserve">Act </w:t>
      </w:r>
      <w:r w:rsidR="00BA620C" w:rsidRPr="00A44283">
        <w:t>is</w:t>
      </w:r>
      <w:r w:rsidR="00B979D7" w:rsidRPr="00A44283">
        <w:t xml:space="preserve"> as follows:</w:t>
      </w:r>
    </w:p>
    <w:p w14:paraId="5B046A03" w14:textId="1895046B" w:rsidR="0089310B" w:rsidRPr="00A44283" w:rsidRDefault="00C33485" w:rsidP="006512DD">
      <w:pPr>
        <w:pStyle w:val="BodyText"/>
        <w:rPr>
          <w:i/>
          <w:iCs/>
        </w:rPr>
      </w:pPr>
      <w:r w:rsidRPr="00A44283">
        <w:rPr>
          <w:i/>
          <w:iCs/>
        </w:rPr>
        <w:t xml:space="preserve">The purpose of this Act is to give effect to section 74A(1) of the </w:t>
      </w:r>
      <w:r w:rsidRPr="00A44283">
        <w:rPr>
          <w:b/>
          <w:bCs/>
          <w:i/>
          <w:iCs/>
        </w:rPr>
        <w:t>Constitution Act 1975</w:t>
      </w:r>
      <w:r w:rsidRPr="00A44283">
        <w:rPr>
          <w:i/>
          <w:iCs/>
        </w:rPr>
        <w:t xml:space="preserve"> which provides that local government </w:t>
      </w:r>
      <w:r w:rsidR="00EC1E81" w:rsidRPr="00A44283">
        <w:rPr>
          <w:i/>
          <w:iCs/>
        </w:rPr>
        <w:t xml:space="preserve">is a distinct and essential tier of government consisting of democratically elected Councils having the functions </w:t>
      </w:r>
      <w:r w:rsidR="009657D9" w:rsidRPr="00A44283">
        <w:rPr>
          <w:i/>
          <w:iCs/>
        </w:rPr>
        <w:t>and powers that the Parliament considers are necessary to ensure the peace, order and good government of each municipal district.</w:t>
      </w:r>
      <w:r w:rsidR="0040000B" w:rsidRPr="00A44283">
        <w:rPr>
          <w:rStyle w:val="FootnoteReference"/>
          <w:i/>
          <w:iCs/>
        </w:rPr>
        <w:footnoteReference w:id="4"/>
      </w:r>
      <w:r w:rsidR="0089310B" w:rsidRPr="00A44283">
        <w:rPr>
          <w:i/>
          <w:iCs/>
        </w:rPr>
        <w:t xml:space="preserve"> </w:t>
      </w:r>
    </w:p>
    <w:p w14:paraId="02BE0010" w14:textId="4063D453" w:rsidR="00476BAF" w:rsidRPr="00A44283" w:rsidRDefault="00476BAF" w:rsidP="00476BAF">
      <w:pPr>
        <w:pStyle w:val="Heading3"/>
        <w:rPr>
          <w:rFonts w:eastAsia="Cambria"/>
        </w:rPr>
      </w:pPr>
      <w:r w:rsidRPr="00A44283">
        <w:rPr>
          <w:rFonts w:eastAsia="Cambria"/>
        </w:rPr>
        <w:t>Role of a council</w:t>
      </w:r>
    </w:p>
    <w:p w14:paraId="6086939D" w14:textId="053BF76C" w:rsidR="00D42076" w:rsidRPr="00A44283" w:rsidRDefault="00CF2543" w:rsidP="003E2620">
      <w:pPr>
        <w:pStyle w:val="BodyText"/>
      </w:pPr>
      <w:r w:rsidRPr="00A44283">
        <w:t>The</w:t>
      </w:r>
      <w:r w:rsidR="00882F64" w:rsidRPr="00A44283">
        <w:t xml:space="preserve"> Act </w:t>
      </w:r>
      <w:r w:rsidR="00B7658A" w:rsidRPr="00A44283">
        <w:t xml:space="preserve">specifies the </w:t>
      </w:r>
      <w:r w:rsidRPr="00A44283">
        <w:t xml:space="preserve">role of a council </w:t>
      </w:r>
      <w:r w:rsidR="009669C9" w:rsidRPr="00A44283">
        <w:t>is</w:t>
      </w:r>
      <w:r w:rsidR="004B663E" w:rsidRPr="00A44283">
        <w:t>:</w:t>
      </w:r>
    </w:p>
    <w:p w14:paraId="794BBE40" w14:textId="51A86F43" w:rsidR="004B663E" w:rsidRPr="00A44283" w:rsidRDefault="004B663E" w:rsidP="003E2620">
      <w:pPr>
        <w:pStyle w:val="BodyText"/>
        <w:rPr>
          <w:i/>
          <w:iCs/>
        </w:rPr>
      </w:pPr>
      <w:r w:rsidRPr="00A44283">
        <w:rPr>
          <w:i/>
          <w:iCs/>
        </w:rPr>
        <w:t xml:space="preserve">“…to provide good governance in its municipal district for the benefit </w:t>
      </w:r>
      <w:r w:rsidR="00DF648F" w:rsidRPr="00A44283">
        <w:rPr>
          <w:i/>
          <w:iCs/>
        </w:rPr>
        <w:t>and wellbeing of the municipal community.”</w:t>
      </w:r>
      <w:r w:rsidR="00DF648F" w:rsidRPr="00A44283">
        <w:rPr>
          <w:rStyle w:val="FootnoteReference"/>
          <w:i/>
          <w:iCs/>
        </w:rPr>
        <w:footnoteReference w:id="5"/>
      </w:r>
    </w:p>
    <w:p w14:paraId="35A77D6C" w14:textId="77777777" w:rsidR="00D15E76" w:rsidRPr="00A44283" w:rsidRDefault="00CB7B8F" w:rsidP="003E2620">
      <w:pPr>
        <w:pStyle w:val="BodyText"/>
      </w:pPr>
      <w:r w:rsidRPr="00A44283">
        <w:t xml:space="preserve">The </w:t>
      </w:r>
      <w:r w:rsidR="004266C3" w:rsidRPr="00A44283">
        <w:t>provision of good governance</w:t>
      </w:r>
      <w:r w:rsidR="00B05BAA" w:rsidRPr="00A44283">
        <w:t xml:space="preserve"> includes a council performing it</w:t>
      </w:r>
      <w:r w:rsidR="00C465D3" w:rsidRPr="00A44283">
        <w:t>s role in accordance with the overarching governance principles.</w:t>
      </w:r>
      <w:r w:rsidR="00D563AA" w:rsidRPr="00A44283">
        <w:t xml:space="preserve"> The overarching governance principles </w:t>
      </w:r>
      <w:r w:rsidR="00D20039" w:rsidRPr="00A44283">
        <w:t>are</w:t>
      </w:r>
      <w:r w:rsidR="00B65AC6" w:rsidRPr="00A44283">
        <w:t xml:space="preserve"> set out in section 9(2)</w:t>
      </w:r>
      <w:r w:rsidR="00E252CE" w:rsidRPr="00A44283">
        <w:t xml:space="preserve"> of the Act</w:t>
      </w:r>
      <w:r w:rsidR="00EC71EE" w:rsidRPr="00A44283">
        <w:t>.</w:t>
      </w:r>
      <w:r w:rsidR="00A4493B" w:rsidRPr="00A44283">
        <w:t xml:space="preserve"> </w:t>
      </w:r>
      <w:r w:rsidR="00DA0A77" w:rsidRPr="00A44283">
        <w:t xml:space="preserve">The </w:t>
      </w:r>
      <w:r w:rsidR="00A447F7" w:rsidRPr="00A44283">
        <w:t xml:space="preserve">overarching governance </w:t>
      </w:r>
      <w:r w:rsidR="00DA0A77" w:rsidRPr="00A44283">
        <w:t xml:space="preserve">principles </w:t>
      </w:r>
      <w:r w:rsidR="00434C3B" w:rsidRPr="00A44283">
        <w:t>include</w:t>
      </w:r>
      <w:r w:rsidR="00A447F7" w:rsidRPr="00A44283">
        <w:t xml:space="preserve"> (amongst other </w:t>
      </w:r>
      <w:r w:rsidR="00BA5B81" w:rsidRPr="00A44283">
        <w:t>principles)</w:t>
      </w:r>
      <w:r w:rsidR="00434C3B" w:rsidRPr="00A44283">
        <w:t xml:space="preserve"> </w:t>
      </w:r>
      <w:r w:rsidR="00FB125A" w:rsidRPr="00A44283">
        <w:t>that</w:t>
      </w:r>
      <w:r w:rsidR="00D15E76" w:rsidRPr="00A44283">
        <w:t>:</w:t>
      </w:r>
      <w:r w:rsidR="00FB125A" w:rsidRPr="00A44283">
        <w:t xml:space="preserve"> </w:t>
      </w:r>
    </w:p>
    <w:p w14:paraId="002B120C" w14:textId="77777777" w:rsidR="007C3081" w:rsidRPr="00A44283" w:rsidRDefault="007C3081" w:rsidP="00D15E76">
      <w:pPr>
        <w:pStyle w:val="BodyText"/>
        <w:numPr>
          <w:ilvl w:val="0"/>
          <w:numId w:val="22"/>
        </w:numPr>
      </w:pPr>
      <w:r w:rsidRPr="00A44283">
        <w:t>C</w:t>
      </w:r>
      <w:r w:rsidR="00FB125A" w:rsidRPr="00A44283">
        <w:t xml:space="preserve">ouncil </w:t>
      </w:r>
      <w:r w:rsidR="00E06681" w:rsidRPr="00A44283">
        <w:t>decisions</w:t>
      </w:r>
      <w:r w:rsidR="0074484E" w:rsidRPr="00A44283">
        <w:t xml:space="preserve"> are</w:t>
      </w:r>
      <w:r w:rsidR="00D90B5A" w:rsidRPr="00A44283">
        <w:t xml:space="preserve"> to be made and actions taken in accordance with the relevant law</w:t>
      </w:r>
      <w:r w:rsidRPr="00A44283">
        <w:t>;</w:t>
      </w:r>
    </w:p>
    <w:p w14:paraId="7A0037BD" w14:textId="1F0A5704" w:rsidR="000628E6" w:rsidRPr="00A44283" w:rsidRDefault="000628E6" w:rsidP="00D15E76">
      <w:pPr>
        <w:pStyle w:val="BodyText"/>
        <w:numPr>
          <w:ilvl w:val="0"/>
          <w:numId w:val="22"/>
        </w:numPr>
      </w:pPr>
      <w:r w:rsidRPr="00A44283">
        <w:t>T</w:t>
      </w:r>
      <w:r w:rsidR="00864D23" w:rsidRPr="00A44283">
        <w:t xml:space="preserve">he </w:t>
      </w:r>
      <w:r w:rsidR="00FA36B1" w:rsidRPr="00A44283">
        <w:t>economic, social and environmental sustainability</w:t>
      </w:r>
      <w:r w:rsidR="00864D23" w:rsidRPr="00A44283">
        <w:t xml:space="preserve"> of the municipal district</w:t>
      </w:r>
      <w:r w:rsidR="00557D64" w:rsidRPr="00A44283">
        <w:t xml:space="preserve">, including </w:t>
      </w:r>
      <w:r w:rsidR="008A6B41" w:rsidRPr="00A44283">
        <w:t>mitigation</w:t>
      </w:r>
      <w:r w:rsidR="00AF2B09" w:rsidRPr="00A44283">
        <w:t xml:space="preserve"> and planning for climate change risks,</w:t>
      </w:r>
      <w:r w:rsidRPr="00A44283">
        <w:t xml:space="preserve"> is to be promoted;</w:t>
      </w:r>
    </w:p>
    <w:p w14:paraId="77F386F3" w14:textId="77777777" w:rsidR="00705526" w:rsidRPr="00701C90" w:rsidRDefault="00C15F6A" w:rsidP="00D15E76">
      <w:pPr>
        <w:pStyle w:val="BodyText"/>
        <w:numPr>
          <w:ilvl w:val="0"/>
          <w:numId w:val="22"/>
        </w:numPr>
      </w:pPr>
      <w:r w:rsidRPr="00701C90">
        <w:lastRenderedPageBreak/>
        <w:t>T</w:t>
      </w:r>
      <w:r w:rsidR="00A7424A" w:rsidRPr="00701C90">
        <w:t>he ongoing financial viability of the Council</w:t>
      </w:r>
      <w:r w:rsidRPr="00701C90">
        <w:t xml:space="preserve"> is to be ensured</w:t>
      </w:r>
      <w:r w:rsidR="00705526" w:rsidRPr="00701C90">
        <w:t>; and</w:t>
      </w:r>
    </w:p>
    <w:p w14:paraId="45C12C2A" w14:textId="13B55891" w:rsidR="007C3D0F" w:rsidRPr="00701C90" w:rsidRDefault="00705526" w:rsidP="00D15E76">
      <w:pPr>
        <w:pStyle w:val="BodyText"/>
        <w:numPr>
          <w:ilvl w:val="0"/>
          <w:numId w:val="22"/>
        </w:numPr>
      </w:pPr>
      <w:r w:rsidRPr="00701C90">
        <w:t xml:space="preserve">The transparency of Council decisions, actions and </w:t>
      </w:r>
      <w:r w:rsidR="00AE75F4" w:rsidRPr="00701C90">
        <w:t>information is to be ensured.</w:t>
      </w:r>
      <w:r w:rsidR="00C465D3" w:rsidRPr="00701C90">
        <w:t xml:space="preserve"> </w:t>
      </w:r>
      <w:r w:rsidR="00425206" w:rsidRPr="00701C90">
        <w:rPr>
          <w:rStyle w:val="FootnoteReference"/>
        </w:rPr>
        <w:footnoteReference w:id="6"/>
      </w:r>
    </w:p>
    <w:p w14:paraId="38C77912" w14:textId="05516726" w:rsidR="003E0D10" w:rsidRPr="00701C90" w:rsidRDefault="003E0D10" w:rsidP="003E2620">
      <w:pPr>
        <w:pStyle w:val="BodyText"/>
      </w:pPr>
      <w:r w:rsidRPr="00701C90">
        <w:t xml:space="preserve">The overarching governance principles </w:t>
      </w:r>
      <w:r w:rsidR="008F0DEB" w:rsidRPr="00701C90">
        <w:t>are</w:t>
      </w:r>
      <w:r w:rsidR="000D2169" w:rsidRPr="00701C90">
        <w:t xml:space="preserve"> supplemented by the </w:t>
      </w:r>
      <w:r w:rsidR="006E669F" w:rsidRPr="00701C90">
        <w:t>supporting principles</w:t>
      </w:r>
      <w:r w:rsidR="00CC50D6" w:rsidRPr="00701C90">
        <w:t xml:space="preserve">. Section 9(3) requires </w:t>
      </w:r>
      <w:r w:rsidR="00C15CF7" w:rsidRPr="00701C90">
        <w:t>councils to take into account</w:t>
      </w:r>
      <w:r w:rsidR="006B3A7E" w:rsidRPr="00701C90">
        <w:t xml:space="preserve"> the supporting principles in giving effect to the </w:t>
      </w:r>
      <w:r w:rsidR="00E603D4" w:rsidRPr="00701C90">
        <w:t>overarching governance principles. The supporting principles are:</w:t>
      </w:r>
    </w:p>
    <w:p w14:paraId="23C7246E" w14:textId="618D9D47" w:rsidR="00E603D4" w:rsidRPr="00701C90" w:rsidRDefault="00E603D4" w:rsidP="00E603D4">
      <w:pPr>
        <w:pStyle w:val="BodyText"/>
        <w:numPr>
          <w:ilvl w:val="0"/>
          <w:numId w:val="23"/>
        </w:numPr>
      </w:pPr>
      <w:r w:rsidRPr="00701C90">
        <w:t>The community engagement principles;</w:t>
      </w:r>
    </w:p>
    <w:p w14:paraId="2D5411BF" w14:textId="391EE004" w:rsidR="00E603D4" w:rsidRPr="00701C90" w:rsidRDefault="00E603D4" w:rsidP="00E603D4">
      <w:pPr>
        <w:pStyle w:val="BodyText"/>
        <w:numPr>
          <w:ilvl w:val="0"/>
          <w:numId w:val="23"/>
        </w:numPr>
      </w:pPr>
      <w:r w:rsidRPr="00701C90">
        <w:t>The public transparency principles</w:t>
      </w:r>
      <w:r w:rsidR="00D17459" w:rsidRPr="00701C90">
        <w:t>;</w:t>
      </w:r>
    </w:p>
    <w:p w14:paraId="3905FEB1" w14:textId="6766ED00" w:rsidR="00D17459" w:rsidRPr="00701C90" w:rsidRDefault="00D17459" w:rsidP="00E603D4">
      <w:pPr>
        <w:pStyle w:val="BodyText"/>
        <w:numPr>
          <w:ilvl w:val="0"/>
          <w:numId w:val="23"/>
        </w:numPr>
      </w:pPr>
      <w:r w:rsidRPr="00701C90">
        <w:t>The strategic planning principles;</w:t>
      </w:r>
    </w:p>
    <w:p w14:paraId="0A57CB73" w14:textId="2469D780" w:rsidR="00D17459" w:rsidRPr="00701C90" w:rsidRDefault="00C552CE" w:rsidP="00E603D4">
      <w:pPr>
        <w:pStyle w:val="BodyText"/>
        <w:numPr>
          <w:ilvl w:val="0"/>
          <w:numId w:val="23"/>
        </w:numPr>
      </w:pPr>
      <w:r w:rsidRPr="00701C90">
        <w:t>The financial management principles; and</w:t>
      </w:r>
    </w:p>
    <w:p w14:paraId="40CFCCF5" w14:textId="21FB2DBB" w:rsidR="00C552CE" w:rsidRPr="00701C90" w:rsidRDefault="00C552CE" w:rsidP="00E603D4">
      <w:pPr>
        <w:pStyle w:val="BodyText"/>
        <w:numPr>
          <w:ilvl w:val="0"/>
          <w:numId w:val="23"/>
        </w:numPr>
      </w:pPr>
      <w:r w:rsidRPr="00701C90">
        <w:t xml:space="preserve">The </w:t>
      </w:r>
      <w:r w:rsidR="00403638" w:rsidRPr="00701C90">
        <w:t>service performance principles.</w:t>
      </w:r>
      <w:r w:rsidR="00AE0C37" w:rsidRPr="00701C90">
        <w:rPr>
          <w:rStyle w:val="FootnoteReference"/>
        </w:rPr>
        <w:footnoteReference w:id="7"/>
      </w:r>
    </w:p>
    <w:p w14:paraId="34F309F8" w14:textId="77777777" w:rsidR="003E0D10" w:rsidRPr="00701C90" w:rsidRDefault="003E0D10" w:rsidP="003E2620">
      <w:pPr>
        <w:pStyle w:val="BodyText"/>
        <w:rPr>
          <w:i/>
          <w:iCs/>
        </w:rPr>
      </w:pPr>
    </w:p>
    <w:p w14:paraId="16A2BAD4" w14:textId="45855E0A" w:rsidR="00907A96" w:rsidRDefault="00907A96" w:rsidP="00907A96">
      <w:pPr>
        <w:pStyle w:val="BodyText"/>
      </w:pPr>
      <w:r w:rsidRPr="00701C90">
        <w:t xml:space="preserve">It is a statutory requirement under the Act that councils prepare and report on </w:t>
      </w:r>
      <w:r w:rsidR="008B31FD" w:rsidRPr="00701C90">
        <w:t xml:space="preserve">long, </w:t>
      </w:r>
      <w:r w:rsidRPr="00701C90">
        <w:t>medium and short-term plans to discharge their duties of accountability and transparency to their communities.</w:t>
      </w:r>
    </w:p>
    <w:p w14:paraId="287590DB" w14:textId="1F885141" w:rsidR="007E4824" w:rsidRDefault="007E4824" w:rsidP="00907A96">
      <w:pPr>
        <w:pStyle w:val="BodyText"/>
      </w:pPr>
    </w:p>
    <w:p w14:paraId="4BA1FA1D" w14:textId="2CFB6EBF" w:rsidR="00236379" w:rsidRDefault="00236379" w:rsidP="00907A96">
      <w:pPr>
        <w:pStyle w:val="BodyText"/>
      </w:pPr>
      <w:r>
        <w:br w:type="page"/>
      </w:r>
    </w:p>
    <w:p w14:paraId="44D471A0" w14:textId="77777777" w:rsidR="007E4824" w:rsidRPr="003E2620" w:rsidRDefault="007E4824" w:rsidP="00907A96">
      <w:pPr>
        <w:pStyle w:val="BodyText"/>
      </w:pPr>
    </w:p>
    <w:p w14:paraId="7741A18D" w14:textId="15D21AAC" w:rsidR="00DA0134" w:rsidRDefault="0009400D" w:rsidP="0058384E">
      <w:pPr>
        <w:pStyle w:val="Heading2"/>
      </w:pPr>
      <w:bookmarkStart w:id="7" w:name="_Toc94527448"/>
      <w:r>
        <w:t>About this guide</w:t>
      </w:r>
      <w:bookmarkEnd w:id="7"/>
    </w:p>
    <w:p w14:paraId="00BC6FC7" w14:textId="3AD63512" w:rsidR="00B6781B" w:rsidRPr="003E2620" w:rsidRDefault="00B6781B" w:rsidP="003E2620">
      <w:pPr>
        <w:pStyle w:val="BodyText"/>
      </w:pPr>
      <w:r w:rsidRPr="003E2620">
        <w:t>Councils are required to prepare an annual report in respect of each financial year</w:t>
      </w:r>
      <w:r w:rsidR="00451A1D">
        <w:rPr>
          <w:rStyle w:val="FootnoteReference"/>
        </w:rPr>
        <w:footnoteReference w:id="8"/>
      </w:r>
      <w:r w:rsidRPr="003E2620">
        <w:t xml:space="preserve"> consisting of three parts:</w:t>
      </w:r>
    </w:p>
    <w:p w14:paraId="5818E355" w14:textId="77777777" w:rsidR="00B6781B" w:rsidRPr="006141AA" w:rsidRDefault="00B6781B" w:rsidP="00B412FF">
      <w:pPr>
        <w:pStyle w:val="ListBullet2"/>
      </w:pPr>
      <w:r w:rsidRPr="006141AA">
        <w:rPr>
          <w:b/>
          <w:bCs/>
        </w:rPr>
        <w:t>Report of operations:</w:t>
      </w:r>
      <w:r w:rsidRPr="006141AA">
        <w:t xml:space="preserve"> information about the operations of the council </w:t>
      </w:r>
    </w:p>
    <w:p w14:paraId="4DD62880" w14:textId="77777777" w:rsidR="00B6781B" w:rsidRPr="006141AA" w:rsidRDefault="00B6781B" w:rsidP="00B412FF">
      <w:pPr>
        <w:pStyle w:val="ListBullet2"/>
      </w:pPr>
      <w:r w:rsidRPr="006141AA">
        <w:rPr>
          <w:b/>
          <w:bCs/>
        </w:rPr>
        <w:t>Performance statement:</w:t>
      </w:r>
      <w:r w:rsidRPr="006141AA">
        <w:t xml:space="preserve"> audited results achieved against the prescribed performance indicators and measures</w:t>
      </w:r>
    </w:p>
    <w:p w14:paraId="2BDCA851" w14:textId="77777777" w:rsidR="00B6781B" w:rsidRPr="006141AA" w:rsidRDefault="00B6781B" w:rsidP="00B412FF">
      <w:pPr>
        <w:pStyle w:val="ListBullet2"/>
      </w:pPr>
      <w:r w:rsidRPr="006141AA">
        <w:rPr>
          <w:b/>
          <w:bCs/>
        </w:rPr>
        <w:t>Financial statements:</w:t>
      </w:r>
      <w:r w:rsidRPr="006141AA">
        <w:t xml:space="preserve"> audited financial statements prepared in accordance with the Australian Accounting Standards.</w:t>
      </w:r>
    </w:p>
    <w:p w14:paraId="34FB20B0" w14:textId="77777777" w:rsidR="00EF59C6" w:rsidRPr="003E2620" w:rsidRDefault="00B6781B" w:rsidP="003E2620">
      <w:pPr>
        <w:pStyle w:val="BodyText"/>
      </w:pPr>
      <w:r w:rsidRPr="003E2620">
        <w:t xml:space="preserve">This guide has been developed to help local government in meeting statutory requirements relating to the preparation of their annual financial statements. Guidance on the preparation of the report of operations and audited performance statement can be </w:t>
      </w:r>
      <w:r w:rsidRPr="00EB1246">
        <w:t>found at the website of the Department of Jobs, Precincts and Regions (DJPR).</w:t>
      </w:r>
    </w:p>
    <w:p w14:paraId="0D38FC7B" w14:textId="77777777" w:rsidR="00EF59C6" w:rsidRPr="003E2620" w:rsidRDefault="00EF59C6" w:rsidP="003E2620">
      <w:pPr>
        <w:pStyle w:val="BodyText"/>
      </w:pPr>
      <w:r w:rsidRPr="003E2620">
        <w:t>This guide is presented in three sections.</w:t>
      </w:r>
    </w:p>
    <w:p w14:paraId="5E3ABB7F" w14:textId="5442BCFB" w:rsidR="00EF59C6" w:rsidRPr="003D0A7E" w:rsidRDefault="00482743" w:rsidP="00B412FF">
      <w:pPr>
        <w:pStyle w:val="ListBullet2"/>
      </w:pPr>
      <w:r w:rsidRPr="003D0A7E">
        <w:rPr>
          <w:b/>
          <w:bCs/>
        </w:rPr>
        <w:t>Integrated Strategic Planning and Reporting</w:t>
      </w:r>
      <w:r w:rsidR="00EF59C6" w:rsidRPr="003D0A7E">
        <w:rPr>
          <w:b/>
          <w:bCs/>
        </w:rPr>
        <w:t xml:space="preserve"> Framework</w:t>
      </w:r>
      <w:r w:rsidR="00EF59C6" w:rsidRPr="003D0A7E">
        <w:t xml:space="preserve"> provides an overview of the relationship between the key planning and reporting documents. </w:t>
      </w:r>
    </w:p>
    <w:p w14:paraId="0E37D58D" w14:textId="77777777" w:rsidR="00EF59C6" w:rsidRPr="006141AA" w:rsidRDefault="00EF59C6" w:rsidP="00B412FF">
      <w:pPr>
        <w:pStyle w:val="ListBullet2"/>
      </w:pPr>
      <w:r w:rsidRPr="006141AA">
        <w:rPr>
          <w:b/>
          <w:bCs/>
        </w:rPr>
        <w:t>Local Government Model Financial Report (overview)</w:t>
      </w:r>
      <w:r w:rsidRPr="006141AA">
        <w:t xml:space="preserve"> provides an overview of statutory and other requirements in relation to annual financial statements.</w:t>
      </w:r>
    </w:p>
    <w:p w14:paraId="0F08309B" w14:textId="376D78E0" w:rsidR="00EF59C6" w:rsidRPr="006141AA" w:rsidRDefault="00EF59C6" w:rsidP="00B412FF">
      <w:pPr>
        <w:pStyle w:val="ListBullet2"/>
      </w:pPr>
      <w:r w:rsidRPr="006141AA">
        <w:rPr>
          <w:b/>
          <w:bCs/>
        </w:rPr>
        <w:t>Local Government Model Financial Report (guidance)</w:t>
      </w:r>
      <w:r w:rsidRPr="006141AA">
        <w:t xml:space="preserve"> provides </w:t>
      </w:r>
      <w:r w:rsidR="00046B81">
        <w:t xml:space="preserve">context </w:t>
      </w:r>
      <w:r w:rsidR="004662E2">
        <w:t>for</w:t>
      </w:r>
      <w:r w:rsidR="00046B81">
        <w:t xml:space="preserve"> the </w:t>
      </w:r>
      <w:r w:rsidR="004662E2">
        <w:t xml:space="preserve">detailed </w:t>
      </w:r>
      <w:r w:rsidRPr="006141AA">
        <w:t xml:space="preserve">guidance </w:t>
      </w:r>
      <w:r w:rsidR="004662E2">
        <w:t xml:space="preserve">included in the LGMFR </w:t>
      </w:r>
      <w:r w:rsidRPr="006141AA">
        <w:t>on the preparation and format of the annual financial statements.</w:t>
      </w:r>
    </w:p>
    <w:p w14:paraId="483D6E7E" w14:textId="48C19AE6" w:rsidR="00EF59C6" w:rsidRDefault="00EF59C6" w:rsidP="00B412FF">
      <w:pPr>
        <w:pStyle w:val="BodyText"/>
        <w:rPr>
          <w:color w:val="auto"/>
        </w:rPr>
      </w:pPr>
      <w:r w:rsidRPr="00B412FF">
        <w:t>The guide is intended for use by local government finance professionals. Each council retains the responsibility for preparing its annual financial statements, including the format and the disclosures made. This guide, along with the LGMFR, represents the annual financial statements presentation required by LGV. The guid</w:t>
      </w:r>
      <w:r w:rsidR="00102960">
        <w:t>ance in the LGMFR</w:t>
      </w:r>
      <w:r w:rsidRPr="00B412FF">
        <w:t xml:space="preserve"> directs users to related information and further guidance, including Australian Accounting Standards (AAS). Footnotes are used to reference legislative provisions and other relevant information</w:t>
      </w:r>
      <w:r w:rsidR="00C1549C">
        <w:rPr>
          <w:color w:val="auto"/>
        </w:rPr>
        <w:t>.</w:t>
      </w:r>
    </w:p>
    <w:p w14:paraId="46603A07" w14:textId="7290B41F" w:rsidR="00236379" w:rsidRDefault="00236379" w:rsidP="00B412FF">
      <w:pPr>
        <w:pStyle w:val="BodyText"/>
        <w:rPr>
          <w:color w:val="auto"/>
        </w:rPr>
      </w:pPr>
      <w:r>
        <w:rPr>
          <w:color w:val="auto"/>
        </w:rPr>
        <w:br w:type="page"/>
      </w:r>
    </w:p>
    <w:p w14:paraId="345AED97" w14:textId="77777777" w:rsidR="00236379" w:rsidRPr="00C1549C" w:rsidRDefault="00236379" w:rsidP="00B412FF">
      <w:pPr>
        <w:pStyle w:val="BodyText"/>
        <w:rPr>
          <w:color w:val="auto"/>
        </w:rPr>
      </w:pPr>
    </w:p>
    <w:p w14:paraId="202387D3" w14:textId="77777777" w:rsidR="00572E44" w:rsidRPr="00F74B6E" w:rsidRDefault="00572E44" w:rsidP="00F74B6E">
      <w:pPr>
        <w:pStyle w:val="Heading3"/>
        <w:rPr>
          <w:rFonts w:eastAsia="Cambria"/>
        </w:rPr>
      </w:pPr>
      <w:bookmarkStart w:id="8" w:name="_Toc27478388"/>
      <w:bookmarkStart w:id="9" w:name="_Toc31200509"/>
      <w:bookmarkStart w:id="10" w:name="_Toc31630492"/>
      <w:bookmarkStart w:id="11" w:name="_Toc31630546"/>
      <w:bookmarkStart w:id="12" w:name="_Toc31631063"/>
      <w:bookmarkStart w:id="13" w:name="_Toc31631128"/>
      <w:bookmarkStart w:id="14" w:name="_Toc31631511"/>
      <w:r w:rsidRPr="00F74B6E">
        <w:rPr>
          <w:rFonts w:eastAsia="Cambria"/>
        </w:rPr>
        <w:t>Preparation of this better practice guide</w:t>
      </w:r>
      <w:bookmarkEnd w:id="8"/>
      <w:bookmarkEnd w:id="9"/>
      <w:bookmarkEnd w:id="10"/>
      <w:bookmarkEnd w:id="11"/>
      <w:bookmarkEnd w:id="12"/>
      <w:bookmarkEnd w:id="13"/>
      <w:bookmarkEnd w:id="14"/>
    </w:p>
    <w:p w14:paraId="0E1E7003" w14:textId="6714636C" w:rsidR="00572E44" w:rsidRPr="003E2620" w:rsidRDefault="00572E44" w:rsidP="003E2620">
      <w:pPr>
        <w:pStyle w:val="BodyText"/>
      </w:pPr>
      <w:r w:rsidRPr="003E2620">
        <w:t>LGV is responsible for the development of this BPG and will update and reissue it on an annual basis. LGV convened a working group to guide the development of both the 20</w:t>
      </w:r>
      <w:r w:rsidR="00CC1715">
        <w:t>2</w:t>
      </w:r>
      <w:r w:rsidR="00820E44">
        <w:t>1</w:t>
      </w:r>
      <w:r w:rsidRPr="003E2620">
        <w:t>-2</w:t>
      </w:r>
      <w:r w:rsidR="00820E44">
        <w:t>2</w:t>
      </w:r>
      <w:r w:rsidRPr="003E2620">
        <w:t xml:space="preserve"> LGMFR and this guide. </w:t>
      </w:r>
    </w:p>
    <w:p w14:paraId="40BBEC12" w14:textId="3333D8EB" w:rsidR="00572E44" w:rsidRPr="003E2620" w:rsidRDefault="00572E44" w:rsidP="003E2620">
      <w:pPr>
        <w:pStyle w:val="BodyText"/>
      </w:pPr>
      <w:r w:rsidRPr="003E2620">
        <w:t>The working group is comprised of representatives from the accounting profession, the local government finance professionals (F</w:t>
      </w:r>
      <w:r w:rsidR="00046918">
        <w:t>in</w:t>
      </w:r>
      <w:r w:rsidRPr="003E2620">
        <w:t>Pro), CPA Australia and LGV. Technical advice and assistance in preparing the LGMFR and BPG was provided by Crowe. Representatives of VAGO also attended working group meetings in an observer capacity. LGV would like to take this opportunity to acknowledge the contribution of each of the members of the working group towards the development of the LGMFR and this guide.</w:t>
      </w:r>
    </w:p>
    <w:p w14:paraId="045C453C" w14:textId="42E53EB5" w:rsidR="00572E44" w:rsidRPr="006141AA" w:rsidRDefault="00572E44" w:rsidP="00572E44">
      <w:pPr>
        <w:pStyle w:val="TableHeadingLeft"/>
        <w:ind w:left="0"/>
        <w:rPr>
          <w:szCs w:val="18"/>
        </w:rPr>
      </w:pPr>
      <w:r w:rsidRPr="006141AA">
        <w:rPr>
          <w:color w:val="000000" w:themeColor="text1"/>
          <w:szCs w:val="18"/>
        </w:rPr>
        <w:t>Model Accounts 20</w:t>
      </w:r>
      <w:r w:rsidR="00216C9D">
        <w:rPr>
          <w:color w:val="000000" w:themeColor="text1"/>
          <w:szCs w:val="18"/>
        </w:rPr>
        <w:t>2</w:t>
      </w:r>
      <w:r w:rsidR="003F155F">
        <w:rPr>
          <w:color w:val="000000" w:themeColor="text1"/>
          <w:szCs w:val="18"/>
        </w:rPr>
        <w:t>1</w:t>
      </w:r>
      <w:r w:rsidRPr="006141AA">
        <w:rPr>
          <w:color w:val="000000" w:themeColor="text1"/>
          <w:szCs w:val="18"/>
        </w:rPr>
        <w:t>-2</w:t>
      </w:r>
      <w:r w:rsidR="003F155F">
        <w:rPr>
          <w:color w:val="000000" w:themeColor="text1"/>
          <w:szCs w:val="18"/>
        </w:rPr>
        <w:t>2</w:t>
      </w:r>
      <w:r w:rsidRPr="006141AA">
        <w:rPr>
          <w:color w:val="000000" w:themeColor="text1"/>
          <w:szCs w:val="18"/>
        </w:rPr>
        <w:t xml:space="preserve"> working group membership </w:t>
      </w:r>
    </w:p>
    <w:p w14:paraId="3ABF986E" w14:textId="77777777" w:rsidR="00572E44" w:rsidRPr="00A02CA6" w:rsidRDefault="00572E44" w:rsidP="00572E44">
      <w:pPr>
        <w:pStyle w:val="BodyText"/>
        <w:spacing w:before="0" w:after="0" w:line="240" w:lineRule="auto"/>
        <w:rPr>
          <w:sz w:val="12"/>
        </w:rPr>
      </w:pPr>
    </w:p>
    <w:tbl>
      <w:tblPr>
        <w:tblStyle w:val="TableGrid"/>
        <w:tblW w:w="9639" w:type="dxa"/>
        <w:tblLayout w:type="fixed"/>
        <w:tblLook w:val="04A0" w:firstRow="1" w:lastRow="0" w:firstColumn="1" w:lastColumn="0" w:noHBand="0" w:noVBand="1"/>
      </w:tblPr>
      <w:tblGrid>
        <w:gridCol w:w="5387"/>
        <w:gridCol w:w="4252"/>
      </w:tblGrid>
      <w:tr w:rsidR="00550B3F" w:rsidRPr="00A02CA6" w14:paraId="1EFB781F" w14:textId="77777777" w:rsidTr="00550B3F">
        <w:tc>
          <w:tcPr>
            <w:tcW w:w="9639" w:type="dxa"/>
            <w:gridSpan w:val="2"/>
            <w:shd w:val="clear" w:color="auto" w:fill="53565A" w:themeFill="accent2"/>
          </w:tcPr>
          <w:p w14:paraId="7F3E9588" w14:textId="77777777" w:rsidR="00550B3F" w:rsidRPr="00A02CA6" w:rsidRDefault="00550B3F" w:rsidP="00D12FF7">
            <w:pPr>
              <w:pStyle w:val="BodyText"/>
              <w:spacing w:before="41" w:after="82" w:line="240" w:lineRule="auto"/>
              <w:rPr>
                <w:b/>
                <w:color w:val="FFFFFF" w:themeColor="background1"/>
              </w:rPr>
            </w:pPr>
            <w:bookmarkStart w:id="15" w:name="_Hlk55900474"/>
            <w:r w:rsidRPr="00A02CA6">
              <w:rPr>
                <w:b/>
                <w:color w:val="FFFFFF" w:themeColor="background1"/>
              </w:rPr>
              <w:t>Accounting profession</w:t>
            </w:r>
          </w:p>
        </w:tc>
      </w:tr>
      <w:tr w:rsidR="00550B3F" w:rsidRPr="00A02CA6" w14:paraId="063F3627" w14:textId="77777777" w:rsidTr="00550B3F">
        <w:tc>
          <w:tcPr>
            <w:tcW w:w="5387" w:type="dxa"/>
            <w:shd w:val="clear" w:color="auto" w:fill="auto"/>
          </w:tcPr>
          <w:p w14:paraId="303BFE87" w14:textId="77777777" w:rsidR="00550B3F" w:rsidRPr="00A02CA6" w:rsidRDefault="00550B3F" w:rsidP="00D12FF7">
            <w:pPr>
              <w:pStyle w:val="BodyText"/>
              <w:spacing w:before="41" w:after="82" w:line="240" w:lineRule="auto"/>
            </w:pPr>
            <w:r w:rsidRPr="00A02CA6">
              <w:t>Martin Thompson, CPA</w:t>
            </w:r>
          </w:p>
        </w:tc>
        <w:tc>
          <w:tcPr>
            <w:tcW w:w="4252" w:type="dxa"/>
            <w:shd w:val="clear" w:color="auto" w:fill="auto"/>
          </w:tcPr>
          <w:p w14:paraId="08A03C8A" w14:textId="77777777" w:rsidR="00550B3F" w:rsidRPr="00A02CA6" w:rsidRDefault="00550B3F" w:rsidP="00D12FF7">
            <w:pPr>
              <w:pStyle w:val="BodyText"/>
              <w:spacing w:before="41" w:after="82" w:line="240" w:lineRule="auto"/>
            </w:pPr>
            <w:r w:rsidRPr="00A02CA6">
              <w:t>Crowe</w:t>
            </w:r>
          </w:p>
        </w:tc>
      </w:tr>
      <w:tr w:rsidR="00550B3F" w:rsidRPr="00A02CA6" w14:paraId="309AB6C3" w14:textId="77777777" w:rsidTr="00550B3F">
        <w:tc>
          <w:tcPr>
            <w:tcW w:w="5387" w:type="dxa"/>
            <w:shd w:val="clear" w:color="auto" w:fill="auto"/>
          </w:tcPr>
          <w:p w14:paraId="420D3C9A" w14:textId="5D52FDD1" w:rsidR="00550B3F" w:rsidRPr="00A02CA6" w:rsidRDefault="00550B3F" w:rsidP="00D12FF7">
            <w:pPr>
              <w:pStyle w:val="BodyText"/>
              <w:spacing w:before="41" w:after="82" w:line="240" w:lineRule="auto"/>
            </w:pPr>
            <w:r w:rsidRPr="00A02CA6">
              <w:t>Ram Subramanian, C</w:t>
            </w:r>
            <w:r w:rsidR="00A5077E">
              <w:t>P</w:t>
            </w:r>
            <w:r w:rsidRPr="00A02CA6">
              <w:t>A</w:t>
            </w:r>
          </w:p>
        </w:tc>
        <w:tc>
          <w:tcPr>
            <w:tcW w:w="4252" w:type="dxa"/>
            <w:shd w:val="clear" w:color="auto" w:fill="auto"/>
          </w:tcPr>
          <w:p w14:paraId="10DAAFE6" w14:textId="77777777" w:rsidR="00550B3F" w:rsidRPr="00A02CA6" w:rsidRDefault="00550B3F" w:rsidP="00D12FF7">
            <w:pPr>
              <w:pStyle w:val="BodyText"/>
              <w:spacing w:before="41" w:after="82" w:line="240" w:lineRule="auto"/>
            </w:pPr>
            <w:r w:rsidRPr="00A02CA6">
              <w:t>CPA Australia</w:t>
            </w:r>
          </w:p>
        </w:tc>
      </w:tr>
      <w:tr w:rsidR="00550B3F" w:rsidRPr="00A02CA6" w14:paraId="42DC68A3" w14:textId="77777777" w:rsidTr="00550B3F">
        <w:tc>
          <w:tcPr>
            <w:tcW w:w="9639" w:type="dxa"/>
            <w:gridSpan w:val="2"/>
            <w:shd w:val="clear" w:color="auto" w:fill="53565A" w:themeFill="accent2"/>
          </w:tcPr>
          <w:p w14:paraId="132D1071" w14:textId="74D55E8E" w:rsidR="00550B3F" w:rsidRPr="00A02CA6" w:rsidRDefault="005C3CE6" w:rsidP="00D12FF7">
            <w:pPr>
              <w:pStyle w:val="BodyText"/>
              <w:spacing w:before="41" w:after="82" w:line="240" w:lineRule="auto"/>
              <w:rPr>
                <w:color w:val="FFFFFF" w:themeColor="background1"/>
              </w:rPr>
            </w:pPr>
            <w:r w:rsidRPr="00A02CA6">
              <w:rPr>
                <w:b/>
                <w:color w:val="FFFFFF" w:themeColor="background1"/>
              </w:rPr>
              <w:t>Local government finance professionals (F</w:t>
            </w:r>
            <w:r w:rsidR="00964DD8">
              <w:rPr>
                <w:b/>
                <w:color w:val="FFFFFF" w:themeColor="background1"/>
              </w:rPr>
              <w:t>in</w:t>
            </w:r>
            <w:r w:rsidRPr="00A02CA6">
              <w:rPr>
                <w:b/>
                <w:color w:val="FFFFFF" w:themeColor="background1"/>
              </w:rPr>
              <w:t>Pro)</w:t>
            </w:r>
          </w:p>
        </w:tc>
      </w:tr>
      <w:tr w:rsidR="00550B3F" w:rsidRPr="00A02CA6" w14:paraId="63E09578" w14:textId="77777777" w:rsidTr="00550B3F">
        <w:tc>
          <w:tcPr>
            <w:tcW w:w="5387" w:type="dxa"/>
            <w:shd w:val="clear" w:color="auto" w:fill="auto"/>
          </w:tcPr>
          <w:p w14:paraId="1CA707CA" w14:textId="77AC8393" w:rsidR="00550B3F" w:rsidRPr="00A02CA6" w:rsidRDefault="00170B84" w:rsidP="00D12FF7">
            <w:pPr>
              <w:pStyle w:val="BodyText"/>
              <w:spacing w:before="41" w:after="82" w:line="240" w:lineRule="auto"/>
            </w:pPr>
            <w:r>
              <w:t>Danny Wain</w:t>
            </w:r>
            <w:r w:rsidR="00550B3F" w:rsidRPr="00A02CA6">
              <w:t xml:space="preserve">, </w:t>
            </w:r>
            <w:r w:rsidR="00550B3F" w:rsidRPr="00CB6F6B">
              <w:rPr>
                <w:color w:val="auto"/>
              </w:rPr>
              <w:t>C</w:t>
            </w:r>
            <w:r w:rsidR="00CB6F6B" w:rsidRPr="00CB6F6B">
              <w:rPr>
                <w:color w:val="auto"/>
              </w:rPr>
              <w:t>P</w:t>
            </w:r>
            <w:r w:rsidR="00550B3F" w:rsidRPr="00CB6F6B">
              <w:rPr>
                <w:color w:val="auto"/>
              </w:rPr>
              <w:t>A</w:t>
            </w:r>
          </w:p>
        </w:tc>
        <w:tc>
          <w:tcPr>
            <w:tcW w:w="4252" w:type="dxa"/>
            <w:shd w:val="clear" w:color="auto" w:fill="auto"/>
          </w:tcPr>
          <w:p w14:paraId="4EE28A4D" w14:textId="73B2E915" w:rsidR="00550B3F" w:rsidRPr="00A02CA6" w:rsidRDefault="00170B84" w:rsidP="00D12FF7">
            <w:pPr>
              <w:pStyle w:val="BodyText"/>
              <w:spacing w:before="41" w:after="82" w:line="240" w:lineRule="auto"/>
            </w:pPr>
            <w:r>
              <w:t>Monash</w:t>
            </w:r>
            <w:r w:rsidR="00550B3F" w:rsidRPr="00A02CA6">
              <w:t xml:space="preserve"> City Council</w:t>
            </w:r>
          </w:p>
        </w:tc>
      </w:tr>
      <w:tr w:rsidR="00550B3F" w:rsidRPr="00A02CA6" w14:paraId="08C3439B" w14:textId="77777777" w:rsidTr="00550B3F">
        <w:tc>
          <w:tcPr>
            <w:tcW w:w="5387" w:type="dxa"/>
            <w:shd w:val="clear" w:color="auto" w:fill="auto"/>
          </w:tcPr>
          <w:p w14:paraId="0BC811B5" w14:textId="77777777" w:rsidR="00550B3F" w:rsidRDefault="00550B3F" w:rsidP="00D12FF7">
            <w:pPr>
              <w:pStyle w:val="BodyText"/>
              <w:spacing w:before="41" w:after="82" w:line="240" w:lineRule="auto"/>
            </w:pPr>
            <w:r>
              <w:t xml:space="preserve">Tony Rocca, </w:t>
            </w:r>
            <w:r w:rsidRPr="001D137F">
              <w:t>CA</w:t>
            </w:r>
          </w:p>
        </w:tc>
        <w:tc>
          <w:tcPr>
            <w:tcW w:w="4252" w:type="dxa"/>
            <w:shd w:val="clear" w:color="auto" w:fill="auto"/>
          </w:tcPr>
          <w:p w14:paraId="155C15F6" w14:textId="77777777" w:rsidR="00550B3F" w:rsidRDefault="00550B3F" w:rsidP="00D12FF7">
            <w:pPr>
              <w:pStyle w:val="BodyText"/>
              <w:spacing w:before="41" w:after="82" w:line="240" w:lineRule="auto"/>
            </w:pPr>
            <w:r>
              <w:t>Maroondah City Council</w:t>
            </w:r>
          </w:p>
        </w:tc>
      </w:tr>
      <w:tr w:rsidR="004D253B" w:rsidRPr="00A02CA6" w14:paraId="52CB58B0" w14:textId="77777777" w:rsidTr="00550B3F">
        <w:tc>
          <w:tcPr>
            <w:tcW w:w="5387" w:type="dxa"/>
            <w:shd w:val="clear" w:color="auto" w:fill="auto"/>
          </w:tcPr>
          <w:p w14:paraId="169BAF90" w14:textId="2A12096A" w:rsidR="004D253B" w:rsidRDefault="001605A7" w:rsidP="00D12FF7">
            <w:pPr>
              <w:pStyle w:val="BodyText"/>
              <w:spacing w:before="41" w:after="82" w:line="240" w:lineRule="auto"/>
            </w:pPr>
            <w:r>
              <w:t>Fiona Rae</w:t>
            </w:r>
            <w:r w:rsidR="00AB4C46">
              <w:t xml:space="preserve">, </w:t>
            </w:r>
            <w:r w:rsidRPr="00A67442">
              <w:rPr>
                <w:color w:val="auto"/>
              </w:rPr>
              <w:t>CPA</w:t>
            </w:r>
          </w:p>
        </w:tc>
        <w:tc>
          <w:tcPr>
            <w:tcW w:w="4252" w:type="dxa"/>
            <w:shd w:val="clear" w:color="auto" w:fill="auto"/>
          </w:tcPr>
          <w:p w14:paraId="6DAAF6CF" w14:textId="562D2121" w:rsidR="004D253B" w:rsidRDefault="001605A7" w:rsidP="00D12FF7">
            <w:pPr>
              <w:pStyle w:val="BodyText"/>
              <w:spacing w:before="41" w:after="82" w:line="240" w:lineRule="auto"/>
            </w:pPr>
            <w:r>
              <w:t>Golden Plains Shire</w:t>
            </w:r>
            <w:r w:rsidR="004D253B">
              <w:t xml:space="preserve"> Council</w:t>
            </w:r>
          </w:p>
        </w:tc>
      </w:tr>
      <w:tr w:rsidR="009B569E" w:rsidRPr="00A02CA6" w14:paraId="62424DB3" w14:textId="77777777" w:rsidTr="00550B3F">
        <w:tc>
          <w:tcPr>
            <w:tcW w:w="5387" w:type="dxa"/>
            <w:shd w:val="clear" w:color="auto" w:fill="auto"/>
          </w:tcPr>
          <w:p w14:paraId="4B00C2C2" w14:textId="3919FA86" w:rsidR="009B569E" w:rsidRDefault="009B569E" w:rsidP="00D12FF7">
            <w:pPr>
              <w:pStyle w:val="BodyText"/>
              <w:spacing w:before="41" w:after="82" w:line="240" w:lineRule="auto"/>
            </w:pPr>
            <w:r>
              <w:t xml:space="preserve">Alan Wilson, </w:t>
            </w:r>
            <w:r w:rsidR="001E111D" w:rsidRPr="00353513">
              <w:t>CPA</w:t>
            </w:r>
          </w:p>
        </w:tc>
        <w:tc>
          <w:tcPr>
            <w:tcW w:w="4252" w:type="dxa"/>
            <w:shd w:val="clear" w:color="auto" w:fill="auto"/>
          </w:tcPr>
          <w:p w14:paraId="773C602B" w14:textId="31D1ABF4" w:rsidR="009B569E" w:rsidRDefault="007231D6" w:rsidP="00D12FF7">
            <w:pPr>
              <w:pStyle w:val="BodyText"/>
              <w:spacing w:before="41" w:after="82" w:line="240" w:lineRule="auto"/>
            </w:pPr>
            <w:r>
              <w:t>Melbourne City Council</w:t>
            </w:r>
          </w:p>
        </w:tc>
      </w:tr>
      <w:tr w:rsidR="005C3CE6" w:rsidRPr="00A02CA6" w14:paraId="3E9617C3" w14:textId="77777777" w:rsidTr="00D12FF7">
        <w:tc>
          <w:tcPr>
            <w:tcW w:w="9639" w:type="dxa"/>
            <w:gridSpan w:val="2"/>
            <w:shd w:val="clear" w:color="auto" w:fill="53565A" w:themeFill="accent2"/>
          </w:tcPr>
          <w:p w14:paraId="07CC2AE4" w14:textId="63F1B578" w:rsidR="005C3CE6" w:rsidRPr="00A02CA6" w:rsidRDefault="005C3CE6" w:rsidP="005C3CE6">
            <w:pPr>
              <w:pStyle w:val="BodyText"/>
              <w:spacing w:before="41" w:after="82" w:line="240" w:lineRule="auto"/>
            </w:pPr>
            <w:r>
              <w:rPr>
                <w:b/>
                <w:color w:val="FFFFFF" w:themeColor="background1"/>
              </w:rPr>
              <w:t xml:space="preserve">Department of Jobs, Precincts and Regions </w:t>
            </w:r>
          </w:p>
        </w:tc>
      </w:tr>
      <w:tr w:rsidR="005C3CE6" w:rsidRPr="00A02CA6" w14:paraId="28A71603" w14:textId="77777777" w:rsidTr="00550B3F">
        <w:tc>
          <w:tcPr>
            <w:tcW w:w="5387" w:type="dxa"/>
            <w:shd w:val="clear" w:color="auto" w:fill="auto"/>
          </w:tcPr>
          <w:p w14:paraId="1F1A70C1" w14:textId="77777777" w:rsidR="005C3CE6" w:rsidRPr="00A02CA6" w:rsidRDefault="005C3CE6" w:rsidP="005C3CE6">
            <w:pPr>
              <w:pStyle w:val="BodyText"/>
              <w:spacing w:before="41" w:after="82" w:line="240" w:lineRule="auto"/>
            </w:pPr>
            <w:r w:rsidRPr="00A02CA6">
              <w:t>Daniel O’Shea, CPA</w:t>
            </w:r>
          </w:p>
        </w:tc>
        <w:tc>
          <w:tcPr>
            <w:tcW w:w="4252" w:type="dxa"/>
            <w:shd w:val="clear" w:color="auto" w:fill="auto"/>
          </w:tcPr>
          <w:p w14:paraId="54645894" w14:textId="77777777" w:rsidR="005C3CE6" w:rsidRPr="00A02CA6" w:rsidRDefault="005C3CE6" w:rsidP="005C3CE6">
            <w:pPr>
              <w:pStyle w:val="BodyText"/>
              <w:spacing w:before="41" w:after="82" w:line="240" w:lineRule="auto"/>
            </w:pPr>
            <w:r w:rsidRPr="00A02CA6">
              <w:t>Local Government Victoria</w:t>
            </w:r>
          </w:p>
        </w:tc>
      </w:tr>
      <w:tr w:rsidR="005C3CE6" w:rsidRPr="00A02CA6" w14:paraId="6403FE41" w14:textId="77777777" w:rsidTr="00550B3F">
        <w:tc>
          <w:tcPr>
            <w:tcW w:w="5387" w:type="dxa"/>
            <w:shd w:val="clear" w:color="auto" w:fill="auto"/>
          </w:tcPr>
          <w:p w14:paraId="2D042850" w14:textId="18903D6B" w:rsidR="005C3CE6" w:rsidRPr="00A02CA6" w:rsidRDefault="005C3CE6" w:rsidP="005C3CE6">
            <w:pPr>
              <w:pStyle w:val="BodyText"/>
              <w:spacing w:before="41" w:after="82" w:line="240" w:lineRule="auto"/>
            </w:pPr>
            <w:r>
              <w:t>Sadiq Hussaini, CA</w:t>
            </w:r>
          </w:p>
        </w:tc>
        <w:tc>
          <w:tcPr>
            <w:tcW w:w="4252" w:type="dxa"/>
            <w:shd w:val="clear" w:color="auto" w:fill="auto"/>
          </w:tcPr>
          <w:p w14:paraId="138B59E2" w14:textId="77777777" w:rsidR="005C3CE6" w:rsidRPr="00A02CA6" w:rsidRDefault="005C3CE6" w:rsidP="005C3CE6">
            <w:pPr>
              <w:pStyle w:val="BodyText"/>
              <w:spacing w:before="41" w:after="82" w:line="240" w:lineRule="auto"/>
            </w:pPr>
            <w:r>
              <w:t>Local Government Victoria</w:t>
            </w:r>
          </w:p>
        </w:tc>
      </w:tr>
      <w:tr w:rsidR="004C5B32" w:rsidRPr="00A02CA6" w14:paraId="30A987AF" w14:textId="77777777" w:rsidTr="00D12FF7">
        <w:tc>
          <w:tcPr>
            <w:tcW w:w="9639" w:type="dxa"/>
            <w:gridSpan w:val="2"/>
            <w:shd w:val="clear" w:color="auto" w:fill="53565A" w:themeFill="accent2"/>
          </w:tcPr>
          <w:p w14:paraId="51E09B10" w14:textId="6B396E70" w:rsidR="004C5B32" w:rsidRPr="00A02CA6" w:rsidRDefault="002A1B2C" w:rsidP="004C5B32">
            <w:pPr>
              <w:pStyle w:val="BodyText"/>
              <w:spacing w:before="41" w:after="82" w:line="240" w:lineRule="auto"/>
            </w:pPr>
            <w:r>
              <w:rPr>
                <w:b/>
                <w:color w:val="FFFFFF" w:themeColor="background1"/>
              </w:rPr>
              <w:t>Attendance in observer capacity</w:t>
            </w:r>
          </w:p>
        </w:tc>
      </w:tr>
      <w:tr w:rsidR="004C5B32" w:rsidRPr="00A02CA6" w14:paraId="75DB5A00" w14:textId="77777777" w:rsidTr="00550B3F">
        <w:tc>
          <w:tcPr>
            <w:tcW w:w="5387" w:type="dxa"/>
            <w:shd w:val="clear" w:color="auto" w:fill="auto"/>
          </w:tcPr>
          <w:p w14:paraId="72C71A5D" w14:textId="0D5806F3" w:rsidR="004C5B32" w:rsidRPr="00A02CA6" w:rsidRDefault="00216C9D" w:rsidP="004C5B32">
            <w:pPr>
              <w:pStyle w:val="BodyText"/>
              <w:spacing w:before="41" w:after="82" w:line="240" w:lineRule="auto"/>
            </w:pPr>
            <w:r>
              <w:t xml:space="preserve">Sanchu Chummar, </w:t>
            </w:r>
            <w:r w:rsidRPr="001D137F">
              <w:t>CA</w:t>
            </w:r>
          </w:p>
        </w:tc>
        <w:tc>
          <w:tcPr>
            <w:tcW w:w="4252" w:type="dxa"/>
            <w:shd w:val="clear" w:color="auto" w:fill="auto"/>
          </w:tcPr>
          <w:p w14:paraId="5B4B6129" w14:textId="77777777" w:rsidR="004C5B32" w:rsidRPr="00A02CA6" w:rsidRDefault="004C5B32" w:rsidP="004C5B32">
            <w:pPr>
              <w:pStyle w:val="BodyText"/>
              <w:spacing w:before="41" w:after="82" w:line="240" w:lineRule="auto"/>
            </w:pPr>
            <w:r w:rsidRPr="00A02CA6">
              <w:t>Victorian Auditor-General’s Office (VAGO)</w:t>
            </w:r>
          </w:p>
        </w:tc>
      </w:tr>
      <w:tr w:rsidR="0052536C" w:rsidRPr="00A02CA6" w14:paraId="21BA7BF5" w14:textId="77777777" w:rsidTr="00550B3F">
        <w:tc>
          <w:tcPr>
            <w:tcW w:w="5387" w:type="dxa"/>
            <w:shd w:val="clear" w:color="auto" w:fill="auto"/>
          </w:tcPr>
          <w:p w14:paraId="77F20456" w14:textId="31EBFD31" w:rsidR="0052536C" w:rsidRDefault="0052536C" w:rsidP="004C5B32">
            <w:pPr>
              <w:pStyle w:val="BodyText"/>
              <w:spacing w:before="41" w:after="82" w:line="240" w:lineRule="auto"/>
            </w:pPr>
            <w:r>
              <w:t>Travis De</w:t>
            </w:r>
            <w:r w:rsidR="00AE5EC0">
              <w:t>r</w:t>
            </w:r>
            <w:r>
              <w:t>ricott</w:t>
            </w:r>
            <w:r w:rsidR="00154C00">
              <w:t xml:space="preserve">, </w:t>
            </w:r>
            <w:r w:rsidR="00154C00" w:rsidRPr="001407EE">
              <w:t>CPA</w:t>
            </w:r>
          </w:p>
        </w:tc>
        <w:tc>
          <w:tcPr>
            <w:tcW w:w="4252" w:type="dxa"/>
            <w:shd w:val="clear" w:color="auto" w:fill="auto"/>
          </w:tcPr>
          <w:p w14:paraId="1A9D5B0B" w14:textId="5FDEA628" w:rsidR="0052536C" w:rsidRPr="00A02CA6" w:rsidRDefault="00154C00" w:rsidP="004C5B32">
            <w:pPr>
              <w:pStyle w:val="BodyText"/>
              <w:spacing w:before="41" w:after="82" w:line="240" w:lineRule="auto"/>
            </w:pPr>
            <w:r w:rsidRPr="00A02CA6">
              <w:t>Victorian Auditor-General’s Office (VAGO)</w:t>
            </w:r>
          </w:p>
        </w:tc>
      </w:tr>
      <w:tr w:rsidR="004C5B32" w:rsidRPr="00A02CA6" w14:paraId="2A889802" w14:textId="77777777" w:rsidTr="00550B3F">
        <w:tc>
          <w:tcPr>
            <w:tcW w:w="5387" w:type="dxa"/>
            <w:shd w:val="clear" w:color="auto" w:fill="auto"/>
          </w:tcPr>
          <w:p w14:paraId="7B18B8B8" w14:textId="28F64DE5" w:rsidR="004C5B32" w:rsidRPr="00A02CA6" w:rsidRDefault="00216C9D" w:rsidP="004C5B32">
            <w:pPr>
              <w:pStyle w:val="BodyText"/>
              <w:spacing w:before="41" w:after="82" w:line="240" w:lineRule="auto"/>
            </w:pPr>
            <w:r>
              <w:t xml:space="preserve">Kevin Chan, </w:t>
            </w:r>
            <w:r w:rsidRPr="00284A83">
              <w:rPr>
                <w:color w:val="auto"/>
              </w:rPr>
              <w:t>CA</w:t>
            </w:r>
          </w:p>
        </w:tc>
        <w:tc>
          <w:tcPr>
            <w:tcW w:w="4252" w:type="dxa"/>
            <w:shd w:val="clear" w:color="auto" w:fill="auto"/>
          </w:tcPr>
          <w:p w14:paraId="7E735B75" w14:textId="77777777" w:rsidR="004C5B32" w:rsidRPr="00A02CA6" w:rsidRDefault="004C5B32" w:rsidP="004C5B32">
            <w:pPr>
              <w:pStyle w:val="BodyText"/>
              <w:spacing w:before="41" w:after="82" w:line="240" w:lineRule="auto"/>
            </w:pPr>
            <w:r w:rsidRPr="00A02CA6">
              <w:t>Victorian Auditor-General’s Office (VAGO)</w:t>
            </w:r>
          </w:p>
        </w:tc>
      </w:tr>
      <w:tr w:rsidR="004C5B32" w:rsidRPr="00A02CA6" w14:paraId="630444D6" w14:textId="77777777" w:rsidTr="00550B3F">
        <w:tc>
          <w:tcPr>
            <w:tcW w:w="5387" w:type="dxa"/>
            <w:shd w:val="clear" w:color="auto" w:fill="auto"/>
          </w:tcPr>
          <w:p w14:paraId="553C4BFB" w14:textId="5ABC6E2D" w:rsidR="004C5B32" w:rsidRDefault="00216C9D" w:rsidP="004C5B32">
            <w:pPr>
              <w:pStyle w:val="BodyText"/>
              <w:spacing w:before="41" w:after="82" w:line="240" w:lineRule="auto"/>
            </w:pPr>
            <w:r>
              <w:t>Jung Yau</w:t>
            </w:r>
            <w:r w:rsidR="004C5B32">
              <w:t xml:space="preserve">, </w:t>
            </w:r>
            <w:r w:rsidR="004C5B32" w:rsidRPr="00CE6E70">
              <w:rPr>
                <w:color w:val="auto"/>
              </w:rPr>
              <w:t>CA</w:t>
            </w:r>
          </w:p>
        </w:tc>
        <w:tc>
          <w:tcPr>
            <w:tcW w:w="4252" w:type="dxa"/>
            <w:shd w:val="clear" w:color="auto" w:fill="auto"/>
          </w:tcPr>
          <w:p w14:paraId="053BD26D" w14:textId="77777777" w:rsidR="004C5B32" w:rsidRPr="00A02CA6" w:rsidRDefault="004C5B32" w:rsidP="004C5B32">
            <w:pPr>
              <w:pStyle w:val="BodyText"/>
              <w:spacing w:before="41" w:after="82" w:line="240" w:lineRule="auto"/>
            </w:pPr>
            <w:r w:rsidRPr="00A02CA6">
              <w:t>Victorian Auditor-General’s Office (VAGO)</w:t>
            </w:r>
          </w:p>
        </w:tc>
      </w:tr>
      <w:bookmarkEnd w:id="15"/>
    </w:tbl>
    <w:p w14:paraId="63478A47" w14:textId="77777777" w:rsidR="00572E44" w:rsidRDefault="00572E44" w:rsidP="00572E44"/>
    <w:p w14:paraId="306A9800" w14:textId="77777777" w:rsidR="00561E98" w:rsidRDefault="00561E98" w:rsidP="00B6781B">
      <w:pPr>
        <w:pStyle w:val="BodyText"/>
        <w:rPr>
          <w:sz w:val="18"/>
          <w:szCs w:val="18"/>
        </w:rPr>
      </w:pPr>
    </w:p>
    <w:p w14:paraId="25F16ABF" w14:textId="77777777" w:rsidR="00561E98" w:rsidRDefault="00561E98" w:rsidP="00B6781B">
      <w:pPr>
        <w:pStyle w:val="BodyText"/>
        <w:rPr>
          <w:sz w:val="18"/>
          <w:szCs w:val="18"/>
        </w:rPr>
      </w:pPr>
    </w:p>
    <w:p w14:paraId="7A465E34" w14:textId="77777777" w:rsidR="00561E98" w:rsidRDefault="00561E98">
      <w:pPr>
        <w:spacing w:before="0" w:line="276" w:lineRule="auto"/>
        <w:rPr>
          <w:rFonts w:asciiTheme="minorHAnsi" w:hAnsiTheme="minorHAnsi"/>
          <w:color w:val="000000" w:themeColor="text1"/>
          <w:szCs w:val="18"/>
        </w:rPr>
      </w:pPr>
      <w:r>
        <w:rPr>
          <w:szCs w:val="18"/>
        </w:rPr>
        <w:br w:type="page"/>
      </w:r>
    </w:p>
    <w:p w14:paraId="2E11C9F7" w14:textId="7DA74057" w:rsidR="00561E98" w:rsidRDefault="007C52AE" w:rsidP="00F3345B">
      <w:pPr>
        <w:pStyle w:val="Heading1"/>
        <w:rPr>
          <w:rFonts w:eastAsia="Cambria"/>
          <w:lang w:val="en-GB"/>
        </w:rPr>
      </w:pPr>
      <w:bookmarkStart w:id="16" w:name="_Toc506208390"/>
      <w:bookmarkStart w:id="17" w:name="_Toc27478389"/>
      <w:bookmarkStart w:id="18" w:name="_Toc31200510"/>
      <w:bookmarkStart w:id="19" w:name="_Toc31630493"/>
      <w:bookmarkStart w:id="20" w:name="_Toc31630547"/>
      <w:bookmarkStart w:id="21" w:name="_Toc31631064"/>
      <w:bookmarkStart w:id="22" w:name="_Toc31631129"/>
      <w:bookmarkStart w:id="23" w:name="_Toc31631512"/>
      <w:bookmarkStart w:id="24" w:name="_Toc94527449"/>
      <w:r>
        <w:rPr>
          <w:rFonts w:eastAsia="Cambria"/>
          <w:lang w:val="en-GB"/>
        </w:rPr>
        <w:lastRenderedPageBreak/>
        <w:t>Integrated Strategic Planning and Reporting</w:t>
      </w:r>
      <w:r w:rsidR="00561E98" w:rsidRPr="001B7166">
        <w:rPr>
          <w:rFonts w:eastAsia="Cambria"/>
          <w:lang w:val="en-GB"/>
        </w:rPr>
        <w:t xml:space="preserve"> Framework</w:t>
      </w:r>
      <w:bookmarkEnd w:id="16"/>
      <w:bookmarkEnd w:id="17"/>
      <w:bookmarkEnd w:id="18"/>
      <w:bookmarkEnd w:id="19"/>
      <w:bookmarkEnd w:id="20"/>
      <w:bookmarkEnd w:id="21"/>
      <w:bookmarkEnd w:id="22"/>
      <w:bookmarkEnd w:id="23"/>
      <w:bookmarkEnd w:id="24"/>
    </w:p>
    <w:p w14:paraId="03AFF23B" w14:textId="30CC3FD3" w:rsidR="00ED59B5" w:rsidRPr="00702541" w:rsidRDefault="00ED59B5" w:rsidP="00ED59B5">
      <w:pPr>
        <w:pStyle w:val="BodyText"/>
      </w:pPr>
      <w:r w:rsidRPr="00702541">
        <w:t>Part 4 of the</w:t>
      </w:r>
      <w:r w:rsidR="00D100C1" w:rsidRPr="00702541">
        <w:t xml:space="preserve"> </w:t>
      </w:r>
      <w:r w:rsidR="00D100C1" w:rsidRPr="00702541">
        <w:rPr>
          <w:i/>
          <w:iCs/>
        </w:rPr>
        <w:t>Local Government</w:t>
      </w:r>
      <w:r w:rsidRPr="00702541">
        <w:rPr>
          <w:i/>
          <w:iCs/>
        </w:rPr>
        <w:t xml:space="preserve"> Act</w:t>
      </w:r>
      <w:r w:rsidR="00D100C1" w:rsidRPr="00702541">
        <w:rPr>
          <w:i/>
          <w:iCs/>
        </w:rPr>
        <w:t xml:space="preserve"> 2020</w:t>
      </w:r>
      <w:r w:rsidRPr="00702541">
        <w:t xml:space="preserve"> addresses planning and financial management. The legislative requirements to develop strategic planning, budgeting and annual reporting documents in Part 4 came into operation on 24 October 2020.</w:t>
      </w:r>
    </w:p>
    <w:p w14:paraId="54A1C285" w14:textId="198E4AF5" w:rsidR="001870F0" w:rsidRPr="00702541" w:rsidRDefault="00F27A21" w:rsidP="00F27A21">
      <w:pPr>
        <w:rPr>
          <w:rFonts w:asciiTheme="minorHAnsi" w:hAnsiTheme="minorHAnsi"/>
          <w:color w:val="auto"/>
          <w:sz w:val="20"/>
        </w:rPr>
      </w:pPr>
      <w:r w:rsidRPr="00702541">
        <w:rPr>
          <w:rFonts w:asciiTheme="minorHAnsi" w:hAnsiTheme="minorHAnsi"/>
          <w:color w:val="000000" w:themeColor="text1"/>
          <w:sz w:val="20"/>
        </w:rPr>
        <w:t>The Act introduces strategic planning principles for Victorian councils which include an integrated approach to planning, monitoring and performance reporting.</w:t>
      </w:r>
      <w:r w:rsidRPr="00702541">
        <w:rPr>
          <w:rStyle w:val="FootnoteReference"/>
          <w:sz w:val="20"/>
        </w:rPr>
        <w:footnoteReference w:id="9"/>
      </w:r>
      <w:r w:rsidRPr="00702541">
        <w:rPr>
          <w:rFonts w:asciiTheme="minorHAnsi" w:hAnsiTheme="minorHAnsi"/>
          <w:color w:val="000000" w:themeColor="text1"/>
          <w:sz w:val="20"/>
        </w:rPr>
        <w:t xml:space="preserve"> </w:t>
      </w:r>
      <w:r w:rsidR="007323CB" w:rsidRPr="00702541">
        <w:rPr>
          <w:color w:val="auto"/>
          <w:sz w:val="20"/>
        </w:rPr>
        <w:t xml:space="preserve">This important shift from a more prescriptive form of legislation to a new Act that is principles-based is explored further in the </w:t>
      </w:r>
      <w:r w:rsidR="007323CB" w:rsidRPr="00702541">
        <w:rPr>
          <w:i/>
          <w:iCs/>
          <w:color w:val="auto"/>
          <w:sz w:val="20"/>
        </w:rPr>
        <w:t>Integrated Strategic Planning and Reporting Discussion Paper</w:t>
      </w:r>
      <w:r w:rsidR="007323CB" w:rsidRPr="00702541">
        <w:rPr>
          <w:color w:val="auto"/>
          <w:sz w:val="20"/>
        </w:rPr>
        <w:t xml:space="preserve"> which is available at </w:t>
      </w:r>
      <w:hyperlink r:id="rId18" w:history="1">
        <w:r w:rsidR="007323CB" w:rsidRPr="00702541">
          <w:rPr>
            <w:rStyle w:val="Hyperlink"/>
            <w:color w:val="auto"/>
            <w:sz w:val="20"/>
          </w:rPr>
          <w:t>https://engage.vic.gov.au/local-government-act-2020</w:t>
        </w:r>
      </w:hyperlink>
      <w:r w:rsidR="007323CB" w:rsidRPr="00702541">
        <w:rPr>
          <w:color w:val="auto"/>
          <w:sz w:val="20"/>
        </w:rPr>
        <w:t>.</w:t>
      </w:r>
    </w:p>
    <w:p w14:paraId="66AEDED6" w14:textId="52EC9411" w:rsidR="00894F00" w:rsidRPr="00702541" w:rsidRDefault="00F36E77" w:rsidP="00894F00">
      <w:pPr>
        <w:pStyle w:val="BodyText"/>
      </w:pPr>
      <w:bookmarkStart w:id="25" w:name="_Hlk58322113"/>
      <w:r w:rsidRPr="00702541">
        <w:t xml:space="preserve">Part 4 of the </w:t>
      </w:r>
      <w:r w:rsidRPr="00702541">
        <w:rPr>
          <w:i/>
          <w:iCs/>
        </w:rPr>
        <w:t>Local Government Act 2020</w:t>
      </w:r>
      <w:r w:rsidR="00894F00" w:rsidRPr="00702541">
        <w:t xml:space="preserve"> requires councils to prepare the following:</w:t>
      </w:r>
    </w:p>
    <w:bookmarkEnd w:id="25"/>
    <w:p w14:paraId="14DA325A" w14:textId="0F0F33D0" w:rsidR="00485BBF" w:rsidRPr="00702541" w:rsidRDefault="002D5C9F" w:rsidP="00485BBF">
      <w:pPr>
        <w:pStyle w:val="BodyText"/>
        <w:numPr>
          <w:ilvl w:val="0"/>
          <w:numId w:val="26"/>
        </w:numPr>
      </w:pPr>
      <w:r w:rsidRPr="00702541">
        <w:t>A Community Vision</w:t>
      </w:r>
      <w:r w:rsidR="00CA07B8" w:rsidRPr="00702541">
        <w:t xml:space="preserve"> (for at least the next 10 financial years);</w:t>
      </w:r>
      <w:r w:rsidR="007D5CDB" w:rsidRPr="00702541">
        <w:rPr>
          <w:rStyle w:val="FootnoteReference"/>
        </w:rPr>
        <w:footnoteReference w:id="10"/>
      </w:r>
    </w:p>
    <w:p w14:paraId="2CE1231C" w14:textId="5C8221AB" w:rsidR="00CA07B8" w:rsidRPr="00702541" w:rsidRDefault="00CA07B8" w:rsidP="00485BBF">
      <w:pPr>
        <w:pStyle w:val="BodyText"/>
        <w:numPr>
          <w:ilvl w:val="0"/>
          <w:numId w:val="26"/>
        </w:numPr>
      </w:pPr>
      <w:r w:rsidRPr="00702541">
        <w:t>A Council Plan (</w:t>
      </w:r>
      <w:r w:rsidR="00C864E7" w:rsidRPr="00702541">
        <w:t>for at least the next 4 financial years</w:t>
      </w:r>
      <w:r w:rsidR="00DB7818" w:rsidRPr="00702541">
        <w:t>);</w:t>
      </w:r>
      <w:r w:rsidR="00F550D2" w:rsidRPr="00702541">
        <w:rPr>
          <w:rStyle w:val="FootnoteReference"/>
        </w:rPr>
        <w:footnoteReference w:id="11"/>
      </w:r>
    </w:p>
    <w:p w14:paraId="03A7E09F" w14:textId="32F996B2" w:rsidR="00391E51" w:rsidRPr="00702541" w:rsidRDefault="00391E51" w:rsidP="00391E51">
      <w:pPr>
        <w:pStyle w:val="BodyText"/>
        <w:numPr>
          <w:ilvl w:val="0"/>
          <w:numId w:val="26"/>
        </w:numPr>
      </w:pPr>
      <w:r w:rsidRPr="00702541">
        <w:t>A Financial Plan (for at least the next 10 financial years);</w:t>
      </w:r>
      <w:r w:rsidR="00F550D2" w:rsidRPr="00702541">
        <w:rPr>
          <w:rStyle w:val="FootnoteReference"/>
        </w:rPr>
        <w:footnoteReference w:id="12"/>
      </w:r>
    </w:p>
    <w:p w14:paraId="72377CB8" w14:textId="5B03D2FA" w:rsidR="00E54277" w:rsidRPr="00702541" w:rsidRDefault="00391E51" w:rsidP="00E54277">
      <w:pPr>
        <w:pStyle w:val="BodyText"/>
        <w:numPr>
          <w:ilvl w:val="0"/>
          <w:numId w:val="26"/>
        </w:numPr>
      </w:pPr>
      <w:r w:rsidRPr="00702541">
        <w:t>An Asset Plan (</w:t>
      </w:r>
      <w:r w:rsidR="00E54277" w:rsidRPr="00702541">
        <w:t>for at least the next 10 financial years);</w:t>
      </w:r>
      <w:r w:rsidR="00F550D2" w:rsidRPr="00702541">
        <w:rPr>
          <w:rStyle w:val="FootnoteReference"/>
        </w:rPr>
        <w:footnoteReference w:id="13"/>
      </w:r>
    </w:p>
    <w:p w14:paraId="781FDE3D" w14:textId="4C16F848" w:rsidR="002128F9" w:rsidRPr="00702541" w:rsidRDefault="00E54277" w:rsidP="002128F9">
      <w:pPr>
        <w:pStyle w:val="BodyText"/>
        <w:numPr>
          <w:ilvl w:val="0"/>
          <w:numId w:val="26"/>
        </w:numPr>
      </w:pPr>
      <w:r w:rsidRPr="00702541">
        <w:t xml:space="preserve">A Revenue and Rating Plan </w:t>
      </w:r>
      <w:r w:rsidR="002128F9" w:rsidRPr="00702541">
        <w:t>(for at least the next 4 financial years);</w:t>
      </w:r>
      <w:r w:rsidR="00F550D2" w:rsidRPr="00702541">
        <w:rPr>
          <w:rStyle w:val="FootnoteReference"/>
        </w:rPr>
        <w:footnoteReference w:id="14"/>
      </w:r>
    </w:p>
    <w:p w14:paraId="2681EFC9" w14:textId="5053817B" w:rsidR="00DB7818" w:rsidRPr="00702541" w:rsidRDefault="00D33F18" w:rsidP="00485BBF">
      <w:pPr>
        <w:pStyle w:val="BodyText"/>
        <w:numPr>
          <w:ilvl w:val="0"/>
          <w:numId w:val="26"/>
        </w:numPr>
      </w:pPr>
      <w:r w:rsidRPr="00702541">
        <w:t xml:space="preserve">A </w:t>
      </w:r>
      <w:r w:rsidR="006D7B1C" w:rsidRPr="00702541">
        <w:t>Budget (</w:t>
      </w:r>
      <w:r w:rsidR="0019679B" w:rsidRPr="00702541">
        <w:t>for the next 4 financial years);</w:t>
      </w:r>
      <w:r w:rsidR="00F550D2" w:rsidRPr="00702541">
        <w:rPr>
          <w:rStyle w:val="FootnoteReference"/>
        </w:rPr>
        <w:footnoteReference w:id="15"/>
      </w:r>
    </w:p>
    <w:p w14:paraId="226B6C50" w14:textId="381CDFB0" w:rsidR="00316D0E" w:rsidRPr="00702541" w:rsidRDefault="007D36EB" w:rsidP="00485BBF">
      <w:pPr>
        <w:pStyle w:val="BodyText"/>
        <w:numPr>
          <w:ilvl w:val="0"/>
          <w:numId w:val="26"/>
        </w:numPr>
      </w:pPr>
      <w:r w:rsidRPr="00702541">
        <w:t>A Quarterly Budget Report</w:t>
      </w:r>
      <w:r w:rsidR="00AF41BB" w:rsidRPr="00702541">
        <w:t>;</w:t>
      </w:r>
      <w:r w:rsidR="00F550D2" w:rsidRPr="00702541">
        <w:rPr>
          <w:rStyle w:val="FootnoteReference"/>
        </w:rPr>
        <w:footnoteReference w:id="16"/>
      </w:r>
    </w:p>
    <w:p w14:paraId="0D816CCD" w14:textId="2052A852" w:rsidR="00AF41BB" w:rsidRPr="00702541" w:rsidRDefault="00AF41BB" w:rsidP="00485BBF">
      <w:pPr>
        <w:pStyle w:val="BodyText"/>
        <w:numPr>
          <w:ilvl w:val="0"/>
          <w:numId w:val="26"/>
        </w:numPr>
      </w:pPr>
      <w:r w:rsidRPr="00702541">
        <w:t>An A</w:t>
      </w:r>
      <w:r w:rsidR="00632807" w:rsidRPr="00702541">
        <w:t>nnual Report (for each financial year);</w:t>
      </w:r>
      <w:r w:rsidR="00171235" w:rsidRPr="00702541">
        <w:rPr>
          <w:rStyle w:val="FootnoteReference"/>
        </w:rPr>
        <w:footnoteReference w:id="17"/>
      </w:r>
      <w:r w:rsidR="00A47705" w:rsidRPr="00702541">
        <w:t xml:space="preserve"> and</w:t>
      </w:r>
    </w:p>
    <w:p w14:paraId="2C661ACD" w14:textId="6B7344FB" w:rsidR="00A47705" w:rsidRPr="00702541" w:rsidRDefault="00A47705" w:rsidP="00485BBF">
      <w:pPr>
        <w:pStyle w:val="BodyText"/>
        <w:numPr>
          <w:ilvl w:val="0"/>
          <w:numId w:val="26"/>
        </w:numPr>
      </w:pPr>
      <w:r w:rsidRPr="00702541">
        <w:t>Financial Policies.</w:t>
      </w:r>
      <w:r w:rsidR="00A64B1A" w:rsidRPr="00702541">
        <w:rPr>
          <w:rStyle w:val="FootnoteReference"/>
        </w:rPr>
        <w:footnoteReference w:id="18"/>
      </w:r>
    </w:p>
    <w:p w14:paraId="72583A44" w14:textId="3729C108" w:rsidR="00433026" w:rsidRPr="00702541" w:rsidRDefault="008C3C9C" w:rsidP="00433026">
      <w:pPr>
        <w:pStyle w:val="BodyText"/>
      </w:pPr>
      <w:r w:rsidRPr="00702541">
        <w:t>T</w:t>
      </w:r>
      <w:r w:rsidR="00433026" w:rsidRPr="00702541">
        <w:t>he</w:t>
      </w:r>
      <w:r w:rsidRPr="00702541">
        <w:t xml:space="preserve"> Act also </w:t>
      </w:r>
      <w:r w:rsidR="00433026" w:rsidRPr="00702541">
        <w:t>requires councils to prepare:</w:t>
      </w:r>
    </w:p>
    <w:p w14:paraId="0B3EB595" w14:textId="74862778" w:rsidR="00C144B3" w:rsidRPr="00702541" w:rsidRDefault="008C3C9C" w:rsidP="008C3C9C">
      <w:pPr>
        <w:pStyle w:val="BodyText"/>
        <w:numPr>
          <w:ilvl w:val="0"/>
          <w:numId w:val="27"/>
        </w:numPr>
      </w:pPr>
      <w:r w:rsidRPr="00702541">
        <w:t>A Workforce Plan</w:t>
      </w:r>
      <w:r w:rsidR="009D7715" w:rsidRPr="00702541">
        <w:t xml:space="preserve"> (</w:t>
      </w:r>
      <w:r w:rsidR="00807A79" w:rsidRPr="00702541">
        <w:t>including projected staffing requirements for at least 4</w:t>
      </w:r>
      <w:r w:rsidR="002F3AAC" w:rsidRPr="00702541">
        <w:t xml:space="preserve"> years);</w:t>
      </w:r>
      <w:r w:rsidR="00646AC2" w:rsidRPr="00702541">
        <w:rPr>
          <w:rStyle w:val="FootnoteReference"/>
        </w:rPr>
        <w:footnoteReference w:id="19"/>
      </w:r>
    </w:p>
    <w:p w14:paraId="2622D7FE" w14:textId="158C2552" w:rsidR="008C3C9C" w:rsidRDefault="0003307F" w:rsidP="00E00C3C">
      <w:pPr>
        <w:pStyle w:val="BodyText"/>
      </w:pPr>
      <w:r w:rsidRPr="00702541">
        <w:t xml:space="preserve">The legislative timeframes for development, review and adoption of the elements of the </w:t>
      </w:r>
      <w:r w:rsidR="004F19D4" w:rsidRPr="00702541">
        <w:t>Integrated Strategic Planning and Reporting Framework (ISPRF)</w:t>
      </w:r>
      <w:r w:rsidR="002F6D02" w:rsidRPr="00702541">
        <w:t xml:space="preserve"> </w:t>
      </w:r>
      <w:r w:rsidR="007733A5" w:rsidRPr="00702541">
        <w:t>and the time horizons for each</w:t>
      </w:r>
      <w:r w:rsidR="00C8253C" w:rsidRPr="00702541">
        <w:t xml:space="preserve"> element vary.</w:t>
      </w:r>
      <w:r w:rsidR="00CB69E3" w:rsidRPr="00702541">
        <w:t xml:space="preserve"> However there are </w:t>
      </w:r>
      <w:r w:rsidR="0048558F" w:rsidRPr="00702541">
        <w:t xml:space="preserve">also many </w:t>
      </w:r>
      <w:r w:rsidR="00501171" w:rsidRPr="00702541">
        <w:t>linkages</w:t>
      </w:r>
      <w:r w:rsidR="00932CBC" w:rsidRPr="00702541">
        <w:t xml:space="preserve">, including the central importance of community </w:t>
      </w:r>
      <w:r w:rsidR="0048558F" w:rsidRPr="00702541">
        <w:t>engagement</w:t>
      </w:r>
      <w:r w:rsidR="00CE526D" w:rsidRPr="00702541">
        <w:t>.</w:t>
      </w:r>
      <w:r w:rsidR="00C8253C" w:rsidRPr="00702541">
        <w:t xml:space="preserve"> </w:t>
      </w:r>
      <w:r w:rsidR="00F64882" w:rsidRPr="00702541">
        <w:t xml:space="preserve">It is therefore </w:t>
      </w:r>
      <w:r w:rsidR="00CE526D" w:rsidRPr="00702541">
        <w:t>vital</w:t>
      </w:r>
      <w:r w:rsidR="00F64882" w:rsidRPr="00702541">
        <w:t xml:space="preserve"> to </w:t>
      </w:r>
      <w:r w:rsidR="009F4F4B" w:rsidRPr="00702541">
        <w:t xml:space="preserve">recognise the relationships </w:t>
      </w:r>
      <w:r w:rsidR="00242692" w:rsidRPr="00702541">
        <w:t xml:space="preserve">and degrees of integration </w:t>
      </w:r>
      <w:r w:rsidR="009F4F4B" w:rsidRPr="00702541">
        <w:t xml:space="preserve">between </w:t>
      </w:r>
      <w:r w:rsidR="009370DF" w:rsidRPr="00702541">
        <w:t>different elements.</w:t>
      </w:r>
      <w:r w:rsidR="004D1CD0" w:rsidRPr="00702541">
        <w:t xml:space="preserve"> To aid this process, visual </w:t>
      </w:r>
      <w:r w:rsidR="006574C0" w:rsidRPr="00702541">
        <w:t>representations of the ISPRF have been developed.</w:t>
      </w:r>
      <w:r w:rsidR="009370DF">
        <w:t xml:space="preserve"> </w:t>
      </w:r>
      <w:r w:rsidR="009F4F4B">
        <w:t xml:space="preserve"> </w:t>
      </w:r>
      <w:r w:rsidR="004F19D4">
        <w:t xml:space="preserve"> </w:t>
      </w:r>
      <w:r w:rsidR="00807A79">
        <w:t xml:space="preserve"> </w:t>
      </w:r>
    </w:p>
    <w:p w14:paraId="5882A4FD" w14:textId="77777777" w:rsidR="00485BBF" w:rsidRDefault="00485BBF" w:rsidP="00894F00">
      <w:pPr>
        <w:pStyle w:val="BodyText"/>
      </w:pPr>
    </w:p>
    <w:p w14:paraId="7B389138" w14:textId="77777777" w:rsidR="00485BBF" w:rsidRPr="003E2620" w:rsidRDefault="00485BBF" w:rsidP="00894F00">
      <w:pPr>
        <w:pStyle w:val="BodyText"/>
      </w:pPr>
    </w:p>
    <w:p w14:paraId="1626E4E6" w14:textId="77777777" w:rsidR="008270D0" w:rsidRPr="00792F75" w:rsidRDefault="008270D0" w:rsidP="00792F75">
      <w:pPr>
        <w:pStyle w:val="ListParagraph"/>
        <w:numPr>
          <w:ilvl w:val="0"/>
          <w:numId w:val="25"/>
        </w:numPr>
        <w:rPr>
          <w:rFonts w:asciiTheme="minorHAnsi" w:hAnsiTheme="minorHAnsi"/>
          <w:color w:val="000000" w:themeColor="text1"/>
          <w:sz w:val="20"/>
        </w:rPr>
      </w:pPr>
      <w:r w:rsidRPr="00792F75">
        <w:rPr>
          <w:rFonts w:asciiTheme="minorHAnsi" w:hAnsiTheme="minorHAnsi"/>
          <w:color w:val="000000" w:themeColor="text1"/>
          <w:sz w:val="20"/>
        </w:rPr>
        <w:br w:type="page"/>
      </w:r>
    </w:p>
    <w:p w14:paraId="42D572B9" w14:textId="1D4FB6DC" w:rsidR="00BA52B7" w:rsidRDefault="00BA52B7" w:rsidP="00F27A21">
      <w:pPr>
        <w:rPr>
          <w:rFonts w:asciiTheme="minorHAnsi" w:hAnsiTheme="minorHAnsi"/>
          <w:color w:val="000000" w:themeColor="text1"/>
          <w:sz w:val="20"/>
        </w:rPr>
      </w:pPr>
      <w:r>
        <w:rPr>
          <w:rFonts w:asciiTheme="minorHAnsi" w:hAnsiTheme="minorHAnsi"/>
          <w:color w:val="000000" w:themeColor="text1"/>
          <w:sz w:val="20"/>
        </w:rPr>
        <w:lastRenderedPageBreak/>
        <w:t>The following diagram</w:t>
      </w:r>
      <w:r w:rsidRPr="00BA52B7">
        <w:rPr>
          <w:rFonts w:asciiTheme="minorHAnsi" w:hAnsiTheme="minorHAnsi"/>
          <w:color w:val="000000" w:themeColor="text1"/>
          <w:sz w:val="20"/>
        </w:rPr>
        <w:t xml:space="preserve"> provides an overview of the core legislated elements of an integrated strategic planning and reporting framework and outcomes.</w:t>
      </w:r>
    </w:p>
    <w:p w14:paraId="1B43FEBD" w14:textId="33708640" w:rsidR="00A41BC5" w:rsidRDefault="003F3E27" w:rsidP="00F27A21">
      <w:pPr>
        <w:rPr>
          <w:rFonts w:asciiTheme="minorHAnsi" w:hAnsiTheme="minorHAnsi"/>
          <w:color w:val="000000" w:themeColor="text1"/>
          <w:sz w:val="20"/>
        </w:rPr>
      </w:pPr>
      <w:r>
        <w:rPr>
          <w:noProof/>
        </w:rPr>
        <w:drawing>
          <wp:inline distT="0" distB="0" distL="0" distR="0" wp14:anchorId="19CF4654" wp14:editId="109CF3BC">
            <wp:extent cx="7917287" cy="5989255"/>
            <wp:effectExtent l="0" t="730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rot="16200000">
                      <a:off x="0" y="0"/>
                      <a:ext cx="7962985" cy="6023824"/>
                    </a:xfrm>
                    <a:prstGeom prst="rect">
                      <a:avLst/>
                    </a:prstGeom>
                    <a:noFill/>
                    <a:ln>
                      <a:noFill/>
                    </a:ln>
                  </pic:spPr>
                </pic:pic>
              </a:graphicData>
            </a:graphic>
          </wp:inline>
        </w:drawing>
      </w:r>
    </w:p>
    <w:p w14:paraId="41E42540" w14:textId="35088FAE" w:rsidR="00A41BC5" w:rsidRDefault="00A75222" w:rsidP="00A75222">
      <w:pPr>
        <w:pStyle w:val="Caption"/>
        <w:rPr>
          <w:rFonts w:asciiTheme="minorHAnsi" w:hAnsiTheme="minorHAnsi"/>
          <w:color w:val="000000" w:themeColor="text1"/>
          <w:sz w:val="20"/>
        </w:rPr>
      </w:pPr>
      <w:r w:rsidRPr="00EA2A39">
        <w:t xml:space="preserve">Figure </w:t>
      </w:r>
      <w:r w:rsidR="00B2112B">
        <w:fldChar w:fldCharType="begin"/>
      </w:r>
      <w:r w:rsidR="00B2112B">
        <w:instrText xml:space="preserve"> SEQ Figure \* ARABIC </w:instrText>
      </w:r>
      <w:r w:rsidR="00B2112B">
        <w:fldChar w:fldCharType="separate"/>
      </w:r>
      <w:r w:rsidRPr="00EA2A39">
        <w:rPr>
          <w:noProof/>
        </w:rPr>
        <w:t>1</w:t>
      </w:r>
      <w:r w:rsidR="00B2112B">
        <w:rPr>
          <w:noProof/>
        </w:rPr>
        <w:fldChar w:fldCharType="end"/>
      </w:r>
      <w:r w:rsidRPr="00EA2A39">
        <w:t>: Department of Jobs, Precincts and Regions 2020</w:t>
      </w:r>
    </w:p>
    <w:p w14:paraId="3E85837E" w14:textId="77777777" w:rsidR="00A41BC5" w:rsidRDefault="00A41BC5" w:rsidP="00F27A21">
      <w:pPr>
        <w:rPr>
          <w:rFonts w:asciiTheme="minorHAnsi" w:hAnsiTheme="minorHAnsi"/>
          <w:color w:val="000000" w:themeColor="text1"/>
          <w:sz w:val="20"/>
        </w:rPr>
      </w:pPr>
    </w:p>
    <w:p w14:paraId="509DD45C" w14:textId="77777777" w:rsidR="00A41BC5" w:rsidRDefault="00A41BC5" w:rsidP="00F27A21">
      <w:pPr>
        <w:rPr>
          <w:rFonts w:asciiTheme="minorHAnsi" w:hAnsiTheme="minorHAnsi"/>
          <w:color w:val="000000" w:themeColor="text1"/>
          <w:sz w:val="20"/>
        </w:rPr>
      </w:pPr>
    </w:p>
    <w:p w14:paraId="2DC2A189" w14:textId="0780C20C" w:rsidR="00487AF4" w:rsidRPr="00A50C6C" w:rsidRDefault="00487AF4" w:rsidP="00487AF4">
      <w:pPr>
        <w:rPr>
          <w:szCs w:val="21"/>
        </w:rPr>
      </w:pPr>
      <w:r w:rsidRPr="00487AF4">
        <w:rPr>
          <w:noProof/>
          <w:color w:val="auto"/>
          <w:sz w:val="20"/>
        </w:rPr>
        <mc:AlternateContent>
          <mc:Choice Requires="wps">
            <w:drawing>
              <wp:anchor distT="0" distB="0" distL="114300" distR="114300" simplePos="0" relativeHeight="251658242" behindDoc="0" locked="0" layoutInCell="1" allowOverlap="1" wp14:anchorId="1EBBD745" wp14:editId="273E2505">
                <wp:simplePos x="0" y="0"/>
                <wp:positionH relativeFrom="column">
                  <wp:posOffset>4047969</wp:posOffset>
                </wp:positionH>
                <wp:positionV relativeFrom="paragraph">
                  <wp:posOffset>4100038</wp:posOffset>
                </wp:positionV>
                <wp:extent cx="3868420" cy="539430"/>
                <wp:effectExtent l="7302" t="0" r="25083" b="25082"/>
                <wp:wrapNone/>
                <wp:docPr id="8" name="Text Box 8"/>
                <wp:cNvGraphicFramePr/>
                <a:graphic xmlns:a="http://schemas.openxmlformats.org/drawingml/2006/main">
                  <a:graphicData uri="http://schemas.microsoft.com/office/word/2010/wordprocessingShape">
                    <wps:wsp>
                      <wps:cNvSpPr txBox="1"/>
                      <wps:spPr>
                        <a:xfrm rot="16200000">
                          <a:off x="0" y="0"/>
                          <a:ext cx="3868420" cy="539430"/>
                        </a:xfrm>
                        <a:prstGeom prst="rect">
                          <a:avLst/>
                        </a:prstGeom>
                        <a:solidFill>
                          <a:schemeClr val="lt1"/>
                        </a:solidFill>
                        <a:ln w="6350">
                          <a:solidFill>
                            <a:schemeClr val="bg1"/>
                          </a:solidFill>
                        </a:ln>
                      </wps:spPr>
                      <wps:txbx>
                        <w:txbxContent>
                          <w:p w14:paraId="75AD3DBA" w14:textId="77777777" w:rsidR="00487AF4" w:rsidRDefault="00487AF4" w:rsidP="00487AF4">
                            <w:bookmarkStart w:id="26" w:name="_Hlk45527594"/>
                            <w:bookmarkEnd w:id="26"/>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BD745" id="_x0000_t202" coordsize="21600,21600" o:spt="202" path="m,l,21600r21600,l21600,xe">
                <v:stroke joinstyle="miter"/>
                <v:path gradientshapeok="t" o:connecttype="rect"/>
              </v:shapetype>
              <v:shape id="Text Box 8" o:spid="_x0000_s1026" type="#_x0000_t202" style="position:absolute;margin-left:318.75pt;margin-top:322.85pt;width:304.6pt;height:42.4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" fillcolor="white [3201]" strokecolor="white [3212]" strokeweight=".5pt">
                <v:textbox>
                  <w:txbxContent>
                    <w:p w14:paraId="75AD3DBA" w14:textId="77777777" w:rsidR="00487AF4" w:rsidRDefault="00487AF4" w:rsidP="00487AF4">
                      <w:bookmarkStart w:id="27" w:name="_Hlk45527594"/>
                      <w:bookmarkEnd w:id="27"/>
                      <w:r>
                        <w:t>Note: this shape denotes mandated plans and strategies.</w:t>
                      </w:r>
                      <w:r w:rsidRPr="00BF287F">
                        <w:rPr>
                          <w:noProof/>
                        </w:rPr>
                        <w:t xml:space="preserve"> </w:t>
                      </w:r>
                      <w:r w:rsidRPr="00DA001F">
                        <w:rPr>
                          <w:noProof/>
                        </w:rPr>
                        <w:drawing>
                          <wp:inline distT="0" distB="0" distL="0" distR="0" wp14:anchorId="588481BE" wp14:editId="6E7230AF">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r w:rsidRPr="00487AF4">
        <w:rPr>
          <w:noProof/>
          <w:color w:val="auto"/>
          <w:sz w:val="20"/>
        </w:rPr>
        <w:drawing>
          <wp:anchor distT="0" distB="0" distL="114300" distR="114300" simplePos="0" relativeHeight="251658241" behindDoc="1" locked="0" layoutInCell="1" allowOverlap="1" wp14:anchorId="161EF813" wp14:editId="3D1FC0C7">
            <wp:simplePos x="0" y="0"/>
            <wp:positionH relativeFrom="column">
              <wp:posOffset>-450215</wp:posOffset>
            </wp:positionH>
            <wp:positionV relativeFrom="paragraph">
              <wp:posOffset>1261745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sidR="00543EE3">
        <w:rPr>
          <w:color w:val="auto"/>
          <w:sz w:val="20"/>
        </w:rPr>
        <w:t>The following figure</w:t>
      </w:r>
      <w:r w:rsidRPr="00487AF4">
        <w:rPr>
          <w:color w:val="auto"/>
          <w:sz w:val="20"/>
        </w:rPr>
        <w:t xml:space="preserve"> demonstrat</w:t>
      </w:r>
      <w:r w:rsidR="00543EE3">
        <w:rPr>
          <w:color w:val="auto"/>
          <w:sz w:val="20"/>
        </w:rPr>
        <w:t>es</w:t>
      </w:r>
      <w:r w:rsidRPr="00487AF4">
        <w:rPr>
          <w:color w:val="auto"/>
          <w:sz w:val="20"/>
        </w:rPr>
        <w:t xml:space="preserve"> how each element might inform or be informed by other parts of the i</w:t>
      </w:r>
      <w:r w:rsidR="00C4775F">
        <w:rPr>
          <w:color w:val="auto"/>
          <w:sz w:val="20"/>
        </w:rPr>
        <w:t>ntegrated framework</w:t>
      </w:r>
      <w:r w:rsidRPr="00A50C6C">
        <w:rPr>
          <w:szCs w:val="21"/>
        </w:rPr>
        <w:t>.</w:t>
      </w:r>
      <w:r w:rsidRPr="00F21908">
        <w:rPr>
          <w:noProof/>
        </w:rPr>
        <w:t xml:space="preserve"> </w:t>
      </w:r>
    </w:p>
    <w:p w14:paraId="3C368948" w14:textId="77777777" w:rsidR="00A41BC5" w:rsidRDefault="00A41BC5" w:rsidP="00F27A21">
      <w:pPr>
        <w:rPr>
          <w:rFonts w:asciiTheme="minorHAnsi" w:hAnsiTheme="minorHAnsi"/>
          <w:color w:val="000000" w:themeColor="text1"/>
          <w:sz w:val="20"/>
        </w:rPr>
      </w:pPr>
    </w:p>
    <w:p w14:paraId="2FE153F2" w14:textId="77777777" w:rsidR="00A41BC5" w:rsidRDefault="00A41BC5" w:rsidP="00F27A21">
      <w:pPr>
        <w:rPr>
          <w:rFonts w:asciiTheme="minorHAnsi" w:hAnsiTheme="minorHAnsi"/>
          <w:color w:val="000000" w:themeColor="text1"/>
          <w:sz w:val="20"/>
        </w:rPr>
      </w:pPr>
    </w:p>
    <w:p w14:paraId="477DFFDF" w14:textId="77777777" w:rsidR="00A41BC5" w:rsidRDefault="00A41BC5" w:rsidP="00F27A21">
      <w:pPr>
        <w:rPr>
          <w:rFonts w:asciiTheme="minorHAnsi" w:hAnsiTheme="minorHAnsi"/>
          <w:color w:val="000000" w:themeColor="text1"/>
          <w:sz w:val="20"/>
        </w:rPr>
      </w:pPr>
    </w:p>
    <w:p w14:paraId="12241857" w14:textId="77777777" w:rsidR="00A41BC5" w:rsidRDefault="00A41BC5" w:rsidP="00F27A21">
      <w:pPr>
        <w:rPr>
          <w:rFonts w:asciiTheme="minorHAnsi" w:hAnsiTheme="minorHAnsi"/>
          <w:color w:val="000000" w:themeColor="text1"/>
          <w:sz w:val="20"/>
        </w:rPr>
      </w:pPr>
    </w:p>
    <w:p w14:paraId="08AFBADF" w14:textId="77777777" w:rsidR="00A41BC5" w:rsidRDefault="00A41BC5" w:rsidP="00F27A21">
      <w:pPr>
        <w:rPr>
          <w:rFonts w:asciiTheme="minorHAnsi" w:hAnsiTheme="minorHAnsi"/>
          <w:color w:val="000000" w:themeColor="text1"/>
          <w:sz w:val="20"/>
        </w:rPr>
      </w:pPr>
    </w:p>
    <w:p w14:paraId="6AC2D0A7" w14:textId="77777777" w:rsidR="00A41BC5" w:rsidRDefault="00A41BC5" w:rsidP="00F27A21">
      <w:pPr>
        <w:rPr>
          <w:rFonts w:asciiTheme="minorHAnsi" w:hAnsiTheme="minorHAnsi"/>
          <w:color w:val="000000" w:themeColor="text1"/>
          <w:sz w:val="20"/>
        </w:rPr>
      </w:pPr>
    </w:p>
    <w:p w14:paraId="4CA100D4" w14:textId="77777777" w:rsidR="00A41BC5" w:rsidRDefault="00A41BC5" w:rsidP="00F27A21">
      <w:pPr>
        <w:rPr>
          <w:rFonts w:asciiTheme="minorHAnsi" w:hAnsiTheme="minorHAnsi"/>
          <w:color w:val="000000" w:themeColor="text1"/>
          <w:sz w:val="20"/>
        </w:rPr>
      </w:pPr>
    </w:p>
    <w:p w14:paraId="302824D8" w14:textId="77777777" w:rsidR="00A41BC5" w:rsidRDefault="00A41BC5" w:rsidP="00F27A21">
      <w:pPr>
        <w:rPr>
          <w:rFonts w:asciiTheme="minorHAnsi" w:hAnsiTheme="minorHAnsi"/>
          <w:color w:val="000000" w:themeColor="text1"/>
          <w:sz w:val="20"/>
        </w:rPr>
      </w:pPr>
    </w:p>
    <w:p w14:paraId="0E74BB4E" w14:textId="77777777" w:rsidR="00A41BC5" w:rsidRDefault="00A41BC5" w:rsidP="00F27A21">
      <w:pPr>
        <w:rPr>
          <w:rFonts w:asciiTheme="minorHAnsi" w:hAnsiTheme="minorHAnsi"/>
          <w:color w:val="000000" w:themeColor="text1"/>
          <w:sz w:val="20"/>
        </w:rPr>
      </w:pPr>
    </w:p>
    <w:p w14:paraId="4B559691" w14:textId="77777777" w:rsidR="00A41BC5" w:rsidRDefault="00A41BC5" w:rsidP="00F27A21">
      <w:pPr>
        <w:rPr>
          <w:rFonts w:asciiTheme="minorHAnsi" w:hAnsiTheme="minorHAnsi"/>
          <w:color w:val="000000" w:themeColor="text1"/>
          <w:sz w:val="20"/>
        </w:rPr>
      </w:pPr>
    </w:p>
    <w:p w14:paraId="7B5D92D9" w14:textId="77777777" w:rsidR="00A41BC5" w:rsidRDefault="00A41BC5" w:rsidP="00F27A21">
      <w:pPr>
        <w:rPr>
          <w:rFonts w:asciiTheme="minorHAnsi" w:hAnsiTheme="minorHAnsi"/>
          <w:color w:val="000000" w:themeColor="text1"/>
          <w:sz w:val="20"/>
        </w:rPr>
      </w:pPr>
    </w:p>
    <w:p w14:paraId="76ABE8D4" w14:textId="77777777" w:rsidR="00C4775F" w:rsidRDefault="00C4775F" w:rsidP="00F27A21">
      <w:pPr>
        <w:rPr>
          <w:rFonts w:asciiTheme="minorHAnsi" w:hAnsiTheme="minorHAnsi"/>
          <w:color w:val="000000" w:themeColor="text1"/>
          <w:sz w:val="20"/>
        </w:rPr>
      </w:pPr>
    </w:p>
    <w:p w14:paraId="598EFF1D" w14:textId="77777777" w:rsidR="00C4775F" w:rsidRDefault="00C4775F" w:rsidP="00F27A21">
      <w:pPr>
        <w:rPr>
          <w:rFonts w:asciiTheme="minorHAnsi" w:hAnsiTheme="minorHAnsi"/>
          <w:color w:val="000000" w:themeColor="text1"/>
          <w:sz w:val="20"/>
        </w:rPr>
      </w:pPr>
    </w:p>
    <w:p w14:paraId="0AACC151" w14:textId="77777777" w:rsidR="00C4775F" w:rsidRDefault="00C4775F" w:rsidP="00F27A21">
      <w:pPr>
        <w:rPr>
          <w:rFonts w:asciiTheme="minorHAnsi" w:hAnsiTheme="minorHAnsi"/>
          <w:color w:val="000000" w:themeColor="text1"/>
          <w:sz w:val="20"/>
        </w:rPr>
      </w:pPr>
    </w:p>
    <w:p w14:paraId="5399F31D" w14:textId="77777777" w:rsidR="00C4775F" w:rsidRDefault="00C4775F" w:rsidP="00F27A21">
      <w:pPr>
        <w:rPr>
          <w:rFonts w:asciiTheme="minorHAnsi" w:hAnsiTheme="minorHAnsi"/>
          <w:color w:val="000000" w:themeColor="text1"/>
          <w:sz w:val="20"/>
        </w:rPr>
      </w:pPr>
    </w:p>
    <w:p w14:paraId="4D821087" w14:textId="77777777" w:rsidR="00C4775F" w:rsidRDefault="00C4775F" w:rsidP="00F27A21">
      <w:pPr>
        <w:rPr>
          <w:rFonts w:asciiTheme="minorHAnsi" w:hAnsiTheme="minorHAnsi"/>
          <w:color w:val="000000" w:themeColor="text1"/>
          <w:sz w:val="20"/>
        </w:rPr>
      </w:pPr>
    </w:p>
    <w:p w14:paraId="23D3A40E" w14:textId="77777777" w:rsidR="00C4775F" w:rsidRDefault="00C4775F" w:rsidP="00F27A21">
      <w:pPr>
        <w:rPr>
          <w:rFonts w:asciiTheme="minorHAnsi" w:hAnsiTheme="minorHAnsi"/>
          <w:color w:val="000000" w:themeColor="text1"/>
          <w:sz w:val="20"/>
        </w:rPr>
      </w:pPr>
    </w:p>
    <w:p w14:paraId="553B5E56" w14:textId="77777777" w:rsidR="00C4775F" w:rsidRDefault="00C4775F" w:rsidP="00F27A21">
      <w:pPr>
        <w:rPr>
          <w:rFonts w:asciiTheme="minorHAnsi" w:hAnsiTheme="minorHAnsi"/>
          <w:color w:val="000000" w:themeColor="text1"/>
          <w:sz w:val="20"/>
        </w:rPr>
      </w:pPr>
    </w:p>
    <w:p w14:paraId="619F0DE8" w14:textId="77777777" w:rsidR="00C4775F" w:rsidRDefault="00C4775F" w:rsidP="00F27A21">
      <w:pPr>
        <w:rPr>
          <w:rFonts w:asciiTheme="minorHAnsi" w:hAnsiTheme="minorHAnsi"/>
          <w:color w:val="000000" w:themeColor="text1"/>
          <w:sz w:val="20"/>
        </w:rPr>
      </w:pPr>
    </w:p>
    <w:p w14:paraId="7F5C755F" w14:textId="77777777" w:rsidR="00C4775F" w:rsidRDefault="00C4775F" w:rsidP="00F27A21">
      <w:pPr>
        <w:rPr>
          <w:rFonts w:asciiTheme="minorHAnsi" w:hAnsiTheme="minorHAnsi"/>
          <w:color w:val="000000" w:themeColor="text1"/>
          <w:sz w:val="20"/>
        </w:rPr>
      </w:pPr>
    </w:p>
    <w:p w14:paraId="28E1FAC3" w14:textId="77777777" w:rsidR="00C4775F" w:rsidRDefault="00C4775F" w:rsidP="00F27A21">
      <w:pPr>
        <w:rPr>
          <w:rFonts w:asciiTheme="minorHAnsi" w:hAnsiTheme="minorHAnsi"/>
          <w:color w:val="000000" w:themeColor="text1"/>
          <w:sz w:val="20"/>
        </w:rPr>
      </w:pPr>
    </w:p>
    <w:p w14:paraId="0FB475E1" w14:textId="77777777" w:rsidR="00C4775F" w:rsidRDefault="00C4775F" w:rsidP="00F27A21">
      <w:pPr>
        <w:rPr>
          <w:rFonts w:asciiTheme="minorHAnsi" w:hAnsiTheme="minorHAnsi"/>
          <w:color w:val="000000" w:themeColor="text1"/>
          <w:sz w:val="20"/>
        </w:rPr>
      </w:pPr>
    </w:p>
    <w:p w14:paraId="6B2E1202" w14:textId="77777777" w:rsidR="00C4775F" w:rsidRDefault="00C4775F" w:rsidP="00F27A21">
      <w:pPr>
        <w:rPr>
          <w:rFonts w:asciiTheme="minorHAnsi" w:hAnsiTheme="minorHAnsi"/>
          <w:color w:val="000000" w:themeColor="text1"/>
          <w:sz w:val="20"/>
        </w:rPr>
      </w:pPr>
    </w:p>
    <w:p w14:paraId="7CBEFEC5" w14:textId="77777777" w:rsidR="00C4775F" w:rsidRDefault="00C4775F" w:rsidP="00F27A21">
      <w:pPr>
        <w:rPr>
          <w:rFonts w:asciiTheme="minorHAnsi" w:hAnsiTheme="minorHAnsi"/>
          <w:color w:val="000000" w:themeColor="text1"/>
          <w:sz w:val="20"/>
        </w:rPr>
      </w:pPr>
    </w:p>
    <w:p w14:paraId="7FBE2208" w14:textId="77777777" w:rsidR="005A047B" w:rsidRDefault="005A047B" w:rsidP="003E2620">
      <w:pPr>
        <w:pStyle w:val="BodyText"/>
      </w:pPr>
    </w:p>
    <w:p w14:paraId="0D3FC645" w14:textId="77777777" w:rsidR="005A047B" w:rsidRDefault="005A047B" w:rsidP="003E2620">
      <w:pPr>
        <w:pStyle w:val="BodyText"/>
      </w:pPr>
    </w:p>
    <w:p w14:paraId="67E6A39A" w14:textId="77777777" w:rsidR="005A047B" w:rsidRDefault="005A047B" w:rsidP="003E2620">
      <w:pPr>
        <w:pStyle w:val="BodyText"/>
      </w:pPr>
    </w:p>
    <w:p w14:paraId="444B9B2F" w14:textId="1F5348A6" w:rsidR="005A047B" w:rsidRDefault="00A75222" w:rsidP="00A75222">
      <w:pPr>
        <w:pStyle w:val="Caption"/>
      </w:pPr>
      <w:r w:rsidRPr="00666F1E">
        <w:t xml:space="preserve">Figure </w:t>
      </w:r>
      <w:r w:rsidR="00B2112B">
        <w:fldChar w:fldCharType="begin"/>
      </w:r>
      <w:r w:rsidR="00B2112B">
        <w:instrText xml:space="preserve"> SEQ Figure \* ARABIC </w:instrText>
      </w:r>
      <w:r w:rsidR="00B2112B">
        <w:fldChar w:fldCharType="separate"/>
      </w:r>
      <w:r w:rsidRPr="00666F1E">
        <w:rPr>
          <w:noProof/>
        </w:rPr>
        <w:t>2</w:t>
      </w:r>
      <w:r w:rsidR="00B2112B">
        <w:rPr>
          <w:noProof/>
        </w:rPr>
        <w:fldChar w:fldCharType="end"/>
      </w:r>
      <w:r w:rsidRPr="00666F1E">
        <w:t>: Department of Jobs, Precincts and Regions 2020</w:t>
      </w:r>
    </w:p>
    <w:p w14:paraId="7CB016CA" w14:textId="77777777" w:rsidR="000B14B4" w:rsidRDefault="000B14B4" w:rsidP="003E2620">
      <w:pPr>
        <w:pStyle w:val="BodyText"/>
      </w:pPr>
    </w:p>
    <w:p w14:paraId="07C0920D" w14:textId="42BF0BBF" w:rsidR="000B14B4" w:rsidRDefault="00350B38" w:rsidP="00446AE3">
      <w:r w:rsidRPr="00666F1E">
        <w:rPr>
          <w:rFonts w:asciiTheme="minorHAnsi" w:hAnsiTheme="minorHAnsi"/>
          <w:color w:val="000000" w:themeColor="text1"/>
          <w:sz w:val="20"/>
        </w:rPr>
        <w:t>While t</w:t>
      </w:r>
      <w:r w:rsidR="00413B10" w:rsidRPr="00666F1E">
        <w:rPr>
          <w:rFonts w:asciiTheme="minorHAnsi" w:hAnsiTheme="minorHAnsi"/>
          <w:color w:val="000000" w:themeColor="text1"/>
          <w:sz w:val="20"/>
        </w:rPr>
        <w:t xml:space="preserve">his guide is focused on one element of </w:t>
      </w:r>
      <w:r w:rsidR="00CB2DC1" w:rsidRPr="00666F1E">
        <w:rPr>
          <w:rFonts w:asciiTheme="minorHAnsi" w:hAnsiTheme="minorHAnsi"/>
          <w:color w:val="000000" w:themeColor="text1"/>
          <w:sz w:val="20"/>
        </w:rPr>
        <w:t xml:space="preserve">the </w:t>
      </w:r>
      <w:r w:rsidR="00146A12" w:rsidRPr="00666F1E">
        <w:rPr>
          <w:rFonts w:asciiTheme="minorHAnsi" w:hAnsiTheme="minorHAnsi"/>
          <w:color w:val="000000" w:themeColor="text1"/>
          <w:sz w:val="20"/>
        </w:rPr>
        <w:t>ISPRF</w:t>
      </w:r>
      <w:r w:rsidRPr="00666F1E">
        <w:rPr>
          <w:rFonts w:asciiTheme="minorHAnsi" w:hAnsiTheme="minorHAnsi"/>
          <w:color w:val="000000" w:themeColor="text1"/>
          <w:sz w:val="20"/>
        </w:rPr>
        <w:t xml:space="preserve"> – the financial statements within an Annual Report </w:t>
      </w:r>
      <w:r w:rsidR="000A42E1" w:rsidRPr="00666F1E">
        <w:rPr>
          <w:rFonts w:asciiTheme="minorHAnsi" w:hAnsiTheme="minorHAnsi"/>
          <w:color w:val="000000" w:themeColor="text1"/>
          <w:sz w:val="20"/>
        </w:rPr>
        <w:t>–</w:t>
      </w:r>
      <w:r w:rsidRPr="00666F1E">
        <w:rPr>
          <w:rFonts w:asciiTheme="minorHAnsi" w:hAnsiTheme="minorHAnsi"/>
          <w:color w:val="000000" w:themeColor="text1"/>
          <w:sz w:val="20"/>
        </w:rPr>
        <w:t xml:space="preserve"> </w:t>
      </w:r>
      <w:r w:rsidR="000A42E1" w:rsidRPr="00666F1E">
        <w:rPr>
          <w:rFonts w:asciiTheme="minorHAnsi" w:hAnsiTheme="minorHAnsi"/>
          <w:color w:val="000000" w:themeColor="text1"/>
          <w:sz w:val="20"/>
        </w:rPr>
        <w:t xml:space="preserve">it is important to </w:t>
      </w:r>
      <w:r w:rsidR="0091063D" w:rsidRPr="00666F1E">
        <w:rPr>
          <w:rFonts w:asciiTheme="minorHAnsi" w:hAnsiTheme="minorHAnsi"/>
          <w:color w:val="000000" w:themeColor="text1"/>
          <w:sz w:val="20"/>
        </w:rPr>
        <w:t xml:space="preserve">recognise the broader framework within which </w:t>
      </w:r>
      <w:r w:rsidR="00A75222" w:rsidRPr="00666F1E">
        <w:rPr>
          <w:rFonts w:asciiTheme="minorHAnsi" w:hAnsiTheme="minorHAnsi"/>
          <w:color w:val="000000" w:themeColor="text1"/>
          <w:sz w:val="20"/>
        </w:rPr>
        <w:t>this reporting occurs.</w:t>
      </w:r>
      <w:r w:rsidR="00A75222">
        <w:rPr>
          <w:rFonts w:asciiTheme="minorHAnsi" w:hAnsiTheme="minorHAnsi"/>
          <w:color w:val="000000" w:themeColor="text1"/>
          <w:sz w:val="20"/>
        </w:rPr>
        <w:t xml:space="preserve"> </w:t>
      </w:r>
    </w:p>
    <w:p w14:paraId="1E684961" w14:textId="77777777" w:rsidR="000B14B4" w:rsidRDefault="000B14B4" w:rsidP="003E2620">
      <w:pPr>
        <w:pStyle w:val="BodyText"/>
      </w:pPr>
    </w:p>
    <w:p w14:paraId="078FD833" w14:textId="631580C8" w:rsidR="007912C5" w:rsidRDefault="007912C5" w:rsidP="0001325B">
      <w:pPr>
        <w:pStyle w:val="Heading1"/>
        <w:rPr>
          <w:rFonts w:eastAsia="Cambria"/>
        </w:rPr>
      </w:pPr>
      <w:bookmarkStart w:id="27" w:name="_Toc472421926"/>
      <w:bookmarkStart w:id="28" w:name="_Toc27478390"/>
      <w:bookmarkStart w:id="29" w:name="_Toc31200511"/>
      <w:bookmarkStart w:id="30" w:name="_Toc31630494"/>
      <w:bookmarkStart w:id="31" w:name="_Toc31630548"/>
      <w:bookmarkStart w:id="32" w:name="_Toc31631065"/>
      <w:bookmarkStart w:id="33" w:name="_Toc31631130"/>
      <w:bookmarkStart w:id="34" w:name="_Toc31631513"/>
      <w:bookmarkStart w:id="35" w:name="_Toc94527450"/>
      <w:r w:rsidRPr="001B7166">
        <w:rPr>
          <w:rFonts w:eastAsia="Cambria"/>
        </w:rPr>
        <w:lastRenderedPageBreak/>
        <w:t>Local Government Model Financial</w:t>
      </w:r>
      <w:r w:rsidR="0001325B">
        <w:rPr>
          <w:rFonts w:eastAsia="Cambria"/>
        </w:rPr>
        <w:t xml:space="preserve"> </w:t>
      </w:r>
      <w:r w:rsidRPr="001B7166">
        <w:rPr>
          <w:rFonts w:eastAsia="Cambria"/>
        </w:rPr>
        <w:t>Report (Overview)</w:t>
      </w:r>
      <w:bookmarkEnd w:id="27"/>
      <w:bookmarkEnd w:id="28"/>
      <w:bookmarkEnd w:id="29"/>
      <w:bookmarkEnd w:id="30"/>
      <w:bookmarkEnd w:id="31"/>
      <w:bookmarkEnd w:id="32"/>
      <w:bookmarkEnd w:id="33"/>
      <w:bookmarkEnd w:id="34"/>
      <w:bookmarkEnd w:id="35"/>
    </w:p>
    <w:p w14:paraId="1DD90DFF" w14:textId="2D4D1645" w:rsidR="00C57BEB" w:rsidRPr="00BE18F2" w:rsidRDefault="00442DCC" w:rsidP="00BE18F2">
      <w:pPr>
        <w:pStyle w:val="Heading2"/>
        <w:spacing w:after="0"/>
        <w:ind w:left="578" w:hanging="578"/>
        <w:rPr>
          <w:rFonts w:eastAsia="Cambria"/>
        </w:rPr>
      </w:pPr>
      <w:bookmarkStart w:id="36" w:name="_Toc472421927"/>
      <w:bookmarkStart w:id="37" w:name="_Toc27478391"/>
      <w:bookmarkStart w:id="38" w:name="_Toc31200512"/>
      <w:bookmarkStart w:id="39" w:name="_Toc31630495"/>
      <w:bookmarkStart w:id="40" w:name="_Toc31630549"/>
      <w:bookmarkStart w:id="41" w:name="_Toc31631066"/>
      <w:bookmarkStart w:id="42" w:name="_Toc31631131"/>
      <w:bookmarkStart w:id="43" w:name="_Toc31631514"/>
      <w:bookmarkStart w:id="44" w:name="_Toc94527451"/>
      <w:r w:rsidRPr="00BE18F2">
        <w:rPr>
          <w:rFonts w:eastAsia="Cambria"/>
        </w:rPr>
        <w:t xml:space="preserve">Statutory </w:t>
      </w:r>
      <w:r w:rsidR="00867D98" w:rsidRPr="00BE18F2">
        <w:rPr>
          <w:rFonts w:eastAsia="Cambria"/>
        </w:rPr>
        <w:t xml:space="preserve">and regulatory </w:t>
      </w:r>
      <w:r w:rsidRPr="00BE18F2">
        <w:rPr>
          <w:rFonts w:eastAsia="Cambria"/>
        </w:rPr>
        <w:t>requirements</w:t>
      </w:r>
      <w:bookmarkEnd w:id="36"/>
      <w:bookmarkEnd w:id="37"/>
      <w:bookmarkEnd w:id="38"/>
      <w:bookmarkEnd w:id="39"/>
      <w:bookmarkEnd w:id="40"/>
      <w:bookmarkEnd w:id="41"/>
      <w:bookmarkEnd w:id="42"/>
      <w:bookmarkEnd w:id="43"/>
      <w:bookmarkEnd w:id="44"/>
    </w:p>
    <w:p w14:paraId="64B64042" w14:textId="0D5CC91C" w:rsidR="00C57BEB" w:rsidRPr="00F70591" w:rsidRDefault="009E3754" w:rsidP="00DF594D">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pPr>
      <w:r w:rsidRPr="00F70591">
        <w:rPr>
          <w:rStyle w:val="SubtleEmphasis"/>
          <w:rFonts w:eastAsia="Cambria"/>
          <w:i w:val="0"/>
          <w:iCs w:val="0"/>
          <w:color w:val="100249" w:themeColor="accent4"/>
        </w:rPr>
        <w:t>The Act requires a council’s annual report to contain audited financial statements</w:t>
      </w:r>
    </w:p>
    <w:p w14:paraId="1DD62C2E" w14:textId="094A8709" w:rsidR="00DF00F6" w:rsidRPr="009E79FE" w:rsidRDefault="00DF00F6" w:rsidP="00DF00F6">
      <w:pPr>
        <w:pStyle w:val="BodyText"/>
      </w:pPr>
      <w:r w:rsidRPr="009E79FE">
        <w:t xml:space="preserve">Sections </w:t>
      </w:r>
      <w:r w:rsidR="009D2578">
        <w:t>98</w:t>
      </w:r>
      <w:r w:rsidRPr="009E79FE">
        <w:t xml:space="preserve">, </w:t>
      </w:r>
      <w:r w:rsidR="009D2578">
        <w:t>99</w:t>
      </w:r>
      <w:r w:rsidRPr="009E79FE">
        <w:t xml:space="preserve"> and 1</w:t>
      </w:r>
      <w:r w:rsidR="009D2578">
        <w:t>00</w:t>
      </w:r>
      <w:r w:rsidRPr="009E79FE">
        <w:t xml:space="preserve"> of the </w:t>
      </w:r>
      <w:r w:rsidR="00C64C47" w:rsidRPr="00C64C47">
        <w:rPr>
          <w:i/>
          <w:iCs/>
        </w:rPr>
        <w:t xml:space="preserve">Local Government </w:t>
      </w:r>
      <w:r w:rsidRPr="00C64C47">
        <w:rPr>
          <w:i/>
          <w:iCs/>
        </w:rPr>
        <w:t>Act</w:t>
      </w:r>
      <w:r w:rsidR="00C64C47" w:rsidRPr="00C64C47">
        <w:rPr>
          <w:i/>
          <w:iCs/>
        </w:rPr>
        <w:t xml:space="preserve"> </w:t>
      </w:r>
      <w:r w:rsidR="009D2578">
        <w:rPr>
          <w:i/>
          <w:iCs/>
        </w:rPr>
        <w:t>2020</w:t>
      </w:r>
      <w:r w:rsidRPr="009E79FE">
        <w:t xml:space="preserve"> state that: </w:t>
      </w:r>
    </w:p>
    <w:p w14:paraId="3C69A439" w14:textId="07CD9651" w:rsidR="00DF00F6" w:rsidRPr="00306793" w:rsidRDefault="00DF00F6" w:rsidP="00DF00F6">
      <w:pPr>
        <w:pStyle w:val="ListBullet"/>
        <w:ind w:left="567" w:hanging="425"/>
        <w:jc w:val="both"/>
      </w:pPr>
      <w:r w:rsidRPr="001B7166">
        <w:t xml:space="preserve">the financial statements must be prepared in accordance with the regulations and include any other information </w:t>
      </w:r>
      <w:r w:rsidR="00DC2C3C">
        <w:t>prescribed</w:t>
      </w:r>
      <w:r w:rsidRPr="001B7166">
        <w:t xml:space="preserve"> by the regulations</w:t>
      </w:r>
      <w:r>
        <w:rPr>
          <w:rStyle w:val="FootnoteReference"/>
        </w:rPr>
        <w:footnoteReference w:id="20"/>
      </w:r>
    </w:p>
    <w:p w14:paraId="678A3082" w14:textId="4636D2AF" w:rsidR="00B60F81" w:rsidRDefault="00B60F81" w:rsidP="00DF00F6">
      <w:pPr>
        <w:pStyle w:val="ListBullet"/>
        <w:ind w:left="567" w:hanging="425"/>
        <w:jc w:val="both"/>
      </w:pPr>
      <w:r>
        <w:t xml:space="preserve">the </w:t>
      </w:r>
      <w:r w:rsidR="00915FEA">
        <w:t xml:space="preserve">financial statements must be prepared by </w:t>
      </w:r>
      <w:r w:rsidR="00E438EC">
        <w:t>a Council as soon as practicable after the end of the financial year</w:t>
      </w:r>
      <w:r w:rsidR="005703F6">
        <w:rPr>
          <w:rStyle w:val="FootnoteReference"/>
        </w:rPr>
        <w:footnoteReference w:id="21"/>
      </w:r>
    </w:p>
    <w:p w14:paraId="47FA6C72" w14:textId="283E4726" w:rsidR="001B1041" w:rsidRDefault="00DF00F6" w:rsidP="00DF00F6">
      <w:pPr>
        <w:pStyle w:val="ListBullet"/>
        <w:ind w:left="567" w:hanging="425"/>
        <w:jc w:val="both"/>
      </w:pPr>
      <w:r w:rsidRPr="001B7166">
        <w:t xml:space="preserve">the financial statements must be submitted to the auditor </w:t>
      </w:r>
      <w:r w:rsidR="00B55DAF">
        <w:t xml:space="preserve">for reporting on the audit after the Council has passed a resolution giving its approval in principle </w:t>
      </w:r>
      <w:r w:rsidR="001B1041">
        <w:t>to the performance statement and financial statements</w:t>
      </w:r>
      <w:r w:rsidR="001B1041">
        <w:rPr>
          <w:rStyle w:val="FootnoteReference"/>
        </w:rPr>
        <w:footnoteReference w:id="22"/>
      </w:r>
    </w:p>
    <w:p w14:paraId="3BCDEB6F" w14:textId="17CDA321" w:rsidR="00DF00F6" w:rsidRPr="00306793" w:rsidRDefault="00CC48D1" w:rsidP="00DF00F6">
      <w:pPr>
        <w:pStyle w:val="ListBullet"/>
        <w:ind w:left="567" w:hanging="425"/>
        <w:jc w:val="both"/>
      </w:pPr>
      <w:r>
        <w:t xml:space="preserve">the financial statements must be </w:t>
      </w:r>
      <w:r w:rsidR="00DF00F6" w:rsidRPr="001B7166">
        <w:t xml:space="preserve">certified in their final form by two councillors, the CEO and </w:t>
      </w:r>
      <w:r w:rsidR="00242DF6">
        <w:t>P</w:t>
      </w:r>
      <w:r w:rsidR="00DF00F6" w:rsidRPr="001B7166">
        <w:t xml:space="preserve">rincipal </w:t>
      </w:r>
      <w:r w:rsidR="00242DF6">
        <w:t>A</w:t>
      </w:r>
      <w:r w:rsidR="00DF00F6" w:rsidRPr="001B7166">
        <w:t xml:space="preserve">ccounting </w:t>
      </w:r>
      <w:r w:rsidR="00242DF6">
        <w:t>O</w:t>
      </w:r>
      <w:r w:rsidR="00DF00F6" w:rsidRPr="001B7166">
        <w:t>fficer</w:t>
      </w:r>
      <w:r w:rsidR="00DF00F6">
        <w:rPr>
          <w:rStyle w:val="FootnoteReference"/>
        </w:rPr>
        <w:footnoteReference w:id="23"/>
      </w:r>
    </w:p>
    <w:p w14:paraId="65CDDB29" w14:textId="77777777" w:rsidR="00DF00F6" w:rsidRPr="00306793" w:rsidRDefault="00DF00F6" w:rsidP="00DF00F6">
      <w:pPr>
        <w:pStyle w:val="ListBullet"/>
        <w:ind w:left="567" w:hanging="425"/>
        <w:jc w:val="both"/>
      </w:pPr>
      <w:r w:rsidRPr="001B7166">
        <w:t>the annual report must contain a copy of the auditor’s report on the financial statements</w:t>
      </w:r>
      <w:r>
        <w:rPr>
          <w:rStyle w:val="FootnoteReference"/>
        </w:rPr>
        <w:footnoteReference w:id="24"/>
      </w:r>
    </w:p>
    <w:p w14:paraId="1599A2DA" w14:textId="67ED059E" w:rsidR="00DF00F6" w:rsidRPr="009E79FE" w:rsidRDefault="00DF00F6" w:rsidP="00DF00F6">
      <w:pPr>
        <w:pStyle w:val="BodyText"/>
      </w:pPr>
      <w:r w:rsidRPr="001B7166">
        <w:t xml:space="preserve">In addition to sections </w:t>
      </w:r>
      <w:r w:rsidR="00BB74E0">
        <w:t>98</w:t>
      </w:r>
      <w:r w:rsidRPr="001B7166">
        <w:t xml:space="preserve">, </w:t>
      </w:r>
      <w:r w:rsidR="00BB74E0">
        <w:t>99</w:t>
      </w:r>
      <w:r w:rsidRPr="001B7166">
        <w:t xml:space="preserve"> and 1</w:t>
      </w:r>
      <w:r w:rsidR="00BB74E0">
        <w:t>00</w:t>
      </w:r>
      <w:r w:rsidRPr="001B7166">
        <w:t xml:space="preserve"> of the Act, councils should review part four of the regulations for further information required in the financial statements. </w:t>
      </w:r>
    </w:p>
    <w:p w14:paraId="4E9C604D" w14:textId="01A89878" w:rsidR="009E3754" w:rsidRDefault="002154A4" w:rsidP="00DF594D">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rPr>
          <w:rFonts w:eastAsia="Cambria"/>
        </w:rPr>
      </w:pPr>
      <w:r w:rsidRPr="00F70591">
        <w:rPr>
          <w:rFonts w:eastAsia="Cambria"/>
        </w:rPr>
        <w:t>The regulations require a council’s financial statements to be prepared in accordance with the Local Government Model Financial Report</w:t>
      </w:r>
    </w:p>
    <w:p w14:paraId="4349DCFC" w14:textId="538CF6D7" w:rsidR="00613E6F" w:rsidRPr="001B7166" w:rsidRDefault="00613E6F" w:rsidP="00613E6F">
      <w:pPr>
        <w:pStyle w:val="BodyText"/>
      </w:pPr>
      <w:r w:rsidRPr="001B7166">
        <w:t>Regulation 1</w:t>
      </w:r>
      <w:r w:rsidR="00DA51CF">
        <w:t>4</w:t>
      </w:r>
      <w:r w:rsidRPr="001B7166">
        <w:t xml:space="preserve"> in part four of the </w:t>
      </w:r>
      <w:r w:rsidRPr="00613E6F">
        <w:rPr>
          <w:i/>
          <w:iCs/>
        </w:rPr>
        <w:t>Local Government (Planning and Reporting) Regulations 20</w:t>
      </w:r>
      <w:r w:rsidR="00DA51CF">
        <w:rPr>
          <w:i/>
          <w:iCs/>
        </w:rPr>
        <w:t>20</w:t>
      </w:r>
      <w:r w:rsidRPr="001B7166">
        <w:t xml:space="preserve"> state</w:t>
      </w:r>
      <w:r w:rsidR="00DA51CF">
        <w:t>s</w:t>
      </w:r>
      <w:r w:rsidRPr="001B7166">
        <w:t xml:space="preserve"> that:</w:t>
      </w:r>
    </w:p>
    <w:p w14:paraId="03AF874B" w14:textId="77777777" w:rsidR="00613E6F" w:rsidRDefault="00613E6F" w:rsidP="00613E6F">
      <w:pPr>
        <w:pStyle w:val="ListBullet"/>
        <w:ind w:left="567" w:hanging="425"/>
      </w:pPr>
      <w:r w:rsidRPr="001B7166">
        <w:t>the financial statements must be prepared in accordance with the Local Government Model Financial Report</w:t>
      </w:r>
      <w:r>
        <w:rPr>
          <w:rStyle w:val="FootnoteReference"/>
        </w:rPr>
        <w:footnoteReference w:id="25"/>
      </w:r>
    </w:p>
    <w:p w14:paraId="7FE5F041" w14:textId="77777777" w:rsidR="00613E6F" w:rsidRDefault="00613E6F" w:rsidP="00613E6F">
      <w:pPr>
        <w:pStyle w:val="ListBullet"/>
        <w:ind w:left="567" w:hanging="425"/>
      </w:pPr>
      <w:r w:rsidRPr="001B7166">
        <w:t>the financial statements must contain a statement of capital works</w:t>
      </w:r>
      <w:r>
        <w:rPr>
          <w:rStyle w:val="FootnoteReference"/>
        </w:rPr>
        <w:footnoteReference w:id="26"/>
      </w:r>
    </w:p>
    <w:p w14:paraId="333EEDAB" w14:textId="77777777" w:rsidR="00613E6F" w:rsidRPr="00306793" w:rsidRDefault="00613E6F" w:rsidP="00613E6F">
      <w:pPr>
        <w:pStyle w:val="ListBullet"/>
        <w:ind w:left="567" w:hanging="425"/>
      </w:pPr>
      <w:r w:rsidRPr="001B7166">
        <w:t>the financial statements must include specified other information as notes.</w:t>
      </w:r>
      <w:r>
        <w:rPr>
          <w:rStyle w:val="FootnoteReference"/>
        </w:rPr>
        <w:footnoteReference w:id="27"/>
      </w:r>
    </w:p>
    <w:p w14:paraId="58AE8CD4" w14:textId="77777777" w:rsidR="00311372" w:rsidRPr="00311372" w:rsidRDefault="00311372" w:rsidP="00FD75C3">
      <w:pPr>
        <w:pStyle w:val="Heading3"/>
        <w:pBdr>
          <w:top w:val="single" w:sz="12" w:space="1" w:color="62BB46" w:themeColor="accent3"/>
          <w:left w:val="single" w:sz="12" w:space="4" w:color="62BB46" w:themeColor="accent3"/>
          <w:bottom w:val="single" w:sz="12" w:space="1" w:color="62BB46" w:themeColor="accent3"/>
          <w:right w:val="single" w:sz="12" w:space="4" w:color="62BB46" w:themeColor="accent3"/>
        </w:pBdr>
      </w:pPr>
      <w:r w:rsidRPr="00311372">
        <w:rPr>
          <w:rFonts w:eastAsia="Cambria"/>
          <w:lang w:val="en-GB"/>
        </w:rPr>
        <w:t>Checklist</w:t>
      </w:r>
    </w:p>
    <w:p w14:paraId="3B5D759C" w14:textId="77777777" w:rsidR="00311372" w:rsidRPr="00311372" w:rsidRDefault="00311372" w:rsidP="00B412FF">
      <w:pPr>
        <w:pStyle w:val="BodyText"/>
        <w:rPr>
          <w:rFonts w:eastAsia="Cambria"/>
          <w:lang w:val="en-GB"/>
        </w:rPr>
      </w:pPr>
      <w:r w:rsidRPr="00311372">
        <w:rPr>
          <w:rFonts w:eastAsia="Cambria"/>
          <w:lang w:val="en-GB"/>
        </w:rPr>
        <w:t>The financial statements must:</w:t>
      </w:r>
    </w:p>
    <w:p w14:paraId="0B75BE49" w14:textId="05BF4A1F" w:rsidR="00311372" w:rsidRPr="00311372" w:rsidRDefault="00311372" w:rsidP="00B412FF">
      <w:pPr>
        <w:pStyle w:val="ListBullet2"/>
        <w:rPr>
          <w:rFonts w:eastAsia="Cambria"/>
          <w:lang w:val="en-GB"/>
        </w:rPr>
      </w:pPr>
      <w:r w:rsidRPr="00311372">
        <w:rPr>
          <w:rFonts w:eastAsia="Cambria"/>
          <w:lang w:val="en-GB"/>
        </w:rPr>
        <w:t>be prepared in accordance with the Local Government Model Financial Report including a statement of capital works</w:t>
      </w:r>
      <w:r w:rsidR="00B32FFF">
        <w:rPr>
          <w:rFonts w:eastAsia="Cambria"/>
          <w:lang w:val="en-GB"/>
        </w:rPr>
        <w:t>; and</w:t>
      </w:r>
    </w:p>
    <w:p w14:paraId="59949D71" w14:textId="49BFDA0A" w:rsidR="000770DD" w:rsidRPr="00311372" w:rsidRDefault="00311372" w:rsidP="00BE18F2">
      <w:pPr>
        <w:pStyle w:val="ListBullet2"/>
        <w:spacing w:after="0"/>
      </w:pPr>
      <w:r w:rsidRPr="00311372">
        <w:rPr>
          <w:rFonts w:eastAsia="Cambria"/>
          <w:lang w:val="en-GB"/>
        </w:rPr>
        <w:t>include other information required by the regulations</w:t>
      </w:r>
      <w:r w:rsidR="008107F7">
        <w:rPr>
          <w:rFonts w:eastAsia="Cambria"/>
          <w:lang w:val="en-GB"/>
        </w:rPr>
        <w:t>.</w:t>
      </w:r>
    </w:p>
    <w:p w14:paraId="42DD316B" w14:textId="09C8A0BF" w:rsidR="00E0730A" w:rsidRDefault="00E0730A">
      <w:pPr>
        <w:spacing w:before="0" w:line="276" w:lineRule="auto"/>
        <w:rPr>
          <w:rFonts w:eastAsia="Cambria"/>
        </w:rPr>
      </w:pPr>
      <w:r>
        <w:rPr>
          <w:rFonts w:eastAsia="Cambria"/>
        </w:rPr>
        <w:br w:type="page"/>
      </w:r>
    </w:p>
    <w:p w14:paraId="5FC4DB9E" w14:textId="002273F6" w:rsidR="00E0730A" w:rsidRPr="001B7166" w:rsidRDefault="00E0730A" w:rsidP="001A4118">
      <w:pPr>
        <w:pStyle w:val="Heading1"/>
        <w:rPr>
          <w:rFonts w:eastAsia="Cambria"/>
          <w:lang w:val="en-GB"/>
        </w:rPr>
      </w:pPr>
      <w:bookmarkStart w:id="45" w:name="_Toc27478392"/>
      <w:bookmarkStart w:id="46" w:name="_Toc31200513"/>
      <w:bookmarkStart w:id="47" w:name="_Toc31630496"/>
      <w:bookmarkStart w:id="48" w:name="_Toc31630550"/>
      <w:bookmarkStart w:id="49" w:name="_Toc31631067"/>
      <w:bookmarkStart w:id="50" w:name="_Toc31631132"/>
      <w:bookmarkStart w:id="51" w:name="_Toc31631515"/>
      <w:bookmarkStart w:id="52" w:name="_Toc94527452"/>
      <w:r w:rsidRPr="001B7166">
        <w:rPr>
          <w:rFonts w:eastAsia="Cambria"/>
          <w:lang w:val="en-GB"/>
        </w:rPr>
        <w:lastRenderedPageBreak/>
        <w:t>Local Government Mo</w:t>
      </w:r>
      <w:r w:rsidRPr="009D3199">
        <w:rPr>
          <w:rFonts w:eastAsia="Cambria"/>
          <w:lang w:val="en-GB"/>
        </w:rPr>
        <w:t xml:space="preserve">del </w:t>
      </w:r>
      <w:r w:rsidRPr="001B7166">
        <w:rPr>
          <w:rFonts w:eastAsia="Cambria"/>
          <w:lang w:val="en-GB"/>
        </w:rPr>
        <w:t>Financial Report (Guidance)</w:t>
      </w:r>
      <w:bookmarkEnd w:id="45"/>
      <w:bookmarkEnd w:id="46"/>
      <w:bookmarkEnd w:id="47"/>
      <w:bookmarkEnd w:id="48"/>
      <w:bookmarkEnd w:id="49"/>
      <w:bookmarkEnd w:id="50"/>
      <w:bookmarkEnd w:id="51"/>
      <w:bookmarkEnd w:id="52"/>
    </w:p>
    <w:p w14:paraId="386238D4" w14:textId="77777777" w:rsidR="005821DC" w:rsidRPr="0080069D" w:rsidRDefault="005821DC" w:rsidP="005821DC">
      <w:pPr>
        <w:pStyle w:val="Heading2"/>
        <w:rPr>
          <w:rFonts w:eastAsia="Cambria"/>
        </w:rPr>
      </w:pPr>
      <w:bookmarkStart w:id="53" w:name="_Toc472421929"/>
      <w:bookmarkStart w:id="54" w:name="_Toc27478393"/>
      <w:bookmarkStart w:id="55" w:name="_Toc31200514"/>
      <w:bookmarkStart w:id="56" w:name="_Toc31630497"/>
      <w:bookmarkStart w:id="57" w:name="_Toc31630551"/>
      <w:bookmarkStart w:id="58" w:name="_Toc31631068"/>
      <w:bookmarkStart w:id="59" w:name="_Toc31631133"/>
      <w:bookmarkStart w:id="60" w:name="_Toc31631516"/>
      <w:bookmarkStart w:id="61" w:name="_Toc94527453"/>
      <w:r w:rsidRPr="0080069D">
        <w:rPr>
          <w:rFonts w:eastAsia="Cambria"/>
        </w:rPr>
        <w:t>Context and development of guidance</w:t>
      </w:r>
      <w:bookmarkEnd w:id="53"/>
      <w:bookmarkEnd w:id="54"/>
      <w:bookmarkEnd w:id="55"/>
      <w:bookmarkEnd w:id="56"/>
      <w:bookmarkEnd w:id="57"/>
      <w:bookmarkEnd w:id="58"/>
      <w:bookmarkEnd w:id="59"/>
      <w:bookmarkEnd w:id="60"/>
      <w:bookmarkEnd w:id="61"/>
    </w:p>
    <w:p w14:paraId="2B2AEB51" w14:textId="3BA4579C" w:rsidR="005821DC" w:rsidRPr="00BF18BC" w:rsidRDefault="005821DC" w:rsidP="00BF18BC">
      <w:pPr>
        <w:pStyle w:val="BodyText"/>
      </w:pPr>
      <w:r w:rsidRPr="00BF18BC">
        <w:t xml:space="preserve">Under the </w:t>
      </w:r>
      <w:r w:rsidR="00FA027F" w:rsidRPr="00FA027F">
        <w:rPr>
          <w:i/>
          <w:iCs/>
        </w:rPr>
        <w:t>Local Government (Planning and Reporting) Regulations 20</w:t>
      </w:r>
      <w:r w:rsidR="00157A49">
        <w:rPr>
          <w:i/>
          <w:iCs/>
        </w:rPr>
        <w:t>20</w:t>
      </w:r>
      <w:r w:rsidRPr="00BF18BC">
        <w:t xml:space="preserve">, Local Government Model Financial Report </w:t>
      </w:r>
      <w:r w:rsidRPr="00B96CB8">
        <w:rPr>
          <w:i/>
          <w:iCs/>
        </w:rPr>
        <w:t>means</w:t>
      </w:r>
      <w:r w:rsidRPr="00E41C8A">
        <w:rPr>
          <w:i/>
          <w:iCs/>
        </w:rPr>
        <w:t xml:space="preserve"> the Local Government Model Financial Report published by the Department from time to time including on the Department’s Internet site</w:t>
      </w:r>
      <w:r w:rsidRPr="00BF18BC">
        <w:t>.</w:t>
      </w:r>
      <w:r w:rsidR="009963FB">
        <w:rPr>
          <w:rStyle w:val="FootnoteReference"/>
        </w:rPr>
        <w:footnoteReference w:id="28"/>
      </w:r>
      <w:r w:rsidRPr="00BF18BC">
        <w:t xml:space="preserve"> The LGMFR refers to the Microsoft excel workbook available on the website of the Department of </w:t>
      </w:r>
      <w:r w:rsidR="00C00618" w:rsidRPr="00BF18BC">
        <w:t>Jobs, Precincts and Regions</w:t>
      </w:r>
      <w:r w:rsidRPr="00BF18BC">
        <w:t xml:space="preserve"> (D</w:t>
      </w:r>
      <w:r w:rsidR="00C00618" w:rsidRPr="00BF18BC">
        <w:t>JPR</w:t>
      </w:r>
      <w:r w:rsidRPr="00BF18BC">
        <w:t xml:space="preserve">). This LGMFR Better Practice Guide is separate and is provided to assist preparers. </w:t>
      </w:r>
    </w:p>
    <w:p w14:paraId="28925526" w14:textId="2B97C31A" w:rsidR="005821DC" w:rsidRPr="00BF18BC" w:rsidRDefault="005821DC" w:rsidP="00BF18BC">
      <w:pPr>
        <w:pStyle w:val="BodyText"/>
      </w:pPr>
      <w:r w:rsidRPr="00BF18BC">
        <w:t xml:space="preserve">The LGMFR has been developed to illustrate as widely as possible the minimum disclosure requirements for councils. It is expected that councils will follow the format, presentation and disclosures in the LGMFR. In certain limited circumstances additional disclosures and presentation formats may be required in order to meet the requirements of AAS or report on specific local issues. The guidance </w:t>
      </w:r>
      <w:r w:rsidR="00FA027F">
        <w:t>in the LGMFR</w:t>
      </w:r>
      <w:r w:rsidRPr="00BF18BC">
        <w:t xml:space="preserve"> provides some examples of when additional disclosures and presentation formats may be required. Where disclosures illustrated in the LGMFR are not relevant to an individual council they may be omitted as appropriate.</w:t>
      </w:r>
    </w:p>
    <w:p w14:paraId="10D95AAA" w14:textId="77777777" w:rsidR="005821DC" w:rsidRPr="00C00618" w:rsidRDefault="005821DC" w:rsidP="00BF18BC">
      <w:pPr>
        <w:pStyle w:val="BodyText"/>
      </w:pPr>
      <w:r w:rsidRPr="00BF18BC">
        <w:t>It is expected that local government finance professionals exercise professional judgement in preparing their financial statements in accordance with the</w:t>
      </w:r>
      <w:r w:rsidRPr="00C00618">
        <w:t xml:space="preserve"> LGMFR.  </w:t>
      </w:r>
    </w:p>
    <w:p w14:paraId="7D77E6A6" w14:textId="19E0A1FA" w:rsidR="005821DC" w:rsidRDefault="005821DC" w:rsidP="00C00618">
      <w:pPr>
        <w:pStyle w:val="BodyText"/>
      </w:pPr>
      <w:r w:rsidRPr="00C00618">
        <w:t xml:space="preserve">The LGMFR is underpinned by seven guiding principles. </w:t>
      </w:r>
    </w:p>
    <w:bookmarkStart w:id="62" w:name="_Hlk55911333"/>
    <w:p w14:paraId="3ECBFA26" w14:textId="28B2CEAE" w:rsidR="00BF18BC" w:rsidRPr="005E00E8" w:rsidRDefault="00BF18BC" w:rsidP="00BF18BC">
      <w:pPr>
        <w:pStyle w:val="HighlightBoxText"/>
        <w:spacing w:before="40" w:after="40"/>
        <w:ind w:left="0"/>
        <w:rPr>
          <w:rStyle w:val="Strong"/>
          <w:color w:val="auto"/>
        </w:rPr>
      </w:pPr>
      <w:r w:rsidRPr="00BF18BC">
        <w:rPr>
          <w:rStyle w:val="Strong"/>
          <w:noProof/>
          <w:color w:val="auto"/>
        </w:rPr>
        <mc:AlternateContent>
          <mc:Choice Requires="wps">
            <w:drawing>
              <wp:anchor distT="45720" distB="45720" distL="114300" distR="114300" simplePos="0" relativeHeight="251658240" behindDoc="0" locked="0" layoutInCell="1" allowOverlap="1" wp14:anchorId="3AE82328" wp14:editId="60EE82C9">
                <wp:simplePos x="0" y="0"/>
                <wp:positionH relativeFrom="margin">
                  <wp:align>left</wp:align>
                </wp:positionH>
                <wp:positionV relativeFrom="paragraph">
                  <wp:posOffset>286996</wp:posOffset>
                </wp:positionV>
                <wp:extent cx="6082030" cy="3298190"/>
                <wp:effectExtent l="0" t="0" r="139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298190"/>
                        </a:xfrm>
                        <a:prstGeom prst="rect">
                          <a:avLst/>
                        </a:prstGeom>
                        <a:solidFill>
                          <a:srgbClr val="FFFFFF"/>
                        </a:solidFill>
                        <a:ln w="9525">
                          <a:solidFill>
                            <a:srgbClr val="000000"/>
                          </a:solidFill>
                          <a:miter lim="800000"/>
                          <a:headEnd/>
                          <a:tailEnd/>
                        </a:ln>
                      </wps:spPr>
                      <wps:txbx>
                        <w:txbxContent>
                          <w:p w14:paraId="732CF386" w14:textId="77777777" w:rsidR="00BE0584" w:rsidRPr="009F755C" w:rsidRDefault="00BE0584" w:rsidP="00FD75C3">
                            <w:pPr>
                              <w:pStyle w:val="BodyText"/>
                              <w:numPr>
                                <w:ilvl w:val="0"/>
                                <w:numId w:val="6"/>
                              </w:numPr>
                            </w:pPr>
                            <w:r w:rsidRPr="009F755C">
                              <w:t>The presentation of the financial statements should promote transparency and accountability of local government to stakeholders.</w:t>
                            </w:r>
                          </w:p>
                          <w:p w14:paraId="1E8761F4" w14:textId="77777777" w:rsidR="00BE0584" w:rsidRPr="009F755C" w:rsidRDefault="00BE0584" w:rsidP="00FD75C3">
                            <w:pPr>
                              <w:pStyle w:val="BodyText"/>
                              <w:numPr>
                                <w:ilvl w:val="0"/>
                                <w:numId w:val="6"/>
                              </w:numPr>
                            </w:pPr>
                            <w:r w:rsidRPr="009F755C">
                              <w:t xml:space="preserve">The pursuit of consistency in local government financial statements is important but the primary role is to recognise and report responsibly on relevant local issues.  </w:t>
                            </w:r>
                          </w:p>
                          <w:p w14:paraId="4AC5944C" w14:textId="77777777" w:rsidR="00BE0584" w:rsidRPr="009F755C" w:rsidRDefault="00BE0584" w:rsidP="00FD75C3">
                            <w:pPr>
                              <w:pStyle w:val="BodyText"/>
                              <w:numPr>
                                <w:ilvl w:val="0"/>
                                <w:numId w:val="6"/>
                              </w:numPr>
                            </w:pPr>
                            <w:r w:rsidRPr="009F755C">
                              <w:t>By law the financial statements must be prepared in accordance with the LGMFR which has been developed to illustrate as widely as possible the minimum disclosure requirements for councils.</w:t>
                            </w:r>
                          </w:p>
                          <w:p w14:paraId="18D70C77" w14:textId="77777777" w:rsidR="00BE0584" w:rsidRPr="009F755C" w:rsidRDefault="00BE0584" w:rsidP="00FD75C3">
                            <w:pPr>
                              <w:pStyle w:val="BodyText"/>
                              <w:numPr>
                                <w:ilvl w:val="0"/>
                                <w:numId w:val="6"/>
                              </w:numPr>
                            </w:pPr>
                            <w:r w:rsidRPr="009F755C">
                              <w:t>While the LGMFR is used as a basis for preparing the financial statements, subject to each council’s individual circumstances, the statements must also be an accurate and transparent representation of local issues.</w:t>
                            </w:r>
                          </w:p>
                          <w:p w14:paraId="0D05F771" w14:textId="77777777" w:rsidR="00BE0584" w:rsidRPr="009F755C" w:rsidRDefault="00BE0584" w:rsidP="00FD75C3">
                            <w:pPr>
                              <w:pStyle w:val="BodyText"/>
                              <w:numPr>
                                <w:ilvl w:val="0"/>
                                <w:numId w:val="6"/>
                              </w:numPr>
                            </w:pPr>
                            <w:r w:rsidRPr="009F755C">
                              <w:t>Local government finance professionals are in the best position to make informed decisions about the appropriateness or otherwise of relevant disclosures and the exercise of professional judgement, in excess of the minimum requirements, in preparing the financial statements.</w:t>
                            </w:r>
                          </w:p>
                          <w:p w14:paraId="38F26518" w14:textId="77777777" w:rsidR="00BE0584" w:rsidRPr="009F755C" w:rsidRDefault="00BE0584" w:rsidP="00FD75C3">
                            <w:pPr>
                              <w:pStyle w:val="BodyText"/>
                              <w:numPr>
                                <w:ilvl w:val="0"/>
                                <w:numId w:val="6"/>
                              </w:numPr>
                            </w:pPr>
                            <w:r w:rsidRPr="009F755C">
                              <w:t>In the event of any conflict between the requirements of the LGMFR and the requirements of the AAS, the requirements of the AAS take precedence.</w:t>
                            </w:r>
                          </w:p>
                          <w:p w14:paraId="2D1AC427" w14:textId="40C83A19" w:rsidR="00BE0584" w:rsidRDefault="005A7CEF" w:rsidP="005A7CEF">
                            <w:pPr>
                              <w:pStyle w:val="BodyText"/>
                              <w:numPr>
                                <w:ilvl w:val="0"/>
                                <w:numId w:val="6"/>
                              </w:numPr>
                            </w:pPr>
                            <w:r w:rsidRPr="005A7CEF">
                              <w:t xml:space="preserve">When preparing financial statements, local government finance professionals should have regard to the financial management </w:t>
                            </w:r>
                            <w:r w:rsidR="00B40E4B">
                              <w:t xml:space="preserve">principles </w:t>
                            </w:r>
                            <w:r w:rsidRPr="005A7CEF">
                              <w:t>set out in section 1</w:t>
                            </w:r>
                            <w:r w:rsidR="002E1077">
                              <w:t>01</w:t>
                            </w:r>
                            <w:r w:rsidRPr="005A7CEF">
                              <w:t xml:space="preserve"> of the </w:t>
                            </w:r>
                            <w:r w:rsidRPr="005B25E8">
                              <w:rPr>
                                <w:i/>
                                <w:iCs/>
                              </w:rPr>
                              <w:t xml:space="preserve">Local Government Act </w:t>
                            </w:r>
                            <w:r w:rsidR="002E1077">
                              <w:rPr>
                                <w:i/>
                                <w:iCs/>
                              </w:rPr>
                              <w:t>2020</w:t>
                            </w:r>
                            <w:r w:rsidRPr="005A7CE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2328" id="Text Box 2" o:spid="_x0000_s1027" type="#_x0000_t202" style="position:absolute;margin-left:0;margin-top:22.6pt;width:478.9pt;height:259.7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d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">
                <v:textbox>
                  <w:txbxContent>
                    <w:p w14:paraId="732CF386" w14:textId="77777777" w:rsidR="00BE0584" w:rsidRPr="009F755C" w:rsidRDefault="00BE0584" w:rsidP="00FD75C3">
                      <w:pPr>
                        <w:pStyle w:val="BodyText"/>
                        <w:numPr>
                          <w:ilvl w:val="0"/>
                          <w:numId w:val="6"/>
                        </w:numPr>
                      </w:pPr>
                      <w:r w:rsidRPr="009F755C">
                        <w:t>The presentation of the financial statements should promote transparency and accountability of local government to stakeholders.</w:t>
                      </w:r>
                    </w:p>
                    <w:p w14:paraId="1E8761F4" w14:textId="77777777" w:rsidR="00BE0584" w:rsidRPr="009F755C" w:rsidRDefault="00BE0584" w:rsidP="00FD75C3">
                      <w:pPr>
                        <w:pStyle w:val="BodyText"/>
                        <w:numPr>
                          <w:ilvl w:val="0"/>
                          <w:numId w:val="6"/>
                        </w:numPr>
                      </w:pPr>
                      <w:r w:rsidRPr="009F755C">
                        <w:t xml:space="preserve">The pursuit of consistency in local government financial statements is important but the primary role is to recognise and report responsibly on relevant local issues.  </w:t>
                      </w:r>
                    </w:p>
                    <w:p w14:paraId="4AC5944C" w14:textId="77777777" w:rsidR="00BE0584" w:rsidRPr="009F755C" w:rsidRDefault="00BE0584" w:rsidP="00FD75C3">
                      <w:pPr>
                        <w:pStyle w:val="BodyText"/>
                        <w:numPr>
                          <w:ilvl w:val="0"/>
                          <w:numId w:val="6"/>
                        </w:numPr>
                      </w:pPr>
                      <w:r w:rsidRPr="009F755C">
                        <w:t>By law the financial statements must be prepared in accordance with the LGMFR which has been developed to illustrate as widely as possible the minimum disclosure requirements for councils.</w:t>
                      </w:r>
                    </w:p>
                    <w:p w14:paraId="18D70C77" w14:textId="77777777" w:rsidR="00BE0584" w:rsidRPr="009F755C" w:rsidRDefault="00BE0584" w:rsidP="00FD75C3">
                      <w:pPr>
                        <w:pStyle w:val="BodyText"/>
                        <w:numPr>
                          <w:ilvl w:val="0"/>
                          <w:numId w:val="6"/>
                        </w:numPr>
                      </w:pPr>
                      <w:r w:rsidRPr="009F755C">
                        <w:t>While the LGMFR is used as a basis for preparing the financial statements, subject to each council’s individual circumstances, the statements must also be an accurate and transparent representation of local issues.</w:t>
                      </w:r>
                    </w:p>
                    <w:p w14:paraId="0D05F771" w14:textId="77777777" w:rsidR="00BE0584" w:rsidRPr="009F755C" w:rsidRDefault="00BE0584" w:rsidP="00FD75C3">
                      <w:pPr>
                        <w:pStyle w:val="BodyText"/>
                        <w:numPr>
                          <w:ilvl w:val="0"/>
                          <w:numId w:val="6"/>
                        </w:numPr>
                      </w:pPr>
                      <w:r w:rsidRPr="009F755C">
                        <w:t>Local government finance professionals are in the best position to make informed decisions about the appropriateness or otherwise of relevant disclosures and the exercise of professional judgement, in excess of the minimum requirements, in preparing the financial statements.</w:t>
                      </w:r>
                    </w:p>
                    <w:p w14:paraId="38F26518" w14:textId="77777777" w:rsidR="00BE0584" w:rsidRPr="009F755C" w:rsidRDefault="00BE0584" w:rsidP="00FD75C3">
                      <w:pPr>
                        <w:pStyle w:val="BodyText"/>
                        <w:numPr>
                          <w:ilvl w:val="0"/>
                          <w:numId w:val="6"/>
                        </w:numPr>
                      </w:pPr>
                      <w:r w:rsidRPr="009F755C">
                        <w:t>In the event of any conflict between the requirements of the LGMFR and the requirements of the AAS, the requirements of the AAS take precedence.</w:t>
                      </w:r>
                    </w:p>
                    <w:p w14:paraId="2D1AC427" w14:textId="40C83A19" w:rsidR="00BE0584" w:rsidRDefault="005A7CEF" w:rsidP="005A7CEF">
                      <w:pPr>
                        <w:pStyle w:val="BodyText"/>
                        <w:numPr>
                          <w:ilvl w:val="0"/>
                          <w:numId w:val="6"/>
                        </w:numPr>
                      </w:pPr>
                      <w:r w:rsidRPr="005A7CEF">
                        <w:t xml:space="preserve">When preparing financial statements, local government finance professionals should have regard to the financial management </w:t>
                      </w:r>
                      <w:r w:rsidR="00B40E4B">
                        <w:t xml:space="preserve">principles </w:t>
                      </w:r>
                      <w:r w:rsidRPr="005A7CEF">
                        <w:t>set out in section 1</w:t>
                      </w:r>
                      <w:r w:rsidR="002E1077">
                        <w:t>01</w:t>
                      </w:r>
                      <w:r w:rsidRPr="005A7CEF">
                        <w:t xml:space="preserve"> of the </w:t>
                      </w:r>
                      <w:r w:rsidRPr="005B25E8">
                        <w:rPr>
                          <w:i/>
                          <w:iCs/>
                        </w:rPr>
                        <w:t xml:space="preserve">Local Government Act </w:t>
                      </w:r>
                      <w:r w:rsidR="002E1077">
                        <w:rPr>
                          <w:i/>
                          <w:iCs/>
                        </w:rPr>
                        <w:t>2020</w:t>
                      </w:r>
                      <w:r w:rsidRPr="005A7CEF">
                        <w:t>.</w:t>
                      </w:r>
                    </w:p>
                  </w:txbxContent>
                </v:textbox>
                <w10:wrap type="square" anchorx="margin"/>
              </v:shape>
            </w:pict>
          </mc:Fallback>
        </mc:AlternateContent>
      </w:r>
      <w:r w:rsidRPr="005E00E8">
        <w:rPr>
          <w:rStyle w:val="Strong"/>
          <w:color w:val="auto"/>
        </w:rPr>
        <w:t>Guiding Principles</w:t>
      </w:r>
    </w:p>
    <w:bookmarkEnd w:id="62"/>
    <w:p w14:paraId="030C9430" w14:textId="2B3D33F2" w:rsidR="005B25E8" w:rsidRDefault="009E050A" w:rsidP="00701DEC">
      <w:pPr>
        <w:pStyle w:val="BodyText"/>
      </w:pPr>
      <w:r>
        <w:t>For the 202</w:t>
      </w:r>
      <w:r w:rsidR="002E1077">
        <w:t>1</w:t>
      </w:r>
      <w:r>
        <w:t>-2</w:t>
      </w:r>
      <w:r w:rsidR="002E1077">
        <w:t>2</w:t>
      </w:r>
      <w:r>
        <w:t xml:space="preserve"> reporting year the detailed guidance</w:t>
      </w:r>
      <w:r w:rsidR="00971CDB">
        <w:t xml:space="preserve"> supporting </w:t>
      </w:r>
      <w:r w:rsidR="0060429D">
        <w:t xml:space="preserve">the model accounts is located as a tab </w:t>
      </w:r>
      <w:r w:rsidR="00B675BD">
        <w:t>within the LGMFR itself. This allow</w:t>
      </w:r>
      <w:r w:rsidR="00C07A0F">
        <w:t>s</w:t>
      </w:r>
      <w:r w:rsidR="00B675BD">
        <w:t xml:space="preserve"> users to </w:t>
      </w:r>
      <w:r w:rsidR="00791559">
        <w:t>quickly access any relevant guidance from within</w:t>
      </w:r>
      <w:r w:rsidR="00F87222">
        <w:t xml:space="preserve"> the LGMFR template and includes hyperlinks for </w:t>
      </w:r>
      <w:r w:rsidR="00A816E9">
        <w:t>ease of use.</w:t>
      </w:r>
      <w:r w:rsidR="00791559">
        <w:t xml:space="preserve"> </w:t>
      </w:r>
      <w:r>
        <w:t xml:space="preserve"> </w:t>
      </w:r>
    </w:p>
    <w:p w14:paraId="4C6F46FA" w14:textId="5B7BACD1" w:rsidR="00701DEC" w:rsidRDefault="00701DEC" w:rsidP="00701DEC">
      <w:pPr>
        <w:pStyle w:val="BodyText"/>
      </w:pPr>
      <w:r w:rsidRPr="00701DEC">
        <w:t xml:space="preserve">The </w:t>
      </w:r>
      <w:r w:rsidR="00A816E9">
        <w:t xml:space="preserve">detailed </w:t>
      </w:r>
      <w:r w:rsidRPr="00701DEC">
        <w:t xml:space="preserve">guidance </w:t>
      </w:r>
      <w:r w:rsidR="00A816E9">
        <w:t xml:space="preserve">in the LGMFR </w:t>
      </w:r>
      <w:r w:rsidRPr="00701DEC">
        <w:t xml:space="preserve">is provided to assist local government finance professionals in preparing the council’s annual financial statements. For ease of referencing each piece of guidance </w:t>
      </w:r>
      <w:r w:rsidRPr="00701DEC">
        <w:lastRenderedPageBreak/>
        <w:t xml:space="preserve">has been assigned a unique number. Where applicable, references to the </w:t>
      </w:r>
      <w:r w:rsidRPr="00C02544">
        <w:rPr>
          <w:i/>
          <w:iCs/>
        </w:rPr>
        <w:t xml:space="preserve">Local Government Act </w:t>
      </w:r>
      <w:r w:rsidR="001433DC" w:rsidRPr="00C02544">
        <w:rPr>
          <w:i/>
          <w:iCs/>
        </w:rPr>
        <w:t>2020</w:t>
      </w:r>
      <w:r w:rsidRPr="00701DEC">
        <w:t>, the Local Government (Planning and Reporting) Regulations 20</w:t>
      </w:r>
      <w:r w:rsidR="001433DC">
        <w:t>20</w:t>
      </w:r>
      <w:r w:rsidRPr="00701DEC">
        <w:t>,</w:t>
      </w:r>
      <w:r w:rsidR="00C02544">
        <w:t xml:space="preserve"> the </w:t>
      </w:r>
      <w:r w:rsidR="00C02544" w:rsidRPr="001C7060">
        <w:rPr>
          <w:i/>
          <w:iCs/>
        </w:rPr>
        <w:t>Local Government Act 1989</w:t>
      </w:r>
      <w:r w:rsidR="00C02544">
        <w:t>, the Local Government (Planning and Reporting) Regulations 2014</w:t>
      </w:r>
      <w:r w:rsidR="001C7060">
        <w:t>,</w:t>
      </w:r>
      <w:r w:rsidRPr="00701DEC">
        <w:t xml:space="preserve"> Australian Accounting Standards and other authoritative pronouncements are also included.</w:t>
      </w:r>
    </w:p>
    <w:p w14:paraId="2732908D" w14:textId="77777777" w:rsidR="005906FC" w:rsidRPr="00701DEC" w:rsidRDefault="005906FC" w:rsidP="00701DEC">
      <w:pPr>
        <w:pStyle w:val="BodyText"/>
      </w:pPr>
    </w:p>
    <w:p w14:paraId="0274B835" w14:textId="351F7F4A" w:rsidR="001210CF" w:rsidRDefault="001210CF" w:rsidP="00701DEC">
      <w:pPr>
        <w:pStyle w:val="BodyText"/>
      </w:pPr>
    </w:p>
    <w:p w14:paraId="146311ED" w14:textId="77777777" w:rsidR="001210CF" w:rsidRDefault="001210CF">
      <w:pPr>
        <w:spacing w:before="0" w:line="276" w:lineRule="auto"/>
        <w:rPr>
          <w:rFonts w:asciiTheme="minorHAnsi" w:hAnsiTheme="minorHAnsi"/>
          <w:color w:val="000000" w:themeColor="text1"/>
          <w:sz w:val="20"/>
        </w:rPr>
      </w:pPr>
      <w:r>
        <w:br w:type="page"/>
      </w:r>
    </w:p>
    <w:p w14:paraId="799B09A7" w14:textId="77777777" w:rsidR="001210CF" w:rsidRPr="00E85A8D" w:rsidRDefault="001210CF" w:rsidP="007C6838">
      <w:pPr>
        <w:pStyle w:val="Heading1"/>
        <w:rPr>
          <w:rFonts w:eastAsia="Cambria"/>
        </w:rPr>
      </w:pPr>
      <w:bookmarkStart w:id="63" w:name="_Toc27478445"/>
      <w:bookmarkStart w:id="64" w:name="_Toc31630498"/>
      <w:bookmarkStart w:id="65" w:name="_Toc31630552"/>
      <w:bookmarkStart w:id="66" w:name="_Toc31631072"/>
      <w:bookmarkStart w:id="67" w:name="_Toc31631134"/>
      <w:bookmarkStart w:id="68" w:name="_Toc31631568"/>
      <w:bookmarkStart w:id="69" w:name="_Toc94527454"/>
      <w:r w:rsidRPr="001B7166">
        <w:rPr>
          <w:rFonts w:eastAsia="Cambria"/>
        </w:rPr>
        <w:lastRenderedPageBreak/>
        <w:t>Glossary</w:t>
      </w:r>
      <w:bookmarkEnd w:id="63"/>
      <w:bookmarkEnd w:id="64"/>
      <w:bookmarkEnd w:id="65"/>
      <w:bookmarkEnd w:id="66"/>
      <w:bookmarkEnd w:id="67"/>
      <w:bookmarkEnd w:id="68"/>
      <w:bookmarkEnd w:id="69"/>
    </w:p>
    <w:tbl>
      <w:tblPr>
        <w:tblW w:w="9781" w:type="dxa"/>
        <w:tblInd w:w="80" w:type="dxa"/>
        <w:tblLayout w:type="fixed"/>
        <w:tblCellMar>
          <w:left w:w="0" w:type="dxa"/>
          <w:right w:w="0" w:type="dxa"/>
        </w:tblCellMar>
        <w:tblLook w:val="0000" w:firstRow="0" w:lastRow="0" w:firstColumn="0" w:lastColumn="0" w:noHBand="0" w:noVBand="0"/>
      </w:tblPr>
      <w:tblGrid>
        <w:gridCol w:w="2694"/>
        <w:gridCol w:w="7087"/>
      </w:tblGrid>
      <w:tr w:rsidR="007E388D" w:rsidRPr="003126D9" w14:paraId="2AC25701" w14:textId="77777777" w:rsidTr="000B0D70">
        <w:trPr>
          <w:trHeight w:val="60"/>
        </w:trPr>
        <w:tc>
          <w:tcPr>
            <w:tcW w:w="2694" w:type="dxa"/>
            <w:tcMar>
              <w:top w:w="57" w:type="dxa"/>
              <w:left w:w="80" w:type="dxa"/>
              <w:bottom w:w="57" w:type="dxa"/>
              <w:right w:w="80" w:type="dxa"/>
            </w:tcMar>
          </w:tcPr>
          <w:p w14:paraId="6494EEC0" w14:textId="77777777" w:rsidR="007E388D" w:rsidRPr="003126D9" w:rsidRDefault="007E388D" w:rsidP="00BE0584">
            <w:pPr>
              <w:pStyle w:val="BodyText"/>
              <w:rPr>
                <w:rFonts w:ascii="Calibri" w:hAnsi="Calibri" w:cs="Calibri"/>
                <w:b/>
              </w:rPr>
            </w:pPr>
            <w:r w:rsidRPr="003126D9">
              <w:rPr>
                <w:b/>
              </w:rPr>
              <w:t>Act</w:t>
            </w:r>
          </w:p>
        </w:tc>
        <w:tc>
          <w:tcPr>
            <w:tcW w:w="7087" w:type="dxa"/>
            <w:tcMar>
              <w:top w:w="57" w:type="dxa"/>
              <w:left w:w="80" w:type="dxa"/>
              <w:bottom w:w="57" w:type="dxa"/>
              <w:right w:w="80" w:type="dxa"/>
            </w:tcMar>
          </w:tcPr>
          <w:p w14:paraId="409838A8" w14:textId="0CBD55E7" w:rsidR="007E388D" w:rsidRPr="007E388D" w:rsidRDefault="007E388D" w:rsidP="007E388D">
            <w:pPr>
              <w:pStyle w:val="BodyText"/>
            </w:pPr>
            <w:r w:rsidRPr="007E388D">
              <w:t xml:space="preserve">means the Local Government Act </w:t>
            </w:r>
            <w:r w:rsidR="009970B8">
              <w:t>2020</w:t>
            </w:r>
          </w:p>
        </w:tc>
      </w:tr>
      <w:tr w:rsidR="007E388D" w:rsidRPr="003126D9" w14:paraId="519768AA" w14:textId="77777777" w:rsidTr="000B0D70">
        <w:trPr>
          <w:trHeight w:val="60"/>
        </w:trPr>
        <w:tc>
          <w:tcPr>
            <w:tcW w:w="2694" w:type="dxa"/>
            <w:tcMar>
              <w:top w:w="57" w:type="dxa"/>
              <w:left w:w="80" w:type="dxa"/>
              <w:bottom w:w="57" w:type="dxa"/>
              <w:right w:w="80" w:type="dxa"/>
            </w:tcMar>
          </w:tcPr>
          <w:p w14:paraId="7C909042" w14:textId="77777777" w:rsidR="007E388D" w:rsidRPr="003126D9" w:rsidRDefault="007E388D" w:rsidP="00BE0584">
            <w:pPr>
              <w:pStyle w:val="BodyText"/>
              <w:rPr>
                <w:rFonts w:ascii="Calibri" w:hAnsi="Calibri" w:cs="Calibri"/>
                <w:b/>
              </w:rPr>
            </w:pPr>
            <w:r w:rsidRPr="003126D9">
              <w:rPr>
                <w:b/>
              </w:rPr>
              <w:t>Annual report</w:t>
            </w:r>
          </w:p>
        </w:tc>
        <w:tc>
          <w:tcPr>
            <w:tcW w:w="7087" w:type="dxa"/>
            <w:tcMar>
              <w:top w:w="57" w:type="dxa"/>
              <w:left w:w="80" w:type="dxa"/>
              <w:bottom w:w="57" w:type="dxa"/>
              <w:right w:w="80" w:type="dxa"/>
            </w:tcMar>
          </w:tcPr>
          <w:p w14:paraId="50FB3E71" w14:textId="77777777" w:rsidR="007E388D" w:rsidRPr="007E388D" w:rsidRDefault="007E388D" w:rsidP="007E388D">
            <w:pPr>
              <w:pStyle w:val="BodyText"/>
            </w:pPr>
            <w:r w:rsidRPr="007E388D">
              <w:t>means a report of the council’s operations of the previous financial year and contains a report of operations, audited financial statements and an audited performance statement</w:t>
            </w:r>
          </w:p>
        </w:tc>
      </w:tr>
      <w:tr w:rsidR="007E388D" w:rsidRPr="003126D9" w14:paraId="483BABCE" w14:textId="77777777" w:rsidTr="000B0D70">
        <w:trPr>
          <w:trHeight w:val="475"/>
        </w:trPr>
        <w:tc>
          <w:tcPr>
            <w:tcW w:w="2694" w:type="dxa"/>
            <w:tcMar>
              <w:top w:w="57" w:type="dxa"/>
              <w:left w:w="80" w:type="dxa"/>
              <w:bottom w:w="57" w:type="dxa"/>
              <w:right w:w="80" w:type="dxa"/>
            </w:tcMar>
          </w:tcPr>
          <w:p w14:paraId="38972603" w14:textId="77777777" w:rsidR="007E388D" w:rsidRPr="003126D9" w:rsidRDefault="007E388D" w:rsidP="00BE0584">
            <w:pPr>
              <w:pStyle w:val="BodyText"/>
              <w:rPr>
                <w:rFonts w:ascii="Calibri" w:hAnsi="Calibri" w:cs="Calibri"/>
                <w:b/>
              </w:rPr>
            </w:pPr>
            <w:r w:rsidRPr="003126D9">
              <w:rPr>
                <w:b/>
              </w:rPr>
              <w:t>Australian Accounting Standards (AAS)</w:t>
            </w:r>
          </w:p>
        </w:tc>
        <w:tc>
          <w:tcPr>
            <w:tcW w:w="7087" w:type="dxa"/>
            <w:tcMar>
              <w:top w:w="57" w:type="dxa"/>
              <w:left w:w="80" w:type="dxa"/>
              <w:bottom w:w="57" w:type="dxa"/>
              <w:right w:w="80" w:type="dxa"/>
            </w:tcMar>
          </w:tcPr>
          <w:p w14:paraId="199A1C48" w14:textId="77777777" w:rsidR="007E388D" w:rsidRPr="007E388D" w:rsidRDefault="007E388D" w:rsidP="007E388D">
            <w:pPr>
              <w:pStyle w:val="BodyText"/>
            </w:pPr>
            <w:r w:rsidRPr="007E388D">
              <w:t>means the accounting standards published by the Australian Accounting Standards Board</w:t>
            </w:r>
          </w:p>
        </w:tc>
      </w:tr>
      <w:tr w:rsidR="007E388D" w:rsidRPr="003126D9" w14:paraId="240931A5" w14:textId="77777777" w:rsidTr="000B0D70">
        <w:trPr>
          <w:trHeight w:val="60"/>
        </w:trPr>
        <w:tc>
          <w:tcPr>
            <w:tcW w:w="2694" w:type="dxa"/>
            <w:tcMar>
              <w:top w:w="57" w:type="dxa"/>
              <w:left w:w="80" w:type="dxa"/>
              <w:bottom w:w="57" w:type="dxa"/>
              <w:right w:w="80" w:type="dxa"/>
            </w:tcMar>
          </w:tcPr>
          <w:p w14:paraId="343AD9C6" w14:textId="77777777" w:rsidR="007E388D" w:rsidRPr="003126D9" w:rsidRDefault="007E388D" w:rsidP="00BE0584">
            <w:pPr>
              <w:pStyle w:val="BodyText"/>
              <w:rPr>
                <w:rFonts w:ascii="Calibri" w:hAnsi="Calibri" w:cs="Calibri"/>
                <w:b/>
              </w:rPr>
            </w:pPr>
            <w:r w:rsidRPr="003126D9">
              <w:rPr>
                <w:b/>
              </w:rPr>
              <w:t>Better practice</w:t>
            </w:r>
          </w:p>
        </w:tc>
        <w:tc>
          <w:tcPr>
            <w:tcW w:w="7087" w:type="dxa"/>
            <w:tcMar>
              <w:top w:w="57" w:type="dxa"/>
              <w:left w:w="80" w:type="dxa"/>
              <w:bottom w:w="57" w:type="dxa"/>
              <w:right w:w="80" w:type="dxa"/>
            </w:tcMar>
          </w:tcPr>
          <w:p w14:paraId="50C155E6" w14:textId="77777777" w:rsidR="007E388D" w:rsidRPr="007E388D" w:rsidRDefault="007E388D" w:rsidP="007E388D">
            <w:pPr>
              <w:pStyle w:val="BodyText"/>
            </w:pPr>
            <w:r w:rsidRPr="007E388D">
              <w:t>means that in the absence of legislation or a relevant Australian Accounting Standard this commentary is considered by Local Government Victoria to reflect better practice reporting</w:t>
            </w:r>
          </w:p>
        </w:tc>
      </w:tr>
      <w:tr w:rsidR="007E388D" w:rsidRPr="003126D9" w14:paraId="5DFDFD8B" w14:textId="77777777" w:rsidTr="000B0D70">
        <w:trPr>
          <w:trHeight w:val="60"/>
        </w:trPr>
        <w:tc>
          <w:tcPr>
            <w:tcW w:w="2694" w:type="dxa"/>
            <w:tcMar>
              <w:top w:w="57" w:type="dxa"/>
              <w:left w:w="80" w:type="dxa"/>
              <w:bottom w:w="57" w:type="dxa"/>
              <w:right w:w="80" w:type="dxa"/>
            </w:tcMar>
          </w:tcPr>
          <w:p w14:paraId="0FC25FA9" w14:textId="77777777" w:rsidR="007E388D" w:rsidRPr="003126D9" w:rsidRDefault="007E388D" w:rsidP="00BE0584">
            <w:pPr>
              <w:pStyle w:val="BodyText"/>
              <w:rPr>
                <w:rFonts w:ascii="Calibri" w:hAnsi="Calibri" w:cs="Calibri"/>
                <w:b/>
              </w:rPr>
            </w:pPr>
            <w:r w:rsidRPr="003126D9">
              <w:rPr>
                <w:b/>
              </w:rPr>
              <w:t>Budget</w:t>
            </w:r>
          </w:p>
        </w:tc>
        <w:tc>
          <w:tcPr>
            <w:tcW w:w="7087" w:type="dxa"/>
            <w:tcMar>
              <w:top w:w="57" w:type="dxa"/>
              <w:left w:w="80" w:type="dxa"/>
              <w:bottom w:w="57" w:type="dxa"/>
              <w:right w:w="80" w:type="dxa"/>
            </w:tcMar>
          </w:tcPr>
          <w:p w14:paraId="2EDC8C45" w14:textId="18908035" w:rsidR="007E388D" w:rsidRPr="007E388D" w:rsidRDefault="007E388D" w:rsidP="007E388D">
            <w:pPr>
              <w:pStyle w:val="BodyText"/>
            </w:pPr>
            <w:r w:rsidRPr="007E388D">
              <w:t xml:space="preserve">means a plan setting out the services and initiatives to be funded for the financial year </w:t>
            </w:r>
            <w:r w:rsidR="00134843">
              <w:t xml:space="preserve">and the subsequent 3 financial years </w:t>
            </w:r>
            <w:r w:rsidRPr="007E388D">
              <w:t>and how they will contribute to achieving the strategic objectives specified in the council plan</w:t>
            </w:r>
          </w:p>
        </w:tc>
      </w:tr>
      <w:tr w:rsidR="007E388D" w:rsidRPr="003126D9" w14:paraId="05548291" w14:textId="77777777" w:rsidTr="000B0D70">
        <w:trPr>
          <w:trHeight w:val="60"/>
        </w:trPr>
        <w:tc>
          <w:tcPr>
            <w:tcW w:w="2694" w:type="dxa"/>
            <w:tcMar>
              <w:top w:w="57" w:type="dxa"/>
              <w:left w:w="80" w:type="dxa"/>
              <w:bottom w:w="57" w:type="dxa"/>
              <w:right w:w="80" w:type="dxa"/>
            </w:tcMar>
          </w:tcPr>
          <w:p w14:paraId="73F4AC76" w14:textId="77777777" w:rsidR="007E388D" w:rsidRPr="003126D9" w:rsidRDefault="007E388D" w:rsidP="00BE0584">
            <w:pPr>
              <w:pStyle w:val="BodyText"/>
              <w:rPr>
                <w:rFonts w:ascii="Calibri" w:hAnsi="Calibri" w:cs="Calibri"/>
                <w:b/>
              </w:rPr>
            </w:pPr>
            <w:r w:rsidRPr="003126D9">
              <w:rPr>
                <w:b/>
              </w:rPr>
              <w:t>Council plan</w:t>
            </w:r>
          </w:p>
        </w:tc>
        <w:tc>
          <w:tcPr>
            <w:tcW w:w="7087" w:type="dxa"/>
            <w:tcMar>
              <w:top w:w="57" w:type="dxa"/>
              <w:left w:w="80" w:type="dxa"/>
              <w:bottom w:w="57" w:type="dxa"/>
              <w:right w:w="80" w:type="dxa"/>
            </w:tcMar>
          </w:tcPr>
          <w:p w14:paraId="0C892B73" w14:textId="180F122D" w:rsidR="007E388D" w:rsidRPr="007E388D" w:rsidRDefault="007E388D" w:rsidP="007E388D">
            <w:pPr>
              <w:pStyle w:val="BodyText"/>
            </w:pPr>
            <w:r w:rsidRPr="007E388D">
              <w:t xml:space="preserve">means a plan setting out the medium-term strategic objectives, strategies, strategic indicators and resources reflecting </w:t>
            </w:r>
            <w:r w:rsidR="00DF4376">
              <w:t xml:space="preserve">the </w:t>
            </w:r>
            <w:r w:rsidRPr="007E388D">
              <w:t>vision and aspirations of the community for the next four years</w:t>
            </w:r>
          </w:p>
        </w:tc>
      </w:tr>
      <w:tr w:rsidR="007E388D" w:rsidRPr="003126D9" w14:paraId="4908EB3D" w14:textId="77777777" w:rsidTr="000B0D70">
        <w:trPr>
          <w:trHeight w:val="60"/>
        </w:trPr>
        <w:tc>
          <w:tcPr>
            <w:tcW w:w="2694" w:type="dxa"/>
            <w:tcMar>
              <w:top w:w="57" w:type="dxa"/>
              <w:left w:w="80" w:type="dxa"/>
              <w:bottom w:w="57" w:type="dxa"/>
              <w:right w:w="80" w:type="dxa"/>
            </w:tcMar>
          </w:tcPr>
          <w:p w14:paraId="1621B976" w14:textId="77777777" w:rsidR="007E388D" w:rsidRPr="003126D9" w:rsidRDefault="007E388D" w:rsidP="00BE0584">
            <w:pPr>
              <w:pStyle w:val="BodyText"/>
              <w:rPr>
                <w:rFonts w:ascii="Calibri" w:hAnsi="Calibri" w:cs="Calibri"/>
                <w:b/>
              </w:rPr>
            </w:pPr>
            <w:r w:rsidRPr="003126D9">
              <w:rPr>
                <w:b/>
              </w:rPr>
              <w:t xml:space="preserve">Financial statements </w:t>
            </w:r>
          </w:p>
        </w:tc>
        <w:tc>
          <w:tcPr>
            <w:tcW w:w="7087" w:type="dxa"/>
            <w:tcMar>
              <w:top w:w="57" w:type="dxa"/>
              <w:left w:w="80" w:type="dxa"/>
              <w:bottom w:w="57" w:type="dxa"/>
              <w:right w:w="80" w:type="dxa"/>
            </w:tcMar>
          </w:tcPr>
          <w:p w14:paraId="26D4B3F8" w14:textId="77777777" w:rsidR="007E388D" w:rsidRPr="007E388D" w:rsidRDefault="007E388D" w:rsidP="007E388D">
            <w:pPr>
              <w:pStyle w:val="BodyText"/>
            </w:pPr>
            <w:r w:rsidRPr="007E388D">
              <w:t>means the financial statements and notes prepared in accordance with the Local Government Model Financial Report, Australian Accounting Standards and other applicable standards as they apply to the general purpose financial reports and statement of capital works, included in the annual report</w:t>
            </w:r>
          </w:p>
        </w:tc>
      </w:tr>
      <w:tr w:rsidR="007E388D" w:rsidRPr="003126D9" w14:paraId="2DBE478D" w14:textId="77777777" w:rsidTr="000B0D70">
        <w:trPr>
          <w:trHeight w:val="225"/>
        </w:trPr>
        <w:tc>
          <w:tcPr>
            <w:tcW w:w="2694" w:type="dxa"/>
            <w:tcMar>
              <w:top w:w="57" w:type="dxa"/>
              <w:left w:w="80" w:type="dxa"/>
              <w:bottom w:w="57" w:type="dxa"/>
              <w:right w:w="80" w:type="dxa"/>
            </w:tcMar>
          </w:tcPr>
          <w:p w14:paraId="76355B33" w14:textId="77777777" w:rsidR="007E388D" w:rsidRPr="003126D9" w:rsidRDefault="007E388D" w:rsidP="00BE0584">
            <w:pPr>
              <w:pStyle w:val="BodyText"/>
              <w:rPr>
                <w:b/>
              </w:rPr>
            </w:pPr>
            <w:r w:rsidRPr="003126D9">
              <w:rPr>
                <w:b/>
              </w:rPr>
              <w:t>Financial year</w:t>
            </w:r>
          </w:p>
        </w:tc>
        <w:tc>
          <w:tcPr>
            <w:tcW w:w="7087" w:type="dxa"/>
            <w:tcMar>
              <w:top w:w="57" w:type="dxa"/>
              <w:left w:w="80" w:type="dxa"/>
              <w:bottom w:w="57" w:type="dxa"/>
              <w:right w:w="80" w:type="dxa"/>
            </w:tcMar>
          </w:tcPr>
          <w:p w14:paraId="77F89DC6" w14:textId="77777777" w:rsidR="007E388D" w:rsidRPr="007E388D" w:rsidRDefault="007E388D" w:rsidP="007E388D">
            <w:pPr>
              <w:pStyle w:val="BodyText"/>
            </w:pPr>
            <w:r w:rsidRPr="007E388D">
              <w:t>means the period of 12 months ending on 30 June each year</w:t>
            </w:r>
          </w:p>
          <w:p w14:paraId="17C9A4A7" w14:textId="77777777" w:rsidR="007E388D" w:rsidRPr="007E388D" w:rsidRDefault="007E388D" w:rsidP="007E388D">
            <w:pPr>
              <w:pStyle w:val="BodyText"/>
            </w:pPr>
          </w:p>
        </w:tc>
      </w:tr>
      <w:tr w:rsidR="007E388D" w:rsidRPr="003126D9" w14:paraId="6A35188D" w14:textId="77777777" w:rsidTr="000B0D70">
        <w:trPr>
          <w:trHeight w:val="225"/>
        </w:trPr>
        <w:tc>
          <w:tcPr>
            <w:tcW w:w="2694" w:type="dxa"/>
            <w:tcMar>
              <w:top w:w="57" w:type="dxa"/>
              <w:left w:w="80" w:type="dxa"/>
              <w:bottom w:w="57" w:type="dxa"/>
              <w:right w:w="80" w:type="dxa"/>
            </w:tcMar>
          </w:tcPr>
          <w:p w14:paraId="77CBBE7E" w14:textId="77777777" w:rsidR="007E388D" w:rsidRPr="003126D9" w:rsidRDefault="007E388D" w:rsidP="00BE0584">
            <w:pPr>
              <w:pStyle w:val="BodyText"/>
              <w:rPr>
                <w:b/>
              </w:rPr>
            </w:pPr>
            <w:r w:rsidRPr="003126D9">
              <w:rPr>
                <w:b/>
              </w:rPr>
              <w:t>Heritage asset</w:t>
            </w:r>
          </w:p>
        </w:tc>
        <w:tc>
          <w:tcPr>
            <w:tcW w:w="7087" w:type="dxa"/>
            <w:tcMar>
              <w:top w:w="57" w:type="dxa"/>
              <w:left w:w="80" w:type="dxa"/>
              <w:bottom w:w="57" w:type="dxa"/>
              <w:right w:w="80" w:type="dxa"/>
            </w:tcMar>
          </w:tcPr>
          <w:p w14:paraId="5E57D28B" w14:textId="4D9D3A0E" w:rsidR="00FA000A" w:rsidRPr="007E388D" w:rsidRDefault="007E388D" w:rsidP="007E388D">
            <w:pPr>
              <w:pStyle w:val="BodyText"/>
            </w:pPr>
            <w:r w:rsidRPr="005847AD">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7E388D" w:rsidRPr="003126D9" w14:paraId="0C49FC79" w14:textId="77777777" w:rsidTr="000B0D70">
        <w:trPr>
          <w:trHeight w:val="233"/>
        </w:trPr>
        <w:tc>
          <w:tcPr>
            <w:tcW w:w="2694" w:type="dxa"/>
            <w:tcMar>
              <w:top w:w="57" w:type="dxa"/>
              <w:left w:w="80" w:type="dxa"/>
              <w:bottom w:w="57" w:type="dxa"/>
              <w:right w:w="80" w:type="dxa"/>
            </w:tcMar>
          </w:tcPr>
          <w:p w14:paraId="11FBD54F" w14:textId="77777777" w:rsidR="007E388D" w:rsidRPr="003126D9" w:rsidRDefault="007E388D" w:rsidP="00BE0584">
            <w:pPr>
              <w:pStyle w:val="BodyText"/>
              <w:rPr>
                <w:rFonts w:ascii="Calibri" w:hAnsi="Calibri" w:cs="Calibri"/>
                <w:b/>
              </w:rPr>
            </w:pPr>
            <w:r w:rsidRPr="003126D9">
              <w:rPr>
                <w:b/>
              </w:rPr>
              <w:t>Minister</w:t>
            </w:r>
          </w:p>
        </w:tc>
        <w:tc>
          <w:tcPr>
            <w:tcW w:w="7087" w:type="dxa"/>
            <w:tcMar>
              <w:top w:w="57" w:type="dxa"/>
              <w:left w:w="80" w:type="dxa"/>
              <w:bottom w:w="57" w:type="dxa"/>
              <w:right w:w="80" w:type="dxa"/>
            </w:tcMar>
          </w:tcPr>
          <w:p w14:paraId="0532E363" w14:textId="77777777" w:rsidR="007E388D" w:rsidRPr="007E388D" w:rsidRDefault="007E388D" w:rsidP="007E388D">
            <w:pPr>
              <w:pStyle w:val="BodyText"/>
            </w:pPr>
            <w:r w:rsidRPr="007E388D">
              <w:t>means the Minister for Local Government</w:t>
            </w:r>
          </w:p>
        </w:tc>
      </w:tr>
      <w:tr w:rsidR="007E388D" w:rsidRPr="003126D9" w14:paraId="5E4DEB0F" w14:textId="77777777" w:rsidTr="000B0D70">
        <w:trPr>
          <w:trHeight w:val="60"/>
        </w:trPr>
        <w:tc>
          <w:tcPr>
            <w:tcW w:w="2694" w:type="dxa"/>
            <w:tcMar>
              <w:top w:w="57" w:type="dxa"/>
              <w:left w:w="80" w:type="dxa"/>
              <w:bottom w:w="57" w:type="dxa"/>
              <w:right w:w="80" w:type="dxa"/>
            </w:tcMar>
          </w:tcPr>
          <w:p w14:paraId="0D676795" w14:textId="77777777" w:rsidR="007E388D" w:rsidRPr="003126D9" w:rsidRDefault="007E388D" w:rsidP="00BE0584">
            <w:pPr>
              <w:pStyle w:val="BodyText"/>
              <w:rPr>
                <w:rFonts w:ascii="Calibri" w:hAnsi="Calibri" w:cs="Calibri"/>
                <w:b/>
              </w:rPr>
            </w:pPr>
            <w:r w:rsidRPr="003126D9">
              <w:rPr>
                <w:b/>
              </w:rPr>
              <w:t>Performance statement</w:t>
            </w:r>
          </w:p>
        </w:tc>
        <w:tc>
          <w:tcPr>
            <w:tcW w:w="7087" w:type="dxa"/>
            <w:tcMar>
              <w:top w:w="57" w:type="dxa"/>
              <w:left w:w="80" w:type="dxa"/>
              <w:bottom w:w="57" w:type="dxa"/>
              <w:right w:w="80" w:type="dxa"/>
            </w:tcMar>
          </w:tcPr>
          <w:p w14:paraId="52FD6664" w14:textId="196F7128" w:rsidR="007E388D" w:rsidRPr="007E388D" w:rsidRDefault="007E388D" w:rsidP="007E388D">
            <w:pPr>
              <w:pStyle w:val="BodyText"/>
            </w:pPr>
            <w:r w:rsidRPr="007E388D">
              <w:t xml:space="preserve">means a statement including the results of the prescribed service </w:t>
            </w:r>
            <w:r w:rsidR="0039513D">
              <w:t>performance</w:t>
            </w:r>
            <w:r w:rsidRPr="007E388D">
              <w:t xml:space="preserve"> indicators, financial performance indicators and sustainable capacity </w:t>
            </w:r>
            <w:r w:rsidR="00E64D3C">
              <w:t xml:space="preserve">performance </w:t>
            </w:r>
            <w:r w:rsidRPr="007E388D">
              <w:t>indicators for the financial year and included in the annual report</w:t>
            </w:r>
          </w:p>
        </w:tc>
      </w:tr>
      <w:tr w:rsidR="007E388D" w:rsidRPr="003126D9" w14:paraId="4AD21B2B" w14:textId="77777777" w:rsidTr="000B0D70">
        <w:trPr>
          <w:trHeight w:val="60"/>
        </w:trPr>
        <w:tc>
          <w:tcPr>
            <w:tcW w:w="2694" w:type="dxa"/>
            <w:tcMar>
              <w:top w:w="57" w:type="dxa"/>
              <w:left w:w="80" w:type="dxa"/>
              <w:bottom w:w="57" w:type="dxa"/>
              <w:right w:w="80" w:type="dxa"/>
            </w:tcMar>
          </w:tcPr>
          <w:p w14:paraId="6E3F8B64" w14:textId="16B75822" w:rsidR="007E388D" w:rsidRPr="003126D9" w:rsidRDefault="00A1241B" w:rsidP="00BE0584">
            <w:pPr>
              <w:pStyle w:val="BodyText"/>
              <w:rPr>
                <w:rFonts w:ascii="Calibri" w:hAnsi="Calibri" w:cs="Calibri"/>
                <w:b/>
              </w:rPr>
            </w:pPr>
            <w:r>
              <w:rPr>
                <w:b/>
              </w:rPr>
              <w:t>Integrated Strategic Planning and Reporting</w:t>
            </w:r>
            <w:r w:rsidR="007E388D" w:rsidRPr="003126D9">
              <w:rPr>
                <w:b/>
              </w:rPr>
              <w:t xml:space="preserve"> </w:t>
            </w:r>
            <w:r>
              <w:rPr>
                <w:b/>
              </w:rPr>
              <w:t>F</w:t>
            </w:r>
            <w:r w:rsidR="007E388D" w:rsidRPr="003126D9">
              <w:rPr>
                <w:b/>
              </w:rPr>
              <w:t>ramework</w:t>
            </w:r>
          </w:p>
        </w:tc>
        <w:tc>
          <w:tcPr>
            <w:tcW w:w="7087" w:type="dxa"/>
            <w:tcMar>
              <w:top w:w="57" w:type="dxa"/>
              <w:left w:w="80" w:type="dxa"/>
              <w:bottom w:w="57" w:type="dxa"/>
              <w:right w:w="80" w:type="dxa"/>
            </w:tcMar>
          </w:tcPr>
          <w:p w14:paraId="16D37F94" w14:textId="7A8C42EC" w:rsidR="007E388D" w:rsidRPr="007E388D" w:rsidRDefault="007E388D" w:rsidP="007E388D">
            <w:pPr>
              <w:pStyle w:val="BodyText"/>
            </w:pPr>
            <w:r w:rsidRPr="007E388D">
              <w:t xml:space="preserve">means the </w:t>
            </w:r>
            <w:r w:rsidR="002B06BF">
              <w:t xml:space="preserve">integrated approach to </w:t>
            </w:r>
            <w:r w:rsidRPr="007E388D">
              <w:t xml:space="preserve">planning and reporting </w:t>
            </w:r>
            <w:r w:rsidR="00E76C98">
              <w:t xml:space="preserve">set out in the </w:t>
            </w:r>
            <w:r w:rsidR="00BD04D4">
              <w:t>Act and Regulations</w:t>
            </w:r>
            <w:r w:rsidR="0073555F">
              <w:t xml:space="preserve">. The framework </w:t>
            </w:r>
            <w:r w:rsidR="00BD04D4">
              <w:t xml:space="preserve">includes </w:t>
            </w:r>
            <w:r w:rsidRPr="007E388D">
              <w:t xml:space="preserve">documents that are required to be prepared by </w:t>
            </w:r>
            <w:r w:rsidR="0073555F">
              <w:t>C</w:t>
            </w:r>
            <w:r w:rsidRPr="007E388D">
              <w:t xml:space="preserve">ouncils to ensure </w:t>
            </w:r>
            <w:r w:rsidR="007C46A1">
              <w:t xml:space="preserve">transparency and </w:t>
            </w:r>
            <w:r w:rsidRPr="007E388D">
              <w:t>accountability to local communities in the performance of functions and exercise of powers under the Act</w:t>
            </w:r>
            <w:r w:rsidR="007C46A1">
              <w:t>.</w:t>
            </w:r>
            <w:r w:rsidR="003972C0">
              <w:t xml:space="preserve"> Community engagement is a key aspect of the ISPRF.</w:t>
            </w:r>
          </w:p>
        </w:tc>
      </w:tr>
      <w:tr w:rsidR="007E388D" w:rsidRPr="003126D9" w14:paraId="37E99EEF" w14:textId="77777777" w:rsidTr="000B0D70">
        <w:trPr>
          <w:trHeight w:val="60"/>
        </w:trPr>
        <w:tc>
          <w:tcPr>
            <w:tcW w:w="2694" w:type="dxa"/>
            <w:tcMar>
              <w:top w:w="57" w:type="dxa"/>
              <w:left w:w="80" w:type="dxa"/>
              <w:bottom w:w="57" w:type="dxa"/>
              <w:right w:w="80" w:type="dxa"/>
            </w:tcMar>
          </w:tcPr>
          <w:p w14:paraId="7969289E" w14:textId="77777777" w:rsidR="007E388D" w:rsidRPr="003126D9" w:rsidRDefault="007E388D" w:rsidP="00BE0584">
            <w:pPr>
              <w:pStyle w:val="BodyText"/>
              <w:rPr>
                <w:rFonts w:ascii="Calibri" w:hAnsi="Calibri" w:cs="Calibri"/>
                <w:b/>
              </w:rPr>
            </w:pPr>
            <w:r w:rsidRPr="003126D9">
              <w:rPr>
                <w:b/>
              </w:rPr>
              <w:t>Principal accounting officer</w:t>
            </w:r>
          </w:p>
        </w:tc>
        <w:tc>
          <w:tcPr>
            <w:tcW w:w="7087" w:type="dxa"/>
            <w:tcMar>
              <w:top w:w="57" w:type="dxa"/>
              <w:left w:w="80" w:type="dxa"/>
              <w:bottom w:w="57" w:type="dxa"/>
              <w:right w:w="80" w:type="dxa"/>
            </w:tcMar>
          </w:tcPr>
          <w:p w14:paraId="52483A18" w14:textId="3E388FF5" w:rsidR="007E388D" w:rsidRPr="007E388D" w:rsidRDefault="007E388D" w:rsidP="007E388D">
            <w:pPr>
              <w:pStyle w:val="BodyText"/>
            </w:pPr>
            <w:r w:rsidRPr="007E388D">
              <w:t xml:space="preserve">means the person designated by </w:t>
            </w:r>
            <w:r w:rsidR="00E36800">
              <w:t xml:space="preserve">the Chief Executive Officer of </w:t>
            </w:r>
            <w:r w:rsidRPr="007E388D">
              <w:t xml:space="preserve">a </w:t>
            </w:r>
            <w:r w:rsidR="00E36800">
              <w:t>C</w:t>
            </w:r>
            <w:r w:rsidRPr="007E388D">
              <w:t xml:space="preserve">ouncil </w:t>
            </w:r>
            <w:r w:rsidR="00042B1B">
              <w:t>as the officer responsible for managing the Council’s finances</w:t>
            </w:r>
          </w:p>
        </w:tc>
      </w:tr>
      <w:tr w:rsidR="007E388D" w:rsidRPr="003126D9" w14:paraId="5C17D1C4" w14:textId="77777777" w:rsidTr="000B0D70">
        <w:trPr>
          <w:trHeight w:val="60"/>
        </w:trPr>
        <w:tc>
          <w:tcPr>
            <w:tcW w:w="2694" w:type="dxa"/>
            <w:tcMar>
              <w:top w:w="57" w:type="dxa"/>
              <w:left w:w="80" w:type="dxa"/>
              <w:bottom w:w="57" w:type="dxa"/>
              <w:right w:w="80" w:type="dxa"/>
            </w:tcMar>
          </w:tcPr>
          <w:p w14:paraId="1883061A" w14:textId="77777777" w:rsidR="007E388D" w:rsidRPr="003126D9" w:rsidRDefault="007E388D" w:rsidP="00BE0584">
            <w:pPr>
              <w:pStyle w:val="BodyText"/>
              <w:rPr>
                <w:rFonts w:ascii="Calibri" w:hAnsi="Calibri" w:cs="Calibri"/>
                <w:b/>
              </w:rPr>
            </w:pPr>
            <w:r w:rsidRPr="003126D9">
              <w:rPr>
                <w:b/>
              </w:rPr>
              <w:lastRenderedPageBreak/>
              <w:t>Regulations</w:t>
            </w:r>
          </w:p>
        </w:tc>
        <w:tc>
          <w:tcPr>
            <w:tcW w:w="7087" w:type="dxa"/>
            <w:tcMar>
              <w:top w:w="57" w:type="dxa"/>
              <w:left w:w="80" w:type="dxa"/>
              <w:bottom w:w="57" w:type="dxa"/>
              <w:right w:w="80" w:type="dxa"/>
            </w:tcMar>
          </w:tcPr>
          <w:p w14:paraId="758DCDA9" w14:textId="5A7E1F36" w:rsidR="007E388D" w:rsidRPr="007E388D" w:rsidRDefault="007E388D" w:rsidP="007E388D">
            <w:pPr>
              <w:pStyle w:val="BodyText"/>
            </w:pPr>
            <w:r w:rsidRPr="007E388D">
              <w:t>means the Local Government (Planning and Reporting) Regulations 20</w:t>
            </w:r>
            <w:r w:rsidR="00A216C1">
              <w:t>20</w:t>
            </w:r>
          </w:p>
        </w:tc>
      </w:tr>
      <w:tr w:rsidR="007E388D" w:rsidRPr="003126D9" w14:paraId="0632C333" w14:textId="77777777" w:rsidTr="000B0D70">
        <w:trPr>
          <w:trHeight w:val="60"/>
        </w:trPr>
        <w:tc>
          <w:tcPr>
            <w:tcW w:w="2694" w:type="dxa"/>
            <w:tcMar>
              <w:top w:w="57" w:type="dxa"/>
              <w:left w:w="80" w:type="dxa"/>
              <w:bottom w:w="57" w:type="dxa"/>
              <w:right w:w="80" w:type="dxa"/>
            </w:tcMar>
          </w:tcPr>
          <w:p w14:paraId="18D73255" w14:textId="77777777" w:rsidR="007E388D" w:rsidRPr="003126D9" w:rsidRDefault="007E388D" w:rsidP="00BE0584">
            <w:pPr>
              <w:pStyle w:val="BodyText"/>
              <w:rPr>
                <w:b/>
              </w:rPr>
            </w:pPr>
            <w:r w:rsidRPr="003126D9">
              <w:rPr>
                <w:b/>
              </w:rPr>
              <w:t>Report of operations</w:t>
            </w:r>
          </w:p>
          <w:p w14:paraId="22DD9D99" w14:textId="77777777" w:rsidR="00336287" w:rsidRDefault="00336287" w:rsidP="00BE0584">
            <w:pPr>
              <w:pStyle w:val="BodyText"/>
              <w:rPr>
                <w:b/>
              </w:rPr>
            </w:pPr>
          </w:p>
          <w:p w14:paraId="12B2B076" w14:textId="32C74CE4" w:rsidR="007E388D" w:rsidRPr="003126D9" w:rsidRDefault="007E388D" w:rsidP="00BE0584">
            <w:pPr>
              <w:pStyle w:val="BodyText"/>
              <w:rPr>
                <w:rFonts w:ascii="Calibri" w:hAnsi="Calibri" w:cs="Calibri"/>
                <w:b/>
              </w:rPr>
            </w:pPr>
            <w:r w:rsidRPr="003126D9">
              <w:rPr>
                <w:b/>
              </w:rPr>
              <w:t>Specialised assets</w:t>
            </w:r>
          </w:p>
        </w:tc>
        <w:tc>
          <w:tcPr>
            <w:tcW w:w="7087" w:type="dxa"/>
            <w:tcMar>
              <w:top w:w="57" w:type="dxa"/>
              <w:left w:w="80" w:type="dxa"/>
              <w:bottom w:w="57" w:type="dxa"/>
              <w:right w:w="80" w:type="dxa"/>
            </w:tcMar>
          </w:tcPr>
          <w:p w14:paraId="6C286094" w14:textId="77777777" w:rsidR="007E388D" w:rsidRPr="007E388D" w:rsidRDefault="007E388D" w:rsidP="007E388D">
            <w:pPr>
              <w:pStyle w:val="BodyText"/>
            </w:pPr>
            <w:r w:rsidRPr="007E388D">
              <w:t>means a report containing a description of the operations of the council during the financial year and included in the annual report</w:t>
            </w:r>
          </w:p>
          <w:p w14:paraId="640DF311" w14:textId="77777777" w:rsidR="007E388D" w:rsidRPr="007E388D" w:rsidRDefault="007E388D" w:rsidP="007E388D">
            <w:pPr>
              <w:pStyle w:val="BodyText"/>
            </w:pPr>
            <w:r w:rsidRPr="007E388D">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7E388D" w:rsidRPr="003126D9" w14:paraId="26DE78B3" w14:textId="77777777" w:rsidTr="000B0D70">
        <w:trPr>
          <w:trHeight w:val="60"/>
        </w:trPr>
        <w:tc>
          <w:tcPr>
            <w:tcW w:w="2694" w:type="dxa"/>
            <w:tcMar>
              <w:top w:w="57" w:type="dxa"/>
              <w:left w:w="80" w:type="dxa"/>
              <w:bottom w:w="57" w:type="dxa"/>
              <w:right w:w="80" w:type="dxa"/>
            </w:tcMar>
          </w:tcPr>
          <w:p w14:paraId="64771DD8" w14:textId="205E8F6C" w:rsidR="007E388D" w:rsidRPr="003126D9" w:rsidRDefault="007E388D" w:rsidP="00BE0584">
            <w:pPr>
              <w:pStyle w:val="BodyText"/>
              <w:rPr>
                <w:rFonts w:ascii="Calibri" w:hAnsi="Calibri" w:cs="Calibri"/>
                <w:b/>
              </w:rPr>
            </w:pPr>
          </w:p>
        </w:tc>
        <w:tc>
          <w:tcPr>
            <w:tcW w:w="7087" w:type="dxa"/>
            <w:tcMar>
              <w:top w:w="57" w:type="dxa"/>
              <w:left w:w="80" w:type="dxa"/>
              <w:bottom w:w="57" w:type="dxa"/>
              <w:right w:w="80" w:type="dxa"/>
            </w:tcMar>
          </w:tcPr>
          <w:p w14:paraId="48C0C8A7" w14:textId="2B70C5BC" w:rsidR="007E388D" w:rsidRPr="007E388D" w:rsidRDefault="007E388D" w:rsidP="007E388D">
            <w:pPr>
              <w:pStyle w:val="BodyText"/>
            </w:pPr>
          </w:p>
        </w:tc>
      </w:tr>
    </w:tbl>
    <w:p w14:paraId="6CAC9D68" w14:textId="6048ADCE" w:rsidR="00955BF5" w:rsidRDefault="00955BF5" w:rsidP="00701DEC">
      <w:pPr>
        <w:pStyle w:val="BodyText"/>
      </w:pPr>
    </w:p>
    <w:p w14:paraId="5F40B245" w14:textId="77777777" w:rsidR="00955BF5" w:rsidRDefault="00955BF5">
      <w:pPr>
        <w:spacing w:before="0" w:line="276" w:lineRule="auto"/>
        <w:rPr>
          <w:rFonts w:asciiTheme="minorHAnsi" w:hAnsiTheme="minorHAnsi"/>
          <w:color w:val="000000" w:themeColor="text1"/>
          <w:sz w:val="20"/>
        </w:rPr>
      </w:pPr>
      <w:r>
        <w:br w:type="page"/>
      </w:r>
    </w:p>
    <w:p w14:paraId="02751238" w14:textId="16642DC2" w:rsidR="00BF18BC" w:rsidRDefault="00955BF5" w:rsidP="00955BF5">
      <w:pPr>
        <w:pStyle w:val="Heading1"/>
      </w:pPr>
      <w:bookmarkStart w:id="70" w:name="_Toc94527455"/>
      <w:r>
        <w:lastRenderedPageBreak/>
        <w:t>References</w:t>
      </w:r>
      <w:bookmarkEnd w:id="70"/>
    </w:p>
    <w:p w14:paraId="4EB72A38" w14:textId="34F087ED" w:rsidR="00955BF5" w:rsidRDefault="00955BF5" w:rsidP="00C04317">
      <w:pPr>
        <w:pStyle w:val="BodyText"/>
      </w:pPr>
      <w:r w:rsidRPr="0080069D">
        <w:rPr>
          <w:rFonts w:eastAsia="Cambria"/>
        </w:rPr>
        <w:t xml:space="preserve">Australian Accounting Standards Board, AASB Standards, </w:t>
      </w:r>
      <w:hyperlink r:id="rId24" w:history="1">
        <w:r w:rsidR="00EA1A7D" w:rsidRPr="0092632F">
          <w:rPr>
            <w:rStyle w:val="Hyperlink"/>
          </w:rPr>
          <w:t>https://www.aasb.gov.au/pronouncements/accounting-standards/</w:t>
        </w:r>
      </w:hyperlink>
    </w:p>
    <w:p w14:paraId="78B44704" w14:textId="4CDF2C84" w:rsidR="00955BF5" w:rsidRPr="00730B81"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Landfills</w:t>
      </w:r>
      <w:r w:rsidRPr="00730B81">
        <w:rPr>
          <w:rFonts w:eastAsia="Cambria"/>
        </w:rPr>
        <w:t xml:space="preserve">, State of Victoria, </w:t>
      </w:r>
      <w:hyperlink r:id="rId25" w:history="1">
        <w:r w:rsidRPr="00730B81">
          <w:rPr>
            <w:rStyle w:val="Hyperlink"/>
            <w:rFonts w:eastAsia="Cambria" w:cstheme="minorHAnsi"/>
            <w:szCs w:val="22"/>
          </w:rPr>
          <w:t>https://www.localgovernment.vic.gov.au/strengthening-councils/sector-guidance-planning-and-reporting</w:t>
        </w:r>
      </w:hyperlink>
    </w:p>
    <w:p w14:paraId="4A6D16A8" w14:textId="51997F5B" w:rsidR="00955BF5" w:rsidRPr="00DA69A4"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Natural Disasters</w:t>
      </w:r>
      <w:r w:rsidRPr="00730B81">
        <w:rPr>
          <w:rFonts w:eastAsia="Cambria"/>
        </w:rPr>
        <w:t>, State of Victoria,</w:t>
      </w:r>
      <w:r>
        <w:rPr>
          <w:rFonts w:eastAsia="Cambria"/>
        </w:rPr>
        <w:t xml:space="preserve"> </w:t>
      </w:r>
      <w:hyperlink r:id="rId26" w:history="1">
        <w:r w:rsidRPr="00730B81">
          <w:rPr>
            <w:rStyle w:val="Hyperlink"/>
            <w:rFonts w:eastAsia="Cambria" w:cstheme="minorHAnsi"/>
            <w:szCs w:val="22"/>
          </w:rPr>
          <w:t>https://www.localgovernment.vic.gov.au/strengthening-councils/sector-guidance-planning-and-reporting</w:t>
        </w:r>
      </w:hyperlink>
    </w:p>
    <w:p w14:paraId="020876B1" w14:textId="5AD9D6DA" w:rsidR="00955BF5" w:rsidRPr="00DA69A4" w:rsidRDefault="00955BF5" w:rsidP="00C04317">
      <w:pPr>
        <w:pStyle w:val="BodyText"/>
        <w:rPr>
          <w:rFonts w:eastAsia="Cambria"/>
        </w:rPr>
      </w:pPr>
      <w:r w:rsidRPr="00730B81">
        <w:rPr>
          <w:rFonts w:eastAsia="Cambria"/>
        </w:rPr>
        <w:t xml:space="preserve">Department of Environment, Land, Water &amp; Planning (2017), </w:t>
      </w:r>
      <w:r w:rsidRPr="00730B81">
        <w:rPr>
          <w:rFonts w:eastAsia="Cambria"/>
          <w:i/>
        </w:rPr>
        <w:t>Accounting for Related Party Disclosures</w:t>
      </w:r>
      <w:r w:rsidRPr="00730B81">
        <w:rPr>
          <w:rFonts w:eastAsia="Cambria"/>
        </w:rPr>
        <w:t xml:space="preserve">, State of Victoria, </w:t>
      </w:r>
      <w:hyperlink r:id="rId27" w:history="1">
        <w:r w:rsidRPr="00730B81">
          <w:rPr>
            <w:rStyle w:val="Hyperlink"/>
            <w:rFonts w:eastAsia="Cambria" w:cstheme="minorHAnsi"/>
            <w:szCs w:val="22"/>
          </w:rPr>
          <w:t>https://www.localgovernment.vic.gov.au/strengthening-councils/sector-guidance-planning-and-reporting</w:t>
        </w:r>
      </w:hyperlink>
    </w:p>
    <w:p w14:paraId="2EEA84B7" w14:textId="64A1F6B7" w:rsidR="00955BF5" w:rsidRPr="00DA69A4" w:rsidRDefault="00955BF5" w:rsidP="00C04317">
      <w:pPr>
        <w:pStyle w:val="BodyText"/>
        <w:rPr>
          <w:rStyle w:val="Hyperlink"/>
          <w:rFonts w:eastAsia="Cambria"/>
          <w:color w:val="000000" w:themeColor="text1"/>
          <w:u w:val="none"/>
        </w:rPr>
      </w:pPr>
      <w:r w:rsidRPr="00730B81">
        <w:rPr>
          <w:rFonts w:eastAsia="Cambria"/>
        </w:rPr>
        <w:t>Department of Environment, Land, Water &amp; Planning (201</w:t>
      </w:r>
      <w:r>
        <w:rPr>
          <w:rFonts w:eastAsia="Cambria"/>
        </w:rPr>
        <w:t>8</w:t>
      </w:r>
      <w:r w:rsidRPr="00730B81">
        <w:rPr>
          <w:rFonts w:eastAsia="Cambria"/>
        </w:rPr>
        <w:t xml:space="preserve">), </w:t>
      </w:r>
      <w:r>
        <w:rPr>
          <w:rFonts w:eastAsia="Cambria"/>
          <w:i/>
        </w:rPr>
        <w:t>Guidance on transition to new accounting standards 2018-19</w:t>
      </w:r>
      <w:r w:rsidRPr="00730B81">
        <w:rPr>
          <w:rFonts w:eastAsia="Cambria"/>
        </w:rPr>
        <w:t>, State of Victoria,</w:t>
      </w:r>
      <w:r>
        <w:rPr>
          <w:rFonts w:eastAsia="Cambria"/>
        </w:rPr>
        <w:t xml:space="preserve"> </w:t>
      </w:r>
      <w:hyperlink r:id="rId28" w:history="1">
        <w:r w:rsidRPr="00730B81">
          <w:rPr>
            <w:rStyle w:val="Hyperlink"/>
            <w:rFonts w:eastAsia="Cambria" w:cstheme="minorHAnsi"/>
            <w:szCs w:val="22"/>
          </w:rPr>
          <w:t>https://www.localgovernment.vic.gov.au/strengthening-councils/sector-guidance-planning-and-reporting</w:t>
        </w:r>
      </w:hyperlink>
    </w:p>
    <w:p w14:paraId="67723BF1" w14:textId="6DC6C143" w:rsidR="00955BF5" w:rsidRPr="00DA69A4" w:rsidRDefault="00955BF5" w:rsidP="00C04317">
      <w:pPr>
        <w:pStyle w:val="BodyText"/>
        <w:rPr>
          <w:rFonts w:eastAsia="Cambria"/>
        </w:rPr>
      </w:pPr>
      <w:r w:rsidRPr="00BF1227">
        <w:rPr>
          <w:rFonts w:eastAsia="Cambria"/>
        </w:rPr>
        <w:t>Department of Environme</w:t>
      </w:r>
      <w:r>
        <w:rPr>
          <w:rFonts w:eastAsia="Cambria"/>
        </w:rPr>
        <w:t>nt, Land, Water &amp; Planning (20</w:t>
      </w:r>
      <w:r w:rsidR="006A7AF3">
        <w:rPr>
          <w:rFonts w:eastAsia="Cambria"/>
        </w:rPr>
        <w:t>21</w:t>
      </w:r>
      <w:r w:rsidRPr="00BF1227">
        <w:rPr>
          <w:rFonts w:eastAsia="Cambria"/>
        </w:rPr>
        <w:t xml:space="preserve">), </w:t>
      </w:r>
      <w:r w:rsidRPr="00BF1227">
        <w:rPr>
          <w:rFonts w:eastAsia="Cambria"/>
          <w:i/>
          <w:iCs/>
        </w:rPr>
        <w:t>Local Government Model Financial Report</w:t>
      </w:r>
      <w:r w:rsidRPr="00BF1227">
        <w:rPr>
          <w:rFonts w:eastAsia="Cambria"/>
        </w:rPr>
        <w:t xml:space="preserve">, State of Victoria, </w:t>
      </w:r>
      <w:hyperlink r:id="rId29" w:history="1">
        <w:r w:rsidRPr="007D40E3">
          <w:rPr>
            <w:rStyle w:val="Hyperlink"/>
            <w:rFonts w:eastAsia="Cambria" w:cstheme="minorHAnsi"/>
            <w:szCs w:val="22"/>
          </w:rPr>
          <w:t>https://www.localgovernment.vic.gov.au/strengthening-councils/sector-guidance-planning-and-reporting</w:t>
        </w:r>
      </w:hyperlink>
    </w:p>
    <w:p w14:paraId="59B1183B" w14:textId="52C95874" w:rsidR="00955BF5" w:rsidRPr="00DA69A4" w:rsidRDefault="00955BF5" w:rsidP="00C04317">
      <w:pPr>
        <w:pStyle w:val="BodyText"/>
        <w:rPr>
          <w:rFonts w:eastAsia="Cambria"/>
        </w:rPr>
      </w:pPr>
      <w:r w:rsidRPr="008D2736">
        <w:rPr>
          <w:rFonts w:eastAsia="Cambria"/>
        </w:rPr>
        <w:t>Department of Environment, Land, Water &amp; Planning (20</w:t>
      </w:r>
      <w:r w:rsidR="000750A4">
        <w:rPr>
          <w:rFonts w:eastAsia="Cambria"/>
        </w:rPr>
        <w:t>21</w:t>
      </w:r>
      <w:r w:rsidRPr="008D2736">
        <w:rPr>
          <w:rFonts w:eastAsia="Cambria"/>
        </w:rPr>
        <w:t xml:space="preserve">), </w:t>
      </w:r>
      <w:r w:rsidRPr="008D2736">
        <w:rPr>
          <w:rFonts w:eastAsia="Cambria"/>
          <w:i/>
          <w:iCs/>
        </w:rPr>
        <w:t xml:space="preserve">Local Government </w:t>
      </w:r>
      <w:r w:rsidR="007B2A74">
        <w:rPr>
          <w:rFonts w:eastAsia="Cambria"/>
          <w:i/>
          <w:iCs/>
        </w:rPr>
        <w:t xml:space="preserve">Better Practice Guide </w:t>
      </w:r>
      <w:r w:rsidRPr="008D2736">
        <w:rPr>
          <w:rFonts w:eastAsia="Cambria"/>
          <w:i/>
          <w:iCs/>
        </w:rPr>
        <w:t xml:space="preserve">Performance Statement </w:t>
      </w:r>
      <w:r>
        <w:rPr>
          <w:rFonts w:eastAsia="Cambria"/>
          <w:i/>
          <w:iCs/>
        </w:rPr>
        <w:t>20</w:t>
      </w:r>
      <w:r w:rsidR="000750A4">
        <w:rPr>
          <w:rFonts w:eastAsia="Cambria"/>
          <w:i/>
          <w:iCs/>
        </w:rPr>
        <w:t>20</w:t>
      </w:r>
      <w:r>
        <w:rPr>
          <w:rFonts w:eastAsia="Cambria"/>
          <w:i/>
          <w:iCs/>
        </w:rPr>
        <w:t>-</w:t>
      </w:r>
      <w:r w:rsidR="00786C5F">
        <w:rPr>
          <w:rFonts w:eastAsia="Cambria"/>
          <w:i/>
          <w:iCs/>
        </w:rPr>
        <w:t>2</w:t>
      </w:r>
      <w:r w:rsidR="000750A4">
        <w:rPr>
          <w:rFonts w:eastAsia="Cambria"/>
          <w:i/>
          <w:iCs/>
        </w:rPr>
        <w:t>1</w:t>
      </w:r>
      <w:r w:rsidRPr="008D2736">
        <w:rPr>
          <w:rFonts w:eastAsia="Cambria"/>
        </w:rPr>
        <w:t xml:space="preserve">, State of Victoria, </w:t>
      </w:r>
      <w:hyperlink r:id="rId30" w:history="1">
        <w:r>
          <w:rPr>
            <w:rStyle w:val="Hyperlink"/>
          </w:rPr>
          <w:t>https://www.localgovernment.vic.gov.au/strengthening-councils/sector-guidance-planning-and-reporting</w:t>
        </w:r>
      </w:hyperlink>
    </w:p>
    <w:p w14:paraId="410785CE" w14:textId="749C21FE" w:rsidR="00955BF5" w:rsidRDefault="00955BF5" w:rsidP="00C04317">
      <w:pPr>
        <w:pStyle w:val="BodyText"/>
      </w:pPr>
      <w:r w:rsidRPr="0080069D">
        <w:rPr>
          <w:rFonts w:eastAsia="Cambria"/>
        </w:rPr>
        <w:t>Department of Treasury and Finance (20</w:t>
      </w:r>
      <w:r w:rsidR="00820603">
        <w:rPr>
          <w:rFonts w:eastAsia="Cambria"/>
        </w:rPr>
        <w:t>2</w:t>
      </w:r>
      <w:r w:rsidR="00D66296">
        <w:rPr>
          <w:rFonts w:eastAsia="Cambria"/>
        </w:rPr>
        <w:t>1</w:t>
      </w:r>
      <w:r w:rsidRPr="0080069D">
        <w:rPr>
          <w:rFonts w:eastAsia="Cambria"/>
        </w:rPr>
        <w:t xml:space="preserve">), </w:t>
      </w:r>
      <w:r w:rsidRPr="00730B81">
        <w:rPr>
          <w:rFonts w:eastAsia="Cambria"/>
          <w:i/>
        </w:rPr>
        <w:t>20</w:t>
      </w:r>
      <w:r w:rsidR="00D66296">
        <w:rPr>
          <w:rFonts w:eastAsia="Cambria"/>
          <w:i/>
        </w:rPr>
        <w:t>20</w:t>
      </w:r>
      <w:r w:rsidRPr="00730B81">
        <w:rPr>
          <w:rFonts w:eastAsia="Cambria"/>
          <w:i/>
        </w:rPr>
        <w:t>-</w:t>
      </w:r>
      <w:r w:rsidR="00820603">
        <w:rPr>
          <w:rFonts w:eastAsia="Cambria"/>
          <w:i/>
        </w:rPr>
        <w:t>2</w:t>
      </w:r>
      <w:r w:rsidR="00D66296">
        <w:rPr>
          <w:rFonts w:eastAsia="Cambria"/>
          <w:i/>
        </w:rPr>
        <w:t>1</w:t>
      </w:r>
      <w:r w:rsidRPr="00730B81">
        <w:rPr>
          <w:rFonts w:eastAsia="Cambria"/>
          <w:i/>
        </w:rPr>
        <w:t xml:space="preserve"> Model Report for Victorian Government Departments</w:t>
      </w:r>
      <w:r w:rsidRPr="00730B81">
        <w:rPr>
          <w:rFonts w:eastAsia="Cambria"/>
        </w:rPr>
        <w:t xml:space="preserve">, State of Victoria, </w:t>
      </w:r>
      <w:hyperlink r:id="rId31" w:history="1">
        <w:r w:rsidR="00D66296" w:rsidRPr="0092632F">
          <w:rPr>
            <w:rStyle w:val="Hyperlink"/>
          </w:rPr>
          <w:t>https://www.dtf.vic.gov.au/model-report/2020-21-model-report</w:t>
        </w:r>
      </w:hyperlink>
    </w:p>
    <w:p w14:paraId="4BBF228F" w14:textId="102A6EDB" w:rsidR="00955BF5" w:rsidRDefault="00955BF5" w:rsidP="00C04317">
      <w:pPr>
        <w:pStyle w:val="BodyText"/>
        <w:rPr>
          <w:rFonts w:eastAsia="Cambria"/>
        </w:rPr>
      </w:pPr>
      <w:r w:rsidRPr="00730B81">
        <w:rPr>
          <w:rFonts w:eastAsia="Cambria"/>
        </w:rPr>
        <w:t xml:space="preserve">Institute of Public Works Engineering Australasia (2015), </w:t>
      </w:r>
      <w:r w:rsidRPr="00730B81">
        <w:rPr>
          <w:rFonts w:eastAsia="Cambria"/>
          <w:i/>
        </w:rPr>
        <w:t>Australian Infrastructure Financial Management Manual</w:t>
      </w:r>
      <w:r w:rsidRPr="00730B81">
        <w:rPr>
          <w:rFonts w:eastAsia="Cambria"/>
        </w:rPr>
        <w:t>, Australian Edition</w:t>
      </w:r>
    </w:p>
    <w:p w14:paraId="7E9D98F1" w14:textId="08057949" w:rsidR="00955BF5" w:rsidRDefault="00955BF5" w:rsidP="00C04317">
      <w:pPr>
        <w:pStyle w:val="BodyText"/>
      </w:pPr>
      <w:r w:rsidRPr="004D70F1">
        <w:rPr>
          <w:rFonts w:eastAsia="Cambria"/>
        </w:rPr>
        <w:t>Victorian Auditor</w:t>
      </w:r>
      <w:r>
        <w:rPr>
          <w:rFonts w:eastAsia="Cambria"/>
        </w:rPr>
        <w:t>-</w:t>
      </w:r>
      <w:r w:rsidRPr="004D70F1">
        <w:rPr>
          <w:rFonts w:eastAsia="Cambria"/>
        </w:rPr>
        <w:t>General</w:t>
      </w:r>
      <w:r>
        <w:rPr>
          <w:rFonts w:eastAsia="Cambria"/>
        </w:rPr>
        <w:t>’</w:t>
      </w:r>
      <w:r w:rsidRPr="004D70F1">
        <w:rPr>
          <w:rFonts w:eastAsia="Cambria"/>
        </w:rPr>
        <w:t>s Office (20</w:t>
      </w:r>
      <w:r w:rsidR="009A0BB0">
        <w:rPr>
          <w:rFonts w:eastAsia="Cambria"/>
        </w:rPr>
        <w:t>21</w:t>
      </w:r>
      <w:r w:rsidRPr="004D70F1">
        <w:rPr>
          <w:rFonts w:eastAsia="Cambria"/>
        </w:rPr>
        <w:t xml:space="preserve">), </w:t>
      </w:r>
      <w:r w:rsidRPr="004D70F1">
        <w:rPr>
          <w:rFonts w:eastAsia="Cambria"/>
          <w:i/>
        </w:rPr>
        <w:t>Results of 20</w:t>
      </w:r>
      <w:r w:rsidR="009A0BB0">
        <w:rPr>
          <w:rFonts w:eastAsia="Cambria"/>
          <w:i/>
        </w:rPr>
        <w:t>20</w:t>
      </w:r>
      <w:r w:rsidRPr="004D70F1">
        <w:rPr>
          <w:rFonts w:eastAsia="Cambria"/>
          <w:i/>
        </w:rPr>
        <w:t>-</w:t>
      </w:r>
      <w:r w:rsidR="009A0BB0">
        <w:rPr>
          <w:rFonts w:eastAsia="Cambria"/>
          <w:i/>
        </w:rPr>
        <w:t>21</w:t>
      </w:r>
      <w:r w:rsidRPr="004D70F1">
        <w:rPr>
          <w:rFonts w:eastAsia="Cambria"/>
          <w:i/>
        </w:rPr>
        <w:t xml:space="preserve"> Audits: Local Government</w:t>
      </w:r>
      <w:r w:rsidRPr="004D70F1">
        <w:rPr>
          <w:rFonts w:eastAsia="Cambria"/>
        </w:rPr>
        <w:t xml:space="preserve">, </w:t>
      </w:r>
      <w:hyperlink r:id="rId32" w:history="1">
        <w:r w:rsidR="00063516" w:rsidRPr="0092632F">
          <w:rPr>
            <w:rStyle w:val="Hyperlink"/>
          </w:rPr>
          <w:t>https://www.audit.vic.gov.au/report/results-2020-21-audits-local-government</w:t>
        </w:r>
      </w:hyperlink>
    </w:p>
    <w:p w14:paraId="32FC534C" w14:textId="77777777" w:rsidR="00063516" w:rsidRPr="00F935AF" w:rsidRDefault="00063516" w:rsidP="00C04317">
      <w:pPr>
        <w:pStyle w:val="BodyText"/>
        <w:rPr>
          <w:rFonts w:eastAsia="Cambria"/>
        </w:rPr>
      </w:pPr>
    </w:p>
    <w:p w14:paraId="7F016350" w14:textId="77777777" w:rsidR="00955BF5" w:rsidRPr="001B7166" w:rsidRDefault="00955BF5" w:rsidP="00955BF5">
      <w:pPr>
        <w:widowControl w:val="0"/>
        <w:autoSpaceDE w:val="0"/>
        <w:autoSpaceDN w:val="0"/>
        <w:adjustRightInd w:val="0"/>
        <w:spacing w:after="600" w:line="460" w:lineRule="atLeast"/>
        <w:textAlignment w:val="center"/>
        <w:rPr>
          <w:rFonts w:ascii="Calibri" w:eastAsia="Cambria" w:hAnsi="Calibri" w:cs="Calibri"/>
          <w:color w:val="228591"/>
          <w:sz w:val="40"/>
          <w:szCs w:val="40"/>
        </w:rPr>
      </w:pPr>
    </w:p>
    <w:p w14:paraId="1B8A7833" w14:textId="77777777" w:rsidR="00955BF5" w:rsidRPr="00955BF5" w:rsidRDefault="00955BF5" w:rsidP="00955BF5"/>
    <w:p w14:paraId="1B846E5D" w14:textId="77777777" w:rsidR="0009400D" w:rsidRPr="0009400D" w:rsidRDefault="0009400D" w:rsidP="0009400D"/>
    <w:bookmarkEnd w:id="6"/>
    <w:p w14:paraId="57370175" w14:textId="77777777" w:rsidR="004371F6" w:rsidRPr="00644924" w:rsidRDefault="004371F6" w:rsidP="00644924"/>
    <w:p w14:paraId="743FD2D2" w14:textId="77777777" w:rsidR="004371F6" w:rsidRPr="00B14DDB" w:rsidRDefault="004371F6" w:rsidP="00B14DDB"/>
    <w:sectPr w:rsidR="004371F6" w:rsidRPr="00B14DDB" w:rsidSect="005D5C32">
      <w:headerReference w:type="default" r:id="rId33"/>
      <w:headerReference w:type="first" r:id="rId34"/>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E3E2F" w14:textId="77777777" w:rsidR="00B2112B" w:rsidRDefault="00B2112B" w:rsidP="00D96C1E">
      <w:r>
        <w:separator/>
      </w:r>
    </w:p>
    <w:p w14:paraId="46744021" w14:textId="77777777" w:rsidR="00B2112B" w:rsidRDefault="00B2112B" w:rsidP="00D96C1E"/>
  </w:endnote>
  <w:endnote w:type="continuationSeparator" w:id="0">
    <w:p w14:paraId="79B31107" w14:textId="77777777" w:rsidR="00B2112B" w:rsidRDefault="00B2112B" w:rsidP="00D96C1E">
      <w:r>
        <w:continuationSeparator/>
      </w:r>
    </w:p>
    <w:p w14:paraId="65A13E8A" w14:textId="77777777" w:rsidR="00B2112B" w:rsidRDefault="00B2112B" w:rsidP="00D96C1E"/>
  </w:endnote>
  <w:endnote w:type="continuationNotice" w:id="1">
    <w:p w14:paraId="0B2B3FB7" w14:textId="77777777" w:rsidR="00B2112B" w:rsidRDefault="00B211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3457" w14:textId="77777777" w:rsidR="006618F8" w:rsidRDefault="00661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BE0584" w:rsidRPr="00FB0DEA" w14:paraId="5A2DDF97" w14:textId="77777777" w:rsidTr="00F821D9">
              <w:tc>
                <w:tcPr>
                  <w:tcW w:w="3402" w:type="dxa"/>
                  <w:vAlign w:val="center"/>
                </w:tcPr>
                <w:p w14:paraId="4A573C80" w14:textId="1BBC03BD" w:rsidR="00BE0584" w:rsidRPr="005723C8" w:rsidRDefault="00353513" w:rsidP="005723C8">
                  <w:pPr>
                    <w:pStyle w:val="Footer"/>
                    <w:tabs>
                      <w:tab w:val="clear" w:pos="14570"/>
                    </w:tabs>
                    <w:spacing w:before="0"/>
                  </w:pPr>
                  <w:fldSimple w:instr="STYLEREF  &quot;Report title&quot;  \* MERGEFORMAT">
                    <w:r w:rsidR="001E0BF6">
                      <w:rPr>
                        <w:noProof/>
                      </w:rPr>
                      <w:t>Local Government Better Practice Guide</w:t>
                    </w:r>
                  </w:fldSimple>
                </w:p>
              </w:tc>
              <w:tc>
                <w:tcPr>
                  <w:tcW w:w="2410" w:type="dxa"/>
                  <w:vAlign w:val="center"/>
                </w:tcPr>
                <w:p w14:paraId="0FB8D77D" w14:textId="01E56B78" w:rsidR="00BE0584" w:rsidRPr="005723C8" w:rsidRDefault="00BE0584"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00C07593">
                    <w:rPr>
                      <w:rStyle w:val="PageNumber"/>
                    </w:rPr>
                    <w:t>16</w:t>
                  </w:r>
                </w:p>
              </w:tc>
              <w:tc>
                <w:tcPr>
                  <w:tcW w:w="4211" w:type="dxa"/>
                </w:tcPr>
                <w:p w14:paraId="412F99D9" w14:textId="77777777" w:rsidR="00BE0584" w:rsidRPr="00FB0DEA" w:rsidRDefault="00BE0584" w:rsidP="005723C8">
                  <w:pPr>
                    <w:pStyle w:val="Footer"/>
                    <w:tabs>
                      <w:tab w:val="clear" w:pos="14570"/>
                    </w:tabs>
                    <w:spacing w:before="0"/>
                    <w:jc w:val="right"/>
                  </w:pPr>
                  <w:r w:rsidRPr="00EE5398">
                    <w:rPr>
                      <w:noProof/>
                      <w:lang w:val="en-GB" w:eastAsia="en-GB"/>
                    </w:rPr>
                    <w:drawing>
                      <wp:inline distT="0" distB="0" distL="0" distR="0" wp14:anchorId="1CD232B6" wp14:editId="46F0362D">
                        <wp:extent cx="1335600" cy="403200"/>
                        <wp:effectExtent l="0" t="0" r="0" b="0"/>
                        <wp:docPr id="205" name="Picture 20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2CE781D1" w14:textId="77777777" w:rsidR="00BE0584" w:rsidRPr="005723C8" w:rsidRDefault="00BE0584"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714F" w14:textId="77777777" w:rsidR="006618F8" w:rsidRDefault="00661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C4D4F" w14:textId="77777777" w:rsidR="00B2112B" w:rsidRDefault="00B2112B" w:rsidP="00D96C1E">
      <w:r>
        <w:separator/>
      </w:r>
    </w:p>
    <w:p w14:paraId="141EBDEC" w14:textId="77777777" w:rsidR="00B2112B" w:rsidRDefault="00B2112B" w:rsidP="00D96C1E"/>
  </w:footnote>
  <w:footnote w:type="continuationSeparator" w:id="0">
    <w:p w14:paraId="1FD90E7D" w14:textId="77777777" w:rsidR="00B2112B" w:rsidRDefault="00B2112B" w:rsidP="00D96C1E">
      <w:r>
        <w:continuationSeparator/>
      </w:r>
    </w:p>
    <w:p w14:paraId="650D9285" w14:textId="77777777" w:rsidR="00B2112B" w:rsidRDefault="00B2112B" w:rsidP="00D96C1E"/>
  </w:footnote>
  <w:footnote w:type="continuationNotice" w:id="1">
    <w:p w14:paraId="22F9C235" w14:textId="77777777" w:rsidR="00B2112B" w:rsidRDefault="00B2112B">
      <w:pPr>
        <w:spacing w:before="0" w:after="0"/>
      </w:pPr>
    </w:p>
  </w:footnote>
  <w:footnote w:id="2">
    <w:p w14:paraId="3F5AF352" w14:textId="70C32484" w:rsidR="00B435CC" w:rsidRDefault="00B435CC">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w:t>
      </w:r>
      <w:r w:rsidR="007866C9" w:rsidRPr="007866C9">
        <w:rPr>
          <w:rFonts w:asciiTheme="majorHAnsi" w:hAnsiTheme="majorHAnsi" w:cstheme="majorHAnsi"/>
          <w:sz w:val="16"/>
          <w:szCs w:val="16"/>
        </w:rPr>
        <w:t>Victorian Auditor-General’s Office (20</w:t>
      </w:r>
      <w:r w:rsidR="00A50B5F">
        <w:rPr>
          <w:rFonts w:asciiTheme="majorHAnsi" w:hAnsiTheme="majorHAnsi" w:cstheme="majorHAnsi"/>
          <w:sz w:val="16"/>
          <w:szCs w:val="16"/>
        </w:rPr>
        <w:t>21</w:t>
      </w:r>
      <w:r w:rsidR="007866C9" w:rsidRPr="007866C9">
        <w:rPr>
          <w:rFonts w:asciiTheme="majorHAnsi" w:hAnsiTheme="majorHAnsi" w:cstheme="majorHAnsi"/>
          <w:sz w:val="16"/>
          <w:szCs w:val="16"/>
        </w:rPr>
        <w:t xml:space="preserve">), </w:t>
      </w:r>
      <w:r w:rsidR="007866C9" w:rsidRPr="007866C9">
        <w:rPr>
          <w:rFonts w:asciiTheme="majorHAnsi" w:hAnsiTheme="majorHAnsi" w:cstheme="majorHAnsi"/>
          <w:i/>
          <w:iCs/>
          <w:sz w:val="16"/>
          <w:szCs w:val="16"/>
        </w:rPr>
        <w:t>Results of 20</w:t>
      </w:r>
      <w:r w:rsidR="00A50B5F">
        <w:rPr>
          <w:rFonts w:asciiTheme="majorHAnsi" w:hAnsiTheme="majorHAnsi" w:cstheme="majorHAnsi"/>
          <w:i/>
          <w:iCs/>
          <w:sz w:val="16"/>
          <w:szCs w:val="16"/>
        </w:rPr>
        <w:t>20</w:t>
      </w:r>
      <w:r w:rsidR="007866C9" w:rsidRPr="007866C9">
        <w:rPr>
          <w:rFonts w:asciiTheme="majorHAnsi" w:hAnsiTheme="majorHAnsi" w:cstheme="majorHAnsi"/>
          <w:i/>
          <w:iCs/>
          <w:sz w:val="16"/>
          <w:szCs w:val="16"/>
        </w:rPr>
        <w:t>-</w:t>
      </w:r>
      <w:r w:rsidR="00A50B5F">
        <w:rPr>
          <w:rFonts w:asciiTheme="majorHAnsi" w:hAnsiTheme="majorHAnsi" w:cstheme="majorHAnsi"/>
          <w:i/>
          <w:iCs/>
          <w:sz w:val="16"/>
          <w:szCs w:val="16"/>
        </w:rPr>
        <w:t>21</w:t>
      </w:r>
      <w:r w:rsidR="007866C9" w:rsidRPr="007866C9">
        <w:rPr>
          <w:rFonts w:asciiTheme="majorHAnsi" w:hAnsiTheme="majorHAnsi" w:cstheme="majorHAnsi"/>
          <w:i/>
          <w:iCs/>
          <w:sz w:val="16"/>
          <w:szCs w:val="16"/>
        </w:rPr>
        <w:t xml:space="preserve"> Audits: Local Government</w:t>
      </w:r>
    </w:p>
  </w:footnote>
  <w:footnote w:id="3">
    <w:p w14:paraId="015D2AD0" w14:textId="381258E4" w:rsidR="00CC79EB" w:rsidRDefault="00CC79EB">
      <w:pPr>
        <w:pStyle w:val="FootnoteText"/>
      </w:pPr>
      <w:r w:rsidRPr="00CC79EB">
        <w:rPr>
          <w:rFonts w:asciiTheme="majorHAnsi" w:hAnsiTheme="majorHAnsi" w:cstheme="majorHAnsi"/>
          <w:sz w:val="16"/>
          <w:szCs w:val="16"/>
        </w:rPr>
        <w:footnoteRef/>
      </w:r>
      <w:r w:rsidRPr="00CC79EB">
        <w:rPr>
          <w:rFonts w:asciiTheme="majorHAnsi" w:hAnsiTheme="majorHAnsi" w:cstheme="majorHAnsi"/>
          <w:sz w:val="16"/>
          <w:szCs w:val="16"/>
        </w:rPr>
        <w:t xml:space="preserve"> Section 4(a)</w:t>
      </w:r>
      <w:r w:rsidR="0032455C">
        <w:rPr>
          <w:rFonts w:asciiTheme="majorHAnsi" w:hAnsiTheme="majorHAnsi" w:cstheme="majorHAnsi"/>
          <w:sz w:val="16"/>
          <w:szCs w:val="16"/>
        </w:rPr>
        <w:t>,4</w:t>
      </w:r>
      <w:r w:rsidRPr="00CC79EB">
        <w:rPr>
          <w:rFonts w:asciiTheme="majorHAnsi" w:hAnsiTheme="majorHAnsi" w:cstheme="majorHAnsi"/>
          <w:sz w:val="16"/>
          <w:szCs w:val="16"/>
        </w:rPr>
        <w:t xml:space="preserve">(b) and </w:t>
      </w:r>
      <w:r w:rsidR="0032455C">
        <w:rPr>
          <w:rFonts w:asciiTheme="majorHAnsi" w:hAnsiTheme="majorHAnsi" w:cstheme="majorHAnsi"/>
          <w:sz w:val="16"/>
          <w:szCs w:val="16"/>
        </w:rPr>
        <w:t>4</w:t>
      </w:r>
      <w:r w:rsidRPr="00CC79EB">
        <w:rPr>
          <w:rFonts w:asciiTheme="majorHAnsi" w:hAnsiTheme="majorHAnsi" w:cstheme="majorHAnsi"/>
          <w:sz w:val="16"/>
          <w:szCs w:val="16"/>
        </w:rPr>
        <w:t xml:space="preserve">(c) of the </w:t>
      </w:r>
      <w:r w:rsidRPr="0032455C">
        <w:rPr>
          <w:rFonts w:asciiTheme="majorHAnsi" w:hAnsiTheme="majorHAnsi" w:cstheme="majorHAnsi"/>
          <w:i/>
          <w:iCs/>
          <w:sz w:val="16"/>
          <w:szCs w:val="16"/>
        </w:rPr>
        <w:t>Local Government Act 2020</w:t>
      </w:r>
    </w:p>
  </w:footnote>
  <w:footnote w:id="4">
    <w:p w14:paraId="27D73E49" w14:textId="146414C7" w:rsidR="0040000B" w:rsidRDefault="0040000B">
      <w:pPr>
        <w:pStyle w:val="FootnoteText"/>
      </w:pPr>
      <w:r w:rsidRPr="0040000B">
        <w:rPr>
          <w:rFonts w:asciiTheme="majorHAnsi" w:hAnsiTheme="majorHAnsi" w:cstheme="majorHAnsi"/>
          <w:sz w:val="16"/>
          <w:szCs w:val="16"/>
        </w:rPr>
        <w:footnoteRef/>
      </w:r>
      <w:r w:rsidRPr="0040000B">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5">
    <w:p w14:paraId="4DBEBB07" w14:textId="7D6012B3" w:rsidR="00DF648F" w:rsidRDefault="00DF648F">
      <w:pPr>
        <w:pStyle w:val="FootnoteText"/>
      </w:pPr>
      <w:r w:rsidRPr="00DF648F">
        <w:rPr>
          <w:rFonts w:asciiTheme="majorHAnsi" w:hAnsiTheme="majorHAnsi" w:cstheme="majorHAnsi"/>
          <w:sz w:val="16"/>
          <w:szCs w:val="16"/>
        </w:rPr>
        <w:footnoteRef/>
      </w:r>
      <w:r w:rsidRPr="00DF648F">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8(1)</w:t>
      </w:r>
      <w:r w:rsidRPr="00CC79EB">
        <w:rPr>
          <w:rFonts w:asciiTheme="majorHAnsi" w:hAnsiTheme="majorHAnsi" w:cstheme="majorHAnsi"/>
          <w:sz w:val="16"/>
          <w:szCs w:val="16"/>
        </w:rPr>
        <w:t xml:space="preserve"> of the </w:t>
      </w:r>
      <w:r w:rsidRPr="002B0D7F">
        <w:rPr>
          <w:rFonts w:asciiTheme="majorHAnsi" w:hAnsiTheme="majorHAnsi" w:cstheme="majorHAnsi"/>
          <w:i/>
          <w:iCs/>
          <w:sz w:val="16"/>
          <w:szCs w:val="16"/>
        </w:rPr>
        <w:t>Local Government Act 2020</w:t>
      </w:r>
    </w:p>
  </w:footnote>
  <w:footnote w:id="6">
    <w:p w14:paraId="2F136328" w14:textId="5EF3102C" w:rsidR="00425206" w:rsidRDefault="00425206">
      <w:pPr>
        <w:pStyle w:val="FootnoteText"/>
      </w:pPr>
      <w:r w:rsidRPr="00967228">
        <w:rPr>
          <w:rFonts w:asciiTheme="majorHAnsi" w:hAnsiTheme="majorHAnsi" w:cstheme="majorHAnsi"/>
          <w:sz w:val="16"/>
          <w:szCs w:val="16"/>
        </w:rPr>
        <w:footnoteRef/>
      </w:r>
      <w:r w:rsidRPr="00967228">
        <w:rPr>
          <w:rFonts w:asciiTheme="majorHAnsi" w:hAnsiTheme="majorHAnsi" w:cstheme="majorHAnsi"/>
          <w:sz w:val="16"/>
          <w:szCs w:val="16"/>
        </w:rPr>
        <w:t xml:space="preserve"> </w:t>
      </w:r>
      <w:r w:rsidR="00967228" w:rsidRPr="00CC79EB">
        <w:rPr>
          <w:rFonts w:asciiTheme="majorHAnsi" w:hAnsiTheme="majorHAnsi" w:cstheme="majorHAnsi"/>
          <w:sz w:val="16"/>
          <w:szCs w:val="16"/>
        </w:rPr>
        <w:t xml:space="preserve">Section </w:t>
      </w:r>
      <w:r w:rsidR="00967228">
        <w:rPr>
          <w:rFonts w:asciiTheme="majorHAnsi" w:hAnsiTheme="majorHAnsi" w:cstheme="majorHAnsi"/>
          <w:sz w:val="16"/>
          <w:szCs w:val="16"/>
        </w:rPr>
        <w:t>9(2)</w:t>
      </w:r>
      <w:r w:rsidR="00967228" w:rsidRPr="00CC79EB">
        <w:rPr>
          <w:rFonts w:asciiTheme="majorHAnsi" w:hAnsiTheme="majorHAnsi" w:cstheme="majorHAnsi"/>
          <w:sz w:val="16"/>
          <w:szCs w:val="16"/>
        </w:rPr>
        <w:t xml:space="preserve"> of the </w:t>
      </w:r>
      <w:r w:rsidR="00967228" w:rsidRPr="00967228">
        <w:rPr>
          <w:rFonts w:asciiTheme="majorHAnsi" w:hAnsiTheme="majorHAnsi" w:cstheme="majorHAnsi"/>
          <w:i/>
          <w:iCs/>
          <w:sz w:val="16"/>
          <w:szCs w:val="16"/>
        </w:rPr>
        <w:t>Local Government Act 2020</w:t>
      </w:r>
    </w:p>
  </w:footnote>
  <w:footnote w:id="7">
    <w:p w14:paraId="3C161555" w14:textId="087F72D7" w:rsidR="00AE0C37" w:rsidRDefault="00AE0C37">
      <w:pPr>
        <w:pStyle w:val="FootnoteText"/>
      </w:pPr>
      <w:r w:rsidRPr="00AE0C37">
        <w:rPr>
          <w:rFonts w:asciiTheme="majorHAnsi" w:hAnsiTheme="majorHAnsi" w:cstheme="majorHAnsi"/>
          <w:sz w:val="16"/>
          <w:szCs w:val="16"/>
        </w:rPr>
        <w:footnoteRef/>
      </w:r>
      <w:r w:rsidRPr="00AE0C37">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Pr>
          <w:rFonts w:asciiTheme="majorHAnsi" w:hAnsiTheme="majorHAnsi" w:cstheme="majorHAnsi"/>
          <w:sz w:val="16"/>
          <w:szCs w:val="16"/>
        </w:rPr>
        <w:t>9(3)</w:t>
      </w:r>
      <w:r w:rsidRPr="00CC79EB">
        <w:rPr>
          <w:rFonts w:asciiTheme="majorHAnsi" w:hAnsiTheme="majorHAnsi" w:cstheme="majorHAnsi"/>
          <w:sz w:val="16"/>
          <w:szCs w:val="16"/>
        </w:rPr>
        <w:t xml:space="preserve"> of the </w:t>
      </w:r>
      <w:r w:rsidRPr="00AE0C37">
        <w:rPr>
          <w:rFonts w:asciiTheme="majorHAnsi" w:hAnsiTheme="majorHAnsi" w:cstheme="majorHAnsi"/>
          <w:i/>
          <w:iCs/>
          <w:sz w:val="16"/>
          <w:szCs w:val="16"/>
        </w:rPr>
        <w:t>Local Government Act 2020</w:t>
      </w:r>
    </w:p>
  </w:footnote>
  <w:footnote w:id="8">
    <w:p w14:paraId="46BEBA92" w14:textId="3E310E0C" w:rsidR="00451A1D" w:rsidRDefault="00451A1D">
      <w:pPr>
        <w:pStyle w:val="FootnoteText"/>
      </w:pPr>
      <w:r w:rsidRPr="00451A1D">
        <w:rPr>
          <w:rFonts w:asciiTheme="majorHAnsi" w:hAnsiTheme="majorHAnsi" w:cstheme="majorHAnsi"/>
          <w:sz w:val="16"/>
          <w:szCs w:val="16"/>
        </w:rPr>
        <w:footnoteRef/>
      </w:r>
      <w:r w:rsidRPr="00451A1D">
        <w:rPr>
          <w:rFonts w:asciiTheme="majorHAnsi" w:hAnsiTheme="majorHAnsi" w:cstheme="majorHAnsi"/>
          <w:sz w:val="16"/>
          <w:szCs w:val="16"/>
        </w:rPr>
        <w:t xml:space="preserve"> </w:t>
      </w:r>
      <w:r w:rsidRPr="00CC79EB">
        <w:rPr>
          <w:rFonts w:asciiTheme="majorHAnsi" w:hAnsiTheme="majorHAnsi" w:cstheme="majorHAnsi"/>
          <w:sz w:val="16"/>
          <w:szCs w:val="16"/>
        </w:rPr>
        <w:t xml:space="preserve">Section </w:t>
      </w:r>
      <w:r w:rsidR="000D768C">
        <w:rPr>
          <w:rFonts w:asciiTheme="majorHAnsi" w:hAnsiTheme="majorHAnsi" w:cstheme="majorHAnsi"/>
          <w:sz w:val="16"/>
          <w:szCs w:val="16"/>
        </w:rPr>
        <w:t>98</w:t>
      </w:r>
      <w:r>
        <w:rPr>
          <w:rFonts w:asciiTheme="majorHAnsi" w:hAnsiTheme="majorHAnsi" w:cstheme="majorHAnsi"/>
          <w:sz w:val="16"/>
          <w:szCs w:val="16"/>
        </w:rPr>
        <w:t>(1)</w:t>
      </w:r>
      <w:r w:rsidRPr="00CC79EB">
        <w:rPr>
          <w:rFonts w:asciiTheme="majorHAnsi" w:hAnsiTheme="majorHAnsi" w:cstheme="majorHAnsi"/>
          <w:sz w:val="16"/>
          <w:szCs w:val="16"/>
        </w:rPr>
        <w:t xml:space="preserve"> of the </w:t>
      </w:r>
      <w:r w:rsidRPr="00451A1D">
        <w:rPr>
          <w:rFonts w:asciiTheme="majorHAnsi" w:hAnsiTheme="majorHAnsi" w:cstheme="majorHAnsi"/>
          <w:i/>
          <w:iCs/>
          <w:sz w:val="16"/>
          <w:szCs w:val="16"/>
        </w:rPr>
        <w:t xml:space="preserve">Local Government Act </w:t>
      </w:r>
      <w:r w:rsidR="000D768C">
        <w:rPr>
          <w:rFonts w:asciiTheme="majorHAnsi" w:hAnsiTheme="majorHAnsi" w:cstheme="majorHAnsi"/>
          <w:i/>
          <w:iCs/>
          <w:sz w:val="16"/>
          <w:szCs w:val="16"/>
        </w:rPr>
        <w:t>2020</w:t>
      </w:r>
    </w:p>
  </w:footnote>
  <w:footnote w:id="9">
    <w:p w14:paraId="71700DF2" w14:textId="77777777" w:rsidR="00F27A21" w:rsidRPr="00E32BCF" w:rsidRDefault="00F27A21" w:rsidP="00F27A21">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10">
    <w:p w14:paraId="55437D6A" w14:textId="1ED76D32" w:rsidR="007D5CDB" w:rsidRDefault="007D5CDB">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1">
    <w:p w14:paraId="07528367" w14:textId="5D0112B8"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2">
    <w:p w14:paraId="2C16ED94" w14:textId="0BF70FA0"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3">
    <w:p w14:paraId="3CC1AC1E" w14:textId="4CDE994F"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4">
    <w:p w14:paraId="283FD16D" w14:textId="5FDEF031"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5">
    <w:p w14:paraId="27C5F81E" w14:textId="1B786535"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6">
    <w:p w14:paraId="46BE2566" w14:textId="64F59993" w:rsidR="00F550D2" w:rsidRDefault="00F550D2">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7">
    <w:p w14:paraId="1E1026AF" w14:textId="30A96897" w:rsidR="00171235" w:rsidRDefault="00171235">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8">
    <w:p w14:paraId="402A36A3" w14:textId="164939CC" w:rsidR="00A64B1A" w:rsidRDefault="00A64B1A">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9">
    <w:p w14:paraId="59A5176F" w14:textId="360C6BBD" w:rsidR="00646AC2" w:rsidRDefault="00646AC2">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20">
    <w:p w14:paraId="350E746B" w14:textId="256D190F" w:rsidR="005703F6" w:rsidRPr="005703F6" w:rsidRDefault="00DF00F6" w:rsidP="005703F6">
      <w:pPr>
        <w:pStyle w:val="FootnoteText"/>
        <w:spacing w:after="0" w:line="240" w:lineRule="auto"/>
        <w:rPr>
          <w:rFonts w:asciiTheme="majorHAnsi" w:hAnsiTheme="majorHAnsi" w:cstheme="majorHAnsi"/>
          <w:i/>
          <w:iCs/>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sidR="00DC2C3C">
        <w:rPr>
          <w:rFonts w:asciiTheme="majorHAnsi" w:hAnsiTheme="majorHAnsi" w:cstheme="majorHAnsi"/>
          <w:sz w:val="16"/>
          <w:szCs w:val="16"/>
        </w:rPr>
        <w:t>98</w:t>
      </w:r>
      <w:r w:rsidRPr="00F85227">
        <w:rPr>
          <w:rFonts w:asciiTheme="majorHAnsi" w:hAnsiTheme="majorHAnsi" w:cstheme="majorHAnsi"/>
          <w:sz w:val="16"/>
          <w:szCs w:val="16"/>
        </w:rPr>
        <w:t xml:space="preserve">(5)(a) and (b) of the </w:t>
      </w:r>
      <w:r w:rsidRPr="00F85227">
        <w:rPr>
          <w:rFonts w:asciiTheme="majorHAnsi" w:hAnsiTheme="majorHAnsi" w:cstheme="majorHAnsi"/>
          <w:i/>
          <w:iCs/>
          <w:sz w:val="16"/>
          <w:szCs w:val="16"/>
        </w:rPr>
        <w:t xml:space="preserve">Local Government Act </w:t>
      </w:r>
      <w:r w:rsidR="00DC2C3C">
        <w:rPr>
          <w:rFonts w:asciiTheme="majorHAnsi" w:hAnsiTheme="majorHAnsi" w:cstheme="majorHAnsi"/>
          <w:i/>
          <w:iCs/>
          <w:sz w:val="16"/>
          <w:szCs w:val="16"/>
        </w:rPr>
        <w:t>2020</w:t>
      </w:r>
    </w:p>
  </w:footnote>
  <w:footnote w:id="21">
    <w:p w14:paraId="5E681214" w14:textId="577C6723" w:rsidR="005703F6" w:rsidRDefault="005703F6" w:rsidP="005703F6">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1</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2">
    <w:p w14:paraId="783C33E0" w14:textId="1060849B" w:rsidR="001B1041" w:rsidRDefault="001B1041" w:rsidP="001B1041">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2</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3">
    <w:p w14:paraId="7AD221FC" w14:textId="7333114B" w:rsidR="00DF00F6" w:rsidRPr="00F85227" w:rsidRDefault="00DF00F6" w:rsidP="00DF00F6">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sidR="00986BFF">
        <w:rPr>
          <w:rFonts w:asciiTheme="majorHAnsi" w:hAnsiTheme="majorHAnsi" w:cstheme="majorHAnsi"/>
          <w:sz w:val="16"/>
          <w:szCs w:val="16"/>
        </w:rPr>
        <w:t>99</w:t>
      </w:r>
      <w:r w:rsidRPr="00F85227">
        <w:rPr>
          <w:rFonts w:asciiTheme="majorHAnsi" w:hAnsiTheme="majorHAnsi" w:cstheme="majorHAnsi"/>
          <w:sz w:val="16"/>
          <w:szCs w:val="16"/>
        </w:rPr>
        <w:t>(</w:t>
      </w:r>
      <w:r w:rsidR="00986BFF">
        <w:rPr>
          <w:rFonts w:asciiTheme="majorHAnsi" w:hAnsiTheme="majorHAnsi" w:cstheme="majorHAnsi"/>
          <w:sz w:val="16"/>
          <w:szCs w:val="16"/>
        </w:rPr>
        <w:t>3</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sidR="00CB6D4C">
        <w:rPr>
          <w:rFonts w:asciiTheme="majorHAnsi" w:hAnsiTheme="majorHAnsi" w:cstheme="majorHAnsi"/>
          <w:i/>
          <w:iCs/>
          <w:sz w:val="16"/>
          <w:szCs w:val="16"/>
        </w:rPr>
        <w:t>2020</w:t>
      </w:r>
    </w:p>
  </w:footnote>
  <w:footnote w:id="24">
    <w:p w14:paraId="6A6EB2E3" w14:textId="04879F3E" w:rsidR="00DF00F6" w:rsidRPr="00F85227" w:rsidRDefault="00DF00F6" w:rsidP="00DF00F6">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 xml:space="preserve">Section </w:t>
      </w:r>
      <w:r w:rsidR="00C863D3">
        <w:rPr>
          <w:rFonts w:asciiTheme="majorHAnsi" w:hAnsiTheme="majorHAnsi" w:cstheme="majorHAnsi"/>
          <w:sz w:val="16"/>
          <w:szCs w:val="16"/>
          <w:lang w:val="en-GB"/>
        </w:rPr>
        <w:t>98</w:t>
      </w:r>
      <w:r w:rsidRPr="00F85227">
        <w:rPr>
          <w:rFonts w:asciiTheme="majorHAnsi" w:hAnsiTheme="majorHAnsi" w:cstheme="majorHAnsi"/>
          <w:sz w:val="16"/>
          <w:szCs w:val="16"/>
          <w:lang w:val="en-GB"/>
        </w:rPr>
        <w:t>(2)(e) of the</w:t>
      </w:r>
      <w:r w:rsidRPr="00F85227">
        <w:rPr>
          <w:rFonts w:asciiTheme="majorHAnsi" w:hAnsiTheme="majorHAnsi" w:cstheme="majorHAnsi"/>
          <w:i/>
          <w:iCs/>
          <w:sz w:val="16"/>
          <w:szCs w:val="16"/>
          <w:lang w:val="en-GB"/>
        </w:rPr>
        <w:t xml:space="preserve"> Local Government Act </w:t>
      </w:r>
      <w:r w:rsidR="00C863D3">
        <w:rPr>
          <w:rFonts w:asciiTheme="majorHAnsi" w:hAnsiTheme="majorHAnsi" w:cstheme="majorHAnsi"/>
          <w:i/>
          <w:iCs/>
          <w:sz w:val="16"/>
          <w:szCs w:val="16"/>
        </w:rPr>
        <w:t>2020</w:t>
      </w:r>
    </w:p>
  </w:footnote>
  <w:footnote w:id="25">
    <w:p w14:paraId="10307CEF" w14:textId="36984376" w:rsidR="00613E6F" w:rsidRPr="00F85227" w:rsidRDefault="00613E6F" w:rsidP="00613E6F">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sidR="00B17D28">
        <w:rPr>
          <w:rFonts w:asciiTheme="majorHAnsi" w:hAnsiTheme="majorHAnsi" w:cstheme="majorHAnsi"/>
          <w:sz w:val="16"/>
          <w:szCs w:val="16"/>
        </w:rPr>
        <w:t>4(2)</w:t>
      </w:r>
      <w:r w:rsidRPr="00F85227">
        <w:rPr>
          <w:rFonts w:asciiTheme="majorHAnsi" w:hAnsiTheme="majorHAnsi" w:cstheme="majorHAnsi"/>
          <w:sz w:val="16"/>
          <w:szCs w:val="16"/>
        </w:rPr>
        <w:t>(</w:t>
      </w:r>
      <w:r w:rsidR="00B17D28">
        <w:rPr>
          <w:rFonts w:asciiTheme="majorHAnsi" w:hAnsiTheme="majorHAnsi" w:cstheme="majorHAnsi"/>
          <w:sz w:val="16"/>
          <w:szCs w:val="16"/>
        </w:rPr>
        <w:t>a</w:t>
      </w:r>
      <w:r w:rsidRPr="00F85227">
        <w:rPr>
          <w:rFonts w:asciiTheme="majorHAnsi" w:hAnsiTheme="majorHAnsi" w:cstheme="majorHAnsi"/>
          <w:sz w:val="16"/>
          <w:szCs w:val="16"/>
        </w:rPr>
        <w:t>) of the Local Government (Planning and Reporting) Regulations 20</w:t>
      </w:r>
      <w:r w:rsidR="00B17D28">
        <w:rPr>
          <w:rFonts w:asciiTheme="majorHAnsi" w:hAnsiTheme="majorHAnsi" w:cstheme="majorHAnsi"/>
          <w:sz w:val="16"/>
          <w:szCs w:val="16"/>
        </w:rPr>
        <w:t>20</w:t>
      </w:r>
    </w:p>
  </w:footnote>
  <w:footnote w:id="26">
    <w:p w14:paraId="2F359F10" w14:textId="0E1717A5" w:rsidR="00613E6F" w:rsidRPr="00F85227" w:rsidRDefault="00613E6F" w:rsidP="00613E6F">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sidR="00FC1CF7">
        <w:rPr>
          <w:rFonts w:asciiTheme="majorHAnsi" w:hAnsiTheme="majorHAnsi" w:cstheme="majorHAnsi"/>
          <w:sz w:val="16"/>
          <w:szCs w:val="16"/>
        </w:rPr>
        <w:t>4(1)</w:t>
      </w:r>
      <w:r w:rsidRPr="00F85227">
        <w:rPr>
          <w:rFonts w:asciiTheme="majorHAnsi" w:hAnsiTheme="majorHAnsi" w:cstheme="majorHAnsi"/>
          <w:sz w:val="16"/>
          <w:szCs w:val="16"/>
        </w:rPr>
        <w:t>(a) of the Local Government (Planning and Reporting) Regulations 20</w:t>
      </w:r>
      <w:r w:rsidR="00FC1CF7">
        <w:rPr>
          <w:rFonts w:asciiTheme="majorHAnsi" w:hAnsiTheme="majorHAnsi" w:cstheme="majorHAnsi"/>
          <w:sz w:val="16"/>
          <w:szCs w:val="16"/>
        </w:rPr>
        <w:t>20</w:t>
      </w:r>
    </w:p>
  </w:footnote>
  <w:footnote w:id="27">
    <w:p w14:paraId="3723F22B" w14:textId="79BC90FD" w:rsidR="00613E6F" w:rsidRPr="00F85227" w:rsidRDefault="00613E6F" w:rsidP="00613E6F">
      <w:pPr>
        <w:pStyle w:val="FootnoteText"/>
        <w:spacing w:after="0" w:line="240" w:lineRule="auto"/>
        <w:rPr>
          <w:rFonts w:asciiTheme="majorHAnsi" w:hAnsiTheme="majorHAnsi" w:cstheme="majorHAnsi"/>
          <w:i/>
          <w:iCs/>
          <w:sz w:val="16"/>
          <w:szCs w:val="16"/>
          <w:lang w:val="en-GB"/>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w:t>
      </w:r>
      <w:r w:rsidR="00D6299E">
        <w:rPr>
          <w:rFonts w:asciiTheme="majorHAnsi" w:hAnsiTheme="majorHAnsi" w:cstheme="majorHAnsi"/>
          <w:sz w:val="16"/>
          <w:szCs w:val="16"/>
        </w:rPr>
        <w:t>14(2)</w:t>
      </w:r>
      <w:r w:rsidR="00AA213E">
        <w:rPr>
          <w:rFonts w:asciiTheme="majorHAnsi" w:hAnsiTheme="majorHAnsi" w:cstheme="majorHAnsi"/>
          <w:sz w:val="16"/>
          <w:szCs w:val="16"/>
        </w:rPr>
        <w:t>(b)</w:t>
      </w:r>
      <w:r w:rsidRPr="00F85227">
        <w:rPr>
          <w:rFonts w:asciiTheme="majorHAnsi" w:hAnsiTheme="majorHAnsi" w:cstheme="majorHAnsi"/>
          <w:sz w:val="16"/>
          <w:szCs w:val="16"/>
        </w:rPr>
        <w:t xml:space="preserve"> of the Local Government (Planning and Reporting) Regulations 20</w:t>
      </w:r>
      <w:r w:rsidR="00AA213E">
        <w:rPr>
          <w:rFonts w:asciiTheme="majorHAnsi" w:hAnsiTheme="majorHAnsi" w:cstheme="majorHAnsi"/>
          <w:sz w:val="16"/>
          <w:szCs w:val="16"/>
        </w:rPr>
        <w:t>20</w:t>
      </w:r>
    </w:p>
  </w:footnote>
  <w:footnote w:id="28">
    <w:p w14:paraId="4B566FEE" w14:textId="568A28DC" w:rsidR="009963FB" w:rsidRDefault="009963FB">
      <w:pPr>
        <w:pStyle w:val="FootnoteText"/>
      </w:pPr>
      <w:r>
        <w:rPr>
          <w:rStyle w:val="FootnoteReference"/>
        </w:rPr>
        <w:footnoteRef/>
      </w:r>
      <w:r>
        <w:t xml:space="preserve"> </w:t>
      </w:r>
      <w:r>
        <w:rPr>
          <w:rFonts w:asciiTheme="majorHAnsi" w:hAnsiTheme="majorHAnsi" w:cstheme="majorHAnsi"/>
          <w:sz w:val="16"/>
          <w:szCs w:val="16"/>
        </w:rPr>
        <w:t xml:space="preserve">Regulation </w:t>
      </w:r>
      <w:r w:rsidR="00A72DAF">
        <w:rPr>
          <w:rFonts w:asciiTheme="majorHAnsi" w:hAnsiTheme="majorHAnsi" w:cstheme="majorHAnsi"/>
          <w:sz w:val="16"/>
          <w:szCs w:val="16"/>
        </w:rPr>
        <w:t>4</w:t>
      </w:r>
      <w:r>
        <w:rPr>
          <w:rFonts w:asciiTheme="majorHAnsi" w:hAnsiTheme="majorHAnsi" w:cstheme="majorHAnsi"/>
          <w:sz w:val="16"/>
          <w:szCs w:val="16"/>
        </w:rPr>
        <w:t xml:space="preserve"> o</w:t>
      </w:r>
      <w:r w:rsidRPr="00F85227">
        <w:rPr>
          <w:rFonts w:asciiTheme="majorHAnsi" w:hAnsiTheme="majorHAnsi" w:cstheme="majorHAnsi"/>
          <w:sz w:val="16"/>
          <w:szCs w:val="16"/>
        </w:rPr>
        <w:t>f the</w:t>
      </w:r>
      <w:r>
        <w:rPr>
          <w:rFonts w:asciiTheme="majorHAnsi" w:hAnsiTheme="majorHAnsi" w:cstheme="majorHAnsi"/>
          <w:sz w:val="16"/>
          <w:szCs w:val="16"/>
        </w:rPr>
        <w:t xml:space="preserve"> Local Government (Planning and Reporting) Regulations 20</w:t>
      </w:r>
      <w:r w:rsidR="00A72DAF">
        <w:rPr>
          <w:rFonts w:asciiTheme="majorHAnsi" w:hAnsiTheme="majorHAnsi" w:cstheme="majorHAnsi"/>
          <w:sz w:val="16"/>
          <w:szCs w:val="16"/>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D29B" w14:textId="77777777" w:rsidR="006618F8" w:rsidRDefault="006618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5E9D" w14:textId="77777777" w:rsidR="00BE0584" w:rsidRPr="00644924" w:rsidRDefault="00BE0584" w:rsidP="00644924">
    <w:r>
      <w:rPr>
        <w:noProof/>
      </w:rPr>
      <w:drawing>
        <wp:anchor distT="0" distB="0" distL="114300" distR="114300" simplePos="0" relativeHeight="251654656" behindDoc="1" locked="0" layoutInCell="1" allowOverlap="1" wp14:anchorId="321D6ECE" wp14:editId="2E30AFBA">
          <wp:simplePos x="0" y="0"/>
          <wp:positionH relativeFrom="page">
            <wp:align>left</wp:align>
          </wp:positionH>
          <wp:positionV relativeFrom="page">
            <wp:align>top</wp:align>
          </wp:positionV>
          <wp:extent cx="10684798" cy="7559400"/>
          <wp:effectExtent l="0" t="0" r="0" b="0"/>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679E" w14:textId="1522427E" w:rsidR="00BE0584" w:rsidRDefault="00BE0584" w:rsidP="00FB108D">
    <w:pPr>
      <w:tabs>
        <w:tab w:val="left" w:pos="656"/>
      </w:tabs>
    </w:pPr>
    <w:r w:rsidRPr="00DE307A">
      <w:rPr>
        <w:b/>
        <w:caps/>
        <w:noProof/>
        <w:color w:val="auto"/>
        <w:sz w:val="20"/>
      </w:rPr>
      <w:drawing>
        <wp:anchor distT="0" distB="0" distL="114300" distR="114300" simplePos="0" relativeHeight="251659776" behindDoc="0" locked="0" layoutInCell="0" allowOverlap="1" wp14:anchorId="5E5D988A" wp14:editId="6FEF3D2C">
          <wp:simplePos x="0" y="0"/>
          <wp:positionH relativeFrom="page">
            <wp:align>left</wp:align>
          </wp:positionH>
          <wp:positionV relativeFrom="page">
            <wp:align>top</wp:align>
          </wp:positionV>
          <wp:extent cx="7559675" cy="10684510"/>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DJTR Policy cover.jpg"/>
                  <pic:cNvPicPr/>
                </pic:nvPicPr>
                <pic:blipFill>
                  <a:blip r:embed="rId1"/>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1" layoutInCell="1" allowOverlap="1" wp14:anchorId="085B2FD2" wp14:editId="01F2F949">
          <wp:simplePos x="0" y="0"/>
          <wp:positionH relativeFrom="page">
            <wp:align>right</wp:align>
          </wp:positionH>
          <wp:positionV relativeFrom="page">
            <wp:align>top</wp:align>
          </wp:positionV>
          <wp:extent cx="7559675" cy="10684510"/>
          <wp:effectExtent l="0" t="0" r="3175" b="2540"/>
          <wp:wrapNone/>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1" layoutInCell="1" allowOverlap="1" wp14:anchorId="7CE25FDA" wp14:editId="20ACEE3B">
          <wp:simplePos x="0" y="0"/>
          <wp:positionH relativeFrom="page">
            <wp:posOffset>45720</wp:posOffset>
          </wp:positionH>
          <wp:positionV relativeFrom="page">
            <wp:posOffset>135255</wp:posOffset>
          </wp:positionV>
          <wp:extent cx="6922770" cy="10377805"/>
          <wp:effectExtent l="0" t="0" r="0" b="444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499876297_Watermark.png"/>
                  <pic:cNvPicPr/>
                </pic:nvPicPr>
                <pic:blipFill>
                  <a:blip r:embed="rId3">
                    <a:extLst>
                      <a:ext uri="{28A0092B-C50C-407E-A947-70E740481C1C}">
                        <a14:useLocalDpi xmlns:a14="http://schemas.microsoft.com/office/drawing/2010/main" val="0"/>
                      </a:ext>
                    </a:extLst>
                  </a:blip>
                  <a:stretch>
                    <a:fillRect/>
                  </a:stretch>
                </pic:blipFill>
                <pic:spPr bwMode="auto">
                  <a:xfrm>
                    <a:off x="0" y="0"/>
                    <a:ext cx="6922770" cy="1037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D064" w14:textId="3A899B1F" w:rsidR="00BE0584" w:rsidRDefault="00BE0584" w:rsidP="00F821D9">
    <w:pPr>
      <w:rPr>
        <w:color w:val="auto"/>
        <w:sz w:val="20"/>
      </w:rPr>
    </w:pPr>
    <w:r>
      <w:rPr>
        <w:noProof/>
        <w:color w:val="auto"/>
        <w:sz w:val="20"/>
      </w:rPr>
      <w:drawing>
        <wp:anchor distT="0" distB="0" distL="114300" distR="114300" simplePos="0" relativeHeight="251656704" behindDoc="1" locked="1" layoutInCell="1" allowOverlap="1" wp14:anchorId="50315998" wp14:editId="10470845">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14A85" w14:textId="77777777" w:rsidR="00BE0584" w:rsidRDefault="00BE0584"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E1FA" w14:textId="77777777" w:rsidR="00BE0584" w:rsidRDefault="00BE0584" w:rsidP="00687E64">
    <w:pPr>
      <w:rPr>
        <w:color w:val="auto"/>
        <w:sz w:val="20"/>
      </w:rPr>
    </w:pPr>
    <w:r>
      <w:rPr>
        <w:noProof/>
        <w:color w:val="auto"/>
        <w:sz w:val="20"/>
      </w:rPr>
      <w:drawing>
        <wp:anchor distT="0" distB="0" distL="114300" distR="114300" simplePos="0" relativeHeight="251655680" behindDoc="1" locked="1" layoutInCell="1" allowOverlap="1" wp14:anchorId="1014EFB3" wp14:editId="0E3C5516">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737A0" w14:textId="77777777" w:rsidR="00BE0584" w:rsidRDefault="00BE0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42F077C"/>
    <w:multiLevelType w:val="hybridMultilevel"/>
    <w:tmpl w:val="C538A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5C17A2"/>
    <w:multiLevelType w:val="hybridMultilevel"/>
    <w:tmpl w:val="B476A5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357A087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DB68FC"/>
    <w:multiLevelType w:val="hybridMultilevel"/>
    <w:tmpl w:val="00E24B5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90542F2"/>
    <w:multiLevelType w:val="multilevel"/>
    <w:tmpl w:val="8AC62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color w:val="FFFFFF" w:themeColor="background1"/>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24"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hybridMultilevel"/>
    <w:tmpl w:val="E0E09B5E"/>
    <w:name w:val="DEPIListNumbering"/>
    <w:lvl w:ilvl="0" w:tplc="6D98DA76">
      <w:start w:val="1"/>
      <w:numFmt w:val="decimal"/>
      <w:pStyle w:val="ListNumber"/>
      <w:lvlText w:val="%1."/>
      <w:lvlJc w:val="left"/>
      <w:pPr>
        <w:tabs>
          <w:tab w:val="num" w:pos="340"/>
        </w:tabs>
        <w:ind w:left="340" w:hanging="340"/>
      </w:pPr>
      <w:rPr>
        <w:rFonts w:hint="default"/>
        <w:color w:val="000000" w:themeColor="text1"/>
        <w:spacing w:val="0"/>
        <w:sz w:val="20"/>
      </w:rPr>
    </w:lvl>
    <w:lvl w:ilvl="1" w:tplc="A228763E">
      <w:start w:val="1"/>
      <w:numFmt w:val="lowerLetter"/>
      <w:pStyle w:val="ListNumber2"/>
      <w:lvlText w:val="%2."/>
      <w:lvlJc w:val="left"/>
      <w:pPr>
        <w:tabs>
          <w:tab w:val="num" w:pos="680"/>
        </w:tabs>
        <w:ind w:left="680" w:hanging="340"/>
      </w:pPr>
      <w:rPr>
        <w:rFonts w:hint="default"/>
        <w:color w:val="000000" w:themeColor="text1"/>
        <w:spacing w:val="0"/>
        <w:sz w:val="20"/>
      </w:rPr>
    </w:lvl>
    <w:lvl w:ilvl="2" w:tplc="8ABE1B94">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27"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3"/>
  </w:num>
  <w:num w:numId="4">
    <w:abstractNumId w:val="2"/>
  </w:num>
  <w:num w:numId="5">
    <w:abstractNumId w:val="18"/>
  </w:num>
  <w:num w:numId="6">
    <w:abstractNumId w:val="5"/>
  </w:num>
  <w:num w:numId="7">
    <w:abstractNumId w:val="12"/>
  </w:num>
  <w:num w:numId="8">
    <w:abstractNumId w:val="23"/>
  </w:num>
  <w:num w:numId="9">
    <w:abstractNumId w:val="26"/>
  </w:num>
  <w:num w:numId="10">
    <w:abstractNumId w:val="8"/>
  </w:num>
  <w:num w:numId="11">
    <w:abstractNumId w:val="3"/>
  </w:num>
  <w:num w:numId="12">
    <w:abstractNumId w:val="25"/>
  </w:num>
  <w:num w:numId="13">
    <w:abstractNumId w:val="6"/>
  </w:num>
  <w:num w:numId="14">
    <w:abstractNumId w:val="10"/>
  </w:num>
  <w:num w:numId="15">
    <w:abstractNumId w:val="7"/>
  </w:num>
  <w:num w:numId="16">
    <w:abstractNumId w:val="15"/>
  </w:num>
  <w:num w:numId="17">
    <w:abstractNumId w:val="1"/>
  </w:num>
  <w:num w:numId="18">
    <w:abstractNumId w:val="17"/>
  </w:num>
  <w:num w:numId="19">
    <w:abstractNumId w:val="9"/>
  </w:num>
  <w:num w:numId="20">
    <w:abstractNumId w:val="22"/>
  </w:num>
  <w:num w:numId="21">
    <w:abstractNumId w:val="22"/>
  </w:num>
  <w:num w:numId="22">
    <w:abstractNumId w:val="24"/>
  </w:num>
  <w:num w:numId="23">
    <w:abstractNumId w:val="14"/>
  </w:num>
  <w:num w:numId="24">
    <w:abstractNumId w:val="4"/>
  </w:num>
  <w:num w:numId="25">
    <w:abstractNumId w:val="16"/>
  </w:num>
  <w:num w:numId="26">
    <w:abstractNumId w:val="27"/>
  </w:num>
  <w:num w:numId="27">
    <w:abstractNumId w:val="11"/>
  </w:num>
  <w:num w:numId="28">
    <w:abstractNumId w:val="22"/>
  </w:num>
  <w:num w:numId="29">
    <w:abstractNumId w:val="13"/>
  </w:num>
  <w:num w:numId="30">
    <w:abstractNumId w:val="13"/>
  </w:num>
  <w:num w:numId="3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6D"/>
    <w:rsid w:val="00003A89"/>
    <w:rsid w:val="00004865"/>
    <w:rsid w:val="00004DA3"/>
    <w:rsid w:val="0000762E"/>
    <w:rsid w:val="0001325B"/>
    <w:rsid w:val="0003307F"/>
    <w:rsid w:val="00033563"/>
    <w:rsid w:val="00034053"/>
    <w:rsid w:val="00035F97"/>
    <w:rsid w:val="00042680"/>
    <w:rsid w:val="00042B1B"/>
    <w:rsid w:val="0004322F"/>
    <w:rsid w:val="00043BBD"/>
    <w:rsid w:val="00044DC5"/>
    <w:rsid w:val="00046918"/>
    <w:rsid w:val="00046B81"/>
    <w:rsid w:val="00047B1C"/>
    <w:rsid w:val="0005022F"/>
    <w:rsid w:val="00055D6A"/>
    <w:rsid w:val="00060302"/>
    <w:rsid w:val="000628E6"/>
    <w:rsid w:val="00062CAC"/>
    <w:rsid w:val="00063516"/>
    <w:rsid w:val="000636CE"/>
    <w:rsid w:val="000664EC"/>
    <w:rsid w:val="00070516"/>
    <w:rsid w:val="00070EA2"/>
    <w:rsid w:val="000712B9"/>
    <w:rsid w:val="00072467"/>
    <w:rsid w:val="000733CF"/>
    <w:rsid w:val="000750A4"/>
    <w:rsid w:val="000770DD"/>
    <w:rsid w:val="000809CD"/>
    <w:rsid w:val="00083F3A"/>
    <w:rsid w:val="00085FEC"/>
    <w:rsid w:val="000861B9"/>
    <w:rsid w:val="00090A97"/>
    <w:rsid w:val="0009400D"/>
    <w:rsid w:val="000A0957"/>
    <w:rsid w:val="000A2445"/>
    <w:rsid w:val="000A42E1"/>
    <w:rsid w:val="000B0D70"/>
    <w:rsid w:val="000B14B4"/>
    <w:rsid w:val="000B29E6"/>
    <w:rsid w:val="000B2BD7"/>
    <w:rsid w:val="000B5CE2"/>
    <w:rsid w:val="000B7105"/>
    <w:rsid w:val="000B7E65"/>
    <w:rsid w:val="000C0FBC"/>
    <w:rsid w:val="000C26DF"/>
    <w:rsid w:val="000C661C"/>
    <w:rsid w:val="000C751A"/>
    <w:rsid w:val="000D0467"/>
    <w:rsid w:val="000D2169"/>
    <w:rsid w:val="000D502F"/>
    <w:rsid w:val="000D768C"/>
    <w:rsid w:val="000E39A7"/>
    <w:rsid w:val="000E45CA"/>
    <w:rsid w:val="000E58A6"/>
    <w:rsid w:val="000F0296"/>
    <w:rsid w:val="000F5B88"/>
    <w:rsid w:val="000F7643"/>
    <w:rsid w:val="00102960"/>
    <w:rsid w:val="00106B24"/>
    <w:rsid w:val="001145AA"/>
    <w:rsid w:val="00114757"/>
    <w:rsid w:val="0011742D"/>
    <w:rsid w:val="00117C86"/>
    <w:rsid w:val="001210CF"/>
    <w:rsid w:val="001221CA"/>
    <w:rsid w:val="001246CB"/>
    <w:rsid w:val="00126541"/>
    <w:rsid w:val="001266CB"/>
    <w:rsid w:val="00126F5A"/>
    <w:rsid w:val="0013272F"/>
    <w:rsid w:val="00133F06"/>
    <w:rsid w:val="00134843"/>
    <w:rsid w:val="00135B6F"/>
    <w:rsid w:val="001372B3"/>
    <w:rsid w:val="001402B9"/>
    <w:rsid w:val="001407EE"/>
    <w:rsid w:val="001410ED"/>
    <w:rsid w:val="001417FE"/>
    <w:rsid w:val="00142CA2"/>
    <w:rsid w:val="001433DC"/>
    <w:rsid w:val="001441F4"/>
    <w:rsid w:val="00145374"/>
    <w:rsid w:val="001458EF"/>
    <w:rsid w:val="00145B39"/>
    <w:rsid w:val="00146A12"/>
    <w:rsid w:val="00146C7F"/>
    <w:rsid w:val="00147592"/>
    <w:rsid w:val="00147F67"/>
    <w:rsid w:val="00151350"/>
    <w:rsid w:val="00152EB9"/>
    <w:rsid w:val="001543F4"/>
    <w:rsid w:val="00154C00"/>
    <w:rsid w:val="001575E7"/>
    <w:rsid w:val="00157A49"/>
    <w:rsid w:val="001605A7"/>
    <w:rsid w:val="0016187E"/>
    <w:rsid w:val="00162799"/>
    <w:rsid w:val="00162CEF"/>
    <w:rsid w:val="00164024"/>
    <w:rsid w:val="00164461"/>
    <w:rsid w:val="00164987"/>
    <w:rsid w:val="00166869"/>
    <w:rsid w:val="00167CD4"/>
    <w:rsid w:val="00170B84"/>
    <w:rsid w:val="00171235"/>
    <w:rsid w:val="001761DA"/>
    <w:rsid w:val="001774D2"/>
    <w:rsid w:val="00180D10"/>
    <w:rsid w:val="00181199"/>
    <w:rsid w:val="0018508C"/>
    <w:rsid w:val="001858C2"/>
    <w:rsid w:val="00186B61"/>
    <w:rsid w:val="001870F0"/>
    <w:rsid w:val="001878DC"/>
    <w:rsid w:val="00187CBA"/>
    <w:rsid w:val="001906AE"/>
    <w:rsid w:val="00190A16"/>
    <w:rsid w:val="001910D7"/>
    <w:rsid w:val="00191C65"/>
    <w:rsid w:val="00196146"/>
    <w:rsid w:val="0019679B"/>
    <w:rsid w:val="001A3D81"/>
    <w:rsid w:val="001A4118"/>
    <w:rsid w:val="001A653B"/>
    <w:rsid w:val="001A766A"/>
    <w:rsid w:val="001B1041"/>
    <w:rsid w:val="001B3D84"/>
    <w:rsid w:val="001B7496"/>
    <w:rsid w:val="001C361F"/>
    <w:rsid w:val="001C7060"/>
    <w:rsid w:val="001D3869"/>
    <w:rsid w:val="001E050E"/>
    <w:rsid w:val="001E0BF6"/>
    <w:rsid w:val="001E111D"/>
    <w:rsid w:val="001E6196"/>
    <w:rsid w:val="001F0A49"/>
    <w:rsid w:val="001F142F"/>
    <w:rsid w:val="001F305F"/>
    <w:rsid w:val="001F3D55"/>
    <w:rsid w:val="001F3E18"/>
    <w:rsid w:val="001F76F6"/>
    <w:rsid w:val="001F7FE5"/>
    <w:rsid w:val="00207D34"/>
    <w:rsid w:val="0021181F"/>
    <w:rsid w:val="00211C65"/>
    <w:rsid w:val="0021262D"/>
    <w:rsid w:val="002128F9"/>
    <w:rsid w:val="00213285"/>
    <w:rsid w:val="00213F95"/>
    <w:rsid w:val="00214165"/>
    <w:rsid w:val="002154A4"/>
    <w:rsid w:val="0021601A"/>
    <w:rsid w:val="00216C9D"/>
    <w:rsid w:val="00217839"/>
    <w:rsid w:val="0022061D"/>
    <w:rsid w:val="00225313"/>
    <w:rsid w:val="00226E4F"/>
    <w:rsid w:val="00230056"/>
    <w:rsid w:val="002327B8"/>
    <w:rsid w:val="00234340"/>
    <w:rsid w:val="00236379"/>
    <w:rsid w:val="00240644"/>
    <w:rsid w:val="00242692"/>
    <w:rsid w:val="00242DF6"/>
    <w:rsid w:val="00247333"/>
    <w:rsid w:val="002541E8"/>
    <w:rsid w:val="002574B9"/>
    <w:rsid w:val="00270CB2"/>
    <w:rsid w:val="002739D9"/>
    <w:rsid w:val="002754B1"/>
    <w:rsid w:val="00275C41"/>
    <w:rsid w:val="002767C7"/>
    <w:rsid w:val="00277A1E"/>
    <w:rsid w:val="00282A00"/>
    <w:rsid w:val="002848F0"/>
    <w:rsid w:val="00284A83"/>
    <w:rsid w:val="002878E7"/>
    <w:rsid w:val="00287CC4"/>
    <w:rsid w:val="00290F01"/>
    <w:rsid w:val="00292254"/>
    <w:rsid w:val="00292F73"/>
    <w:rsid w:val="00294079"/>
    <w:rsid w:val="00294DCD"/>
    <w:rsid w:val="00296517"/>
    <w:rsid w:val="0029692D"/>
    <w:rsid w:val="002A1B2C"/>
    <w:rsid w:val="002A201D"/>
    <w:rsid w:val="002A56CF"/>
    <w:rsid w:val="002A72B2"/>
    <w:rsid w:val="002A751D"/>
    <w:rsid w:val="002B06BF"/>
    <w:rsid w:val="002B0A79"/>
    <w:rsid w:val="002B0D7F"/>
    <w:rsid w:val="002B25F8"/>
    <w:rsid w:val="002B38ED"/>
    <w:rsid w:val="002B3B21"/>
    <w:rsid w:val="002B4B4E"/>
    <w:rsid w:val="002B5841"/>
    <w:rsid w:val="002C2F1F"/>
    <w:rsid w:val="002C47CE"/>
    <w:rsid w:val="002C6191"/>
    <w:rsid w:val="002D1F76"/>
    <w:rsid w:val="002D2394"/>
    <w:rsid w:val="002D5C9F"/>
    <w:rsid w:val="002E04F8"/>
    <w:rsid w:val="002E1077"/>
    <w:rsid w:val="002E3C2C"/>
    <w:rsid w:val="002E3C4F"/>
    <w:rsid w:val="002E6910"/>
    <w:rsid w:val="002F0B09"/>
    <w:rsid w:val="002F3AAC"/>
    <w:rsid w:val="002F4874"/>
    <w:rsid w:val="002F4CD0"/>
    <w:rsid w:val="002F6D02"/>
    <w:rsid w:val="0030048E"/>
    <w:rsid w:val="00300D80"/>
    <w:rsid w:val="00301B35"/>
    <w:rsid w:val="00303096"/>
    <w:rsid w:val="00304286"/>
    <w:rsid w:val="00305A14"/>
    <w:rsid w:val="00311372"/>
    <w:rsid w:val="00311E13"/>
    <w:rsid w:val="0031249C"/>
    <w:rsid w:val="003156D1"/>
    <w:rsid w:val="00316D0E"/>
    <w:rsid w:val="00317CC6"/>
    <w:rsid w:val="003219ED"/>
    <w:rsid w:val="00322AE7"/>
    <w:rsid w:val="00323FB3"/>
    <w:rsid w:val="0032455C"/>
    <w:rsid w:val="00325B1B"/>
    <w:rsid w:val="003268AE"/>
    <w:rsid w:val="0033056C"/>
    <w:rsid w:val="00330AAE"/>
    <w:rsid w:val="003314F9"/>
    <w:rsid w:val="00332B3B"/>
    <w:rsid w:val="00333454"/>
    <w:rsid w:val="00333C56"/>
    <w:rsid w:val="00335215"/>
    <w:rsid w:val="00336287"/>
    <w:rsid w:val="003367ED"/>
    <w:rsid w:val="00336B4B"/>
    <w:rsid w:val="003400F9"/>
    <w:rsid w:val="00342489"/>
    <w:rsid w:val="00343232"/>
    <w:rsid w:val="00343D1C"/>
    <w:rsid w:val="0034620F"/>
    <w:rsid w:val="003501E2"/>
    <w:rsid w:val="00350B38"/>
    <w:rsid w:val="00353513"/>
    <w:rsid w:val="00353D57"/>
    <w:rsid w:val="003603BD"/>
    <w:rsid w:val="003628E3"/>
    <w:rsid w:val="00364EDE"/>
    <w:rsid w:val="00375F08"/>
    <w:rsid w:val="00377EDA"/>
    <w:rsid w:val="0038297E"/>
    <w:rsid w:val="003839F1"/>
    <w:rsid w:val="00391A43"/>
    <w:rsid w:val="00391E51"/>
    <w:rsid w:val="0039513D"/>
    <w:rsid w:val="00396996"/>
    <w:rsid w:val="003972C0"/>
    <w:rsid w:val="003A00EE"/>
    <w:rsid w:val="003A2330"/>
    <w:rsid w:val="003A44AD"/>
    <w:rsid w:val="003A5B5D"/>
    <w:rsid w:val="003A7C3A"/>
    <w:rsid w:val="003B0708"/>
    <w:rsid w:val="003B093E"/>
    <w:rsid w:val="003B31C0"/>
    <w:rsid w:val="003B37BD"/>
    <w:rsid w:val="003B4F2D"/>
    <w:rsid w:val="003C158D"/>
    <w:rsid w:val="003C1E5E"/>
    <w:rsid w:val="003C42CC"/>
    <w:rsid w:val="003C7D2E"/>
    <w:rsid w:val="003D02A7"/>
    <w:rsid w:val="003D0A7E"/>
    <w:rsid w:val="003D44AD"/>
    <w:rsid w:val="003E0D10"/>
    <w:rsid w:val="003E0E91"/>
    <w:rsid w:val="003E2620"/>
    <w:rsid w:val="003E55B0"/>
    <w:rsid w:val="003E690A"/>
    <w:rsid w:val="003E73DE"/>
    <w:rsid w:val="003E746F"/>
    <w:rsid w:val="003E7D11"/>
    <w:rsid w:val="003F11A2"/>
    <w:rsid w:val="003F155F"/>
    <w:rsid w:val="003F26F3"/>
    <w:rsid w:val="003F3E27"/>
    <w:rsid w:val="003F7FDA"/>
    <w:rsid w:val="0040000B"/>
    <w:rsid w:val="004007A2"/>
    <w:rsid w:val="00401824"/>
    <w:rsid w:val="00403638"/>
    <w:rsid w:val="00412227"/>
    <w:rsid w:val="00413B10"/>
    <w:rsid w:val="00415CAD"/>
    <w:rsid w:val="0042198C"/>
    <w:rsid w:val="00421E8D"/>
    <w:rsid w:val="00422F1C"/>
    <w:rsid w:val="00424FC4"/>
    <w:rsid w:val="00425206"/>
    <w:rsid w:val="004266C3"/>
    <w:rsid w:val="004271B5"/>
    <w:rsid w:val="00427A61"/>
    <w:rsid w:val="00431773"/>
    <w:rsid w:val="00431CED"/>
    <w:rsid w:val="00433026"/>
    <w:rsid w:val="00434C3B"/>
    <w:rsid w:val="00435FCF"/>
    <w:rsid w:val="004368D2"/>
    <w:rsid w:val="004371F6"/>
    <w:rsid w:val="00440DF0"/>
    <w:rsid w:val="00442002"/>
    <w:rsid w:val="0044238C"/>
    <w:rsid w:val="00442DCC"/>
    <w:rsid w:val="004464C4"/>
    <w:rsid w:val="00446AE3"/>
    <w:rsid w:val="004477B6"/>
    <w:rsid w:val="004505C4"/>
    <w:rsid w:val="004512D2"/>
    <w:rsid w:val="00451A1D"/>
    <w:rsid w:val="00453FE0"/>
    <w:rsid w:val="00456170"/>
    <w:rsid w:val="004602BE"/>
    <w:rsid w:val="00460E3E"/>
    <w:rsid w:val="004621A0"/>
    <w:rsid w:val="00462872"/>
    <w:rsid w:val="004662E2"/>
    <w:rsid w:val="0047003A"/>
    <w:rsid w:val="00474C1D"/>
    <w:rsid w:val="00476BAF"/>
    <w:rsid w:val="00481BEA"/>
    <w:rsid w:val="00482743"/>
    <w:rsid w:val="0048558F"/>
    <w:rsid w:val="0048560F"/>
    <w:rsid w:val="00485BBF"/>
    <w:rsid w:val="00487AF4"/>
    <w:rsid w:val="0049132E"/>
    <w:rsid w:val="004A05F4"/>
    <w:rsid w:val="004A147F"/>
    <w:rsid w:val="004A3E48"/>
    <w:rsid w:val="004B1DBA"/>
    <w:rsid w:val="004B3A05"/>
    <w:rsid w:val="004B3C74"/>
    <w:rsid w:val="004B3FC2"/>
    <w:rsid w:val="004B52F2"/>
    <w:rsid w:val="004B663E"/>
    <w:rsid w:val="004C5942"/>
    <w:rsid w:val="004C5B32"/>
    <w:rsid w:val="004C75FB"/>
    <w:rsid w:val="004D1CD0"/>
    <w:rsid w:val="004D253B"/>
    <w:rsid w:val="004D3E20"/>
    <w:rsid w:val="004D6456"/>
    <w:rsid w:val="004D653B"/>
    <w:rsid w:val="004D6DAC"/>
    <w:rsid w:val="004E013B"/>
    <w:rsid w:val="004E111A"/>
    <w:rsid w:val="004E13F0"/>
    <w:rsid w:val="004E4C95"/>
    <w:rsid w:val="004E6DA5"/>
    <w:rsid w:val="004E6FBF"/>
    <w:rsid w:val="004F10C7"/>
    <w:rsid w:val="004F19D4"/>
    <w:rsid w:val="004F1E91"/>
    <w:rsid w:val="004F3C9F"/>
    <w:rsid w:val="004F3CE6"/>
    <w:rsid w:val="005001F0"/>
    <w:rsid w:val="00501171"/>
    <w:rsid w:val="005032D7"/>
    <w:rsid w:val="00506A93"/>
    <w:rsid w:val="005104E6"/>
    <w:rsid w:val="00511D55"/>
    <w:rsid w:val="0051240D"/>
    <w:rsid w:val="005163FE"/>
    <w:rsid w:val="0052536C"/>
    <w:rsid w:val="005257C6"/>
    <w:rsid w:val="00525C20"/>
    <w:rsid w:val="00525DE6"/>
    <w:rsid w:val="005276EB"/>
    <w:rsid w:val="005328F2"/>
    <w:rsid w:val="00532BAD"/>
    <w:rsid w:val="00535B4A"/>
    <w:rsid w:val="00535D6A"/>
    <w:rsid w:val="00537F3D"/>
    <w:rsid w:val="00542F1C"/>
    <w:rsid w:val="0054326C"/>
    <w:rsid w:val="00543EE3"/>
    <w:rsid w:val="00545C0D"/>
    <w:rsid w:val="00550B3F"/>
    <w:rsid w:val="00552762"/>
    <w:rsid w:val="005555AA"/>
    <w:rsid w:val="00557D64"/>
    <w:rsid w:val="00560596"/>
    <w:rsid w:val="00561359"/>
    <w:rsid w:val="00561E98"/>
    <w:rsid w:val="00562AC4"/>
    <w:rsid w:val="00562E70"/>
    <w:rsid w:val="005638AA"/>
    <w:rsid w:val="005642AE"/>
    <w:rsid w:val="005656A1"/>
    <w:rsid w:val="005703F6"/>
    <w:rsid w:val="005723C8"/>
    <w:rsid w:val="00572E44"/>
    <w:rsid w:val="00575FF5"/>
    <w:rsid w:val="00576C72"/>
    <w:rsid w:val="005809F1"/>
    <w:rsid w:val="005821DC"/>
    <w:rsid w:val="0058384E"/>
    <w:rsid w:val="005847AD"/>
    <w:rsid w:val="00585115"/>
    <w:rsid w:val="005906FC"/>
    <w:rsid w:val="00590A58"/>
    <w:rsid w:val="00590C07"/>
    <w:rsid w:val="00591895"/>
    <w:rsid w:val="00592194"/>
    <w:rsid w:val="00594452"/>
    <w:rsid w:val="005945FD"/>
    <w:rsid w:val="005A047B"/>
    <w:rsid w:val="005A0EF5"/>
    <w:rsid w:val="005A1711"/>
    <w:rsid w:val="005A2F7E"/>
    <w:rsid w:val="005A6D9F"/>
    <w:rsid w:val="005A7CEF"/>
    <w:rsid w:val="005B0813"/>
    <w:rsid w:val="005B2202"/>
    <w:rsid w:val="005B25E8"/>
    <w:rsid w:val="005B28A2"/>
    <w:rsid w:val="005B5DAE"/>
    <w:rsid w:val="005C137A"/>
    <w:rsid w:val="005C16F7"/>
    <w:rsid w:val="005C1843"/>
    <w:rsid w:val="005C1DD9"/>
    <w:rsid w:val="005C3CE6"/>
    <w:rsid w:val="005D4B13"/>
    <w:rsid w:val="005D5C32"/>
    <w:rsid w:val="005D6655"/>
    <w:rsid w:val="005E00E8"/>
    <w:rsid w:val="005E119B"/>
    <w:rsid w:val="005E284D"/>
    <w:rsid w:val="005E290C"/>
    <w:rsid w:val="005F581A"/>
    <w:rsid w:val="005F655D"/>
    <w:rsid w:val="005F66C6"/>
    <w:rsid w:val="005F6CE7"/>
    <w:rsid w:val="005F6E9E"/>
    <w:rsid w:val="005F6F78"/>
    <w:rsid w:val="00603195"/>
    <w:rsid w:val="006041FB"/>
    <w:rsid w:val="0060429D"/>
    <w:rsid w:val="00604D7C"/>
    <w:rsid w:val="0060555E"/>
    <w:rsid w:val="00606B6E"/>
    <w:rsid w:val="00607F8D"/>
    <w:rsid w:val="0061119F"/>
    <w:rsid w:val="00613E6F"/>
    <w:rsid w:val="006141AA"/>
    <w:rsid w:val="006150B6"/>
    <w:rsid w:val="00615B33"/>
    <w:rsid w:val="00615E3C"/>
    <w:rsid w:val="006202B7"/>
    <w:rsid w:val="0062121B"/>
    <w:rsid w:val="00621A3F"/>
    <w:rsid w:val="006231AE"/>
    <w:rsid w:val="006242FA"/>
    <w:rsid w:val="0062435C"/>
    <w:rsid w:val="00625114"/>
    <w:rsid w:val="00625D80"/>
    <w:rsid w:val="00632807"/>
    <w:rsid w:val="006362E0"/>
    <w:rsid w:val="006367E9"/>
    <w:rsid w:val="00641393"/>
    <w:rsid w:val="006443A7"/>
    <w:rsid w:val="00644924"/>
    <w:rsid w:val="0064636E"/>
    <w:rsid w:val="00646AC2"/>
    <w:rsid w:val="0065060C"/>
    <w:rsid w:val="006510F1"/>
    <w:rsid w:val="006512DD"/>
    <w:rsid w:val="006574C0"/>
    <w:rsid w:val="0065766F"/>
    <w:rsid w:val="006618F8"/>
    <w:rsid w:val="00661925"/>
    <w:rsid w:val="00665435"/>
    <w:rsid w:val="006664B6"/>
    <w:rsid w:val="00666F1E"/>
    <w:rsid w:val="0067613A"/>
    <w:rsid w:val="00677E57"/>
    <w:rsid w:val="00680542"/>
    <w:rsid w:val="00680E2D"/>
    <w:rsid w:val="00681EE4"/>
    <w:rsid w:val="00687148"/>
    <w:rsid w:val="0068785E"/>
    <w:rsid w:val="00687E64"/>
    <w:rsid w:val="006905F9"/>
    <w:rsid w:val="00690619"/>
    <w:rsid w:val="00690DAA"/>
    <w:rsid w:val="00691710"/>
    <w:rsid w:val="0069406A"/>
    <w:rsid w:val="00694DB9"/>
    <w:rsid w:val="00696044"/>
    <w:rsid w:val="00696640"/>
    <w:rsid w:val="00696E97"/>
    <w:rsid w:val="006A2FFA"/>
    <w:rsid w:val="006A4825"/>
    <w:rsid w:val="006A6607"/>
    <w:rsid w:val="006A71A6"/>
    <w:rsid w:val="006A7AF3"/>
    <w:rsid w:val="006B1300"/>
    <w:rsid w:val="006B2D0B"/>
    <w:rsid w:val="006B3A7E"/>
    <w:rsid w:val="006B4DC9"/>
    <w:rsid w:val="006B778A"/>
    <w:rsid w:val="006C0F74"/>
    <w:rsid w:val="006C18B7"/>
    <w:rsid w:val="006C4C43"/>
    <w:rsid w:val="006C7051"/>
    <w:rsid w:val="006C7DEC"/>
    <w:rsid w:val="006D188E"/>
    <w:rsid w:val="006D37E5"/>
    <w:rsid w:val="006D6557"/>
    <w:rsid w:val="006D7B1C"/>
    <w:rsid w:val="006E669F"/>
    <w:rsid w:val="006E6885"/>
    <w:rsid w:val="006F01F2"/>
    <w:rsid w:val="006F0E7E"/>
    <w:rsid w:val="006F0ECE"/>
    <w:rsid w:val="006F1AA2"/>
    <w:rsid w:val="006F2721"/>
    <w:rsid w:val="006F6135"/>
    <w:rsid w:val="006F6E52"/>
    <w:rsid w:val="00700B64"/>
    <w:rsid w:val="00701C90"/>
    <w:rsid w:val="00701DEC"/>
    <w:rsid w:val="00702541"/>
    <w:rsid w:val="00702834"/>
    <w:rsid w:val="00704AF9"/>
    <w:rsid w:val="00705526"/>
    <w:rsid w:val="00707F05"/>
    <w:rsid w:val="00710763"/>
    <w:rsid w:val="00710815"/>
    <w:rsid w:val="00712FE0"/>
    <w:rsid w:val="007150EF"/>
    <w:rsid w:val="00720471"/>
    <w:rsid w:val="00720991"/>
    <w:rsid w:val="007231D6"/>
    <w:rsid w:val="0072425B"/>
    <w:rsid w:val="00724531"/>
    <w:rsid w:val="00730369"/>
    <w:rsid w:val="007323CB"/>
    <w:rsid w:val="00733EF3"/>
    <w:rsid w:val="00734911"/>
    <w:rsid w:val="007349B4"/>
    <w:rsid w:val="00734E09"/>
    <w:rsid w:val="0073555F"/>
    <w:rsid w:val="00736009"/>
    <w:rsid w:val="00740629"/>
    <w:rsid w:val="007431E7"/>
    <w:rsid w:val="007439A5"/>
    <w:rsid w:val="00743C50"/>
    <w:rsid w:val="007444DD"/>
    <w:rsid w:val="0074484E"/>
    <w:rsid w:val="00747C75"/>
    <w:rsid w:val="0075325C"/>
    <w:rsid w:val="007546A5"/>
    <w:rsid w:val="007557AE"/>
    <w:rsid w:val="0075705E"/>
    <w:rsid w:val="007612B8"/>
    <w:rsid w:val="0076308C"/>
    <w:rsid w:val="00764692"/>
    <w:rsid w:val="007646AA"/>
    <w:rsid w:val="00765945"/>
    <w:rsid w:val="007668F8"/>
    <w:rsid w:val="00767EAA"/>
    <w:rsid w:val="00770593"/>
    <w:rsid w:val="00770803"/>
    <w:rsid w:val="00771777"/>
    <w:rsid w:val="007733A5"/>
    <w:rsid w:val="00781304"/>
    <w:rsid w:val="007822CD"/>
    <w:rsid w:val="00782C92"/>
    <w:rsid w:val="007860E2"/>
    <w:rsid w:val="007866C9"/>
    <w:rsid w:val="00786A9C"/>
    <w:rsid w:val="00786C5F"/>
    <w:rsid w:val="007912C5"/>
    <w:rsid w:val="00791559"/>
    <w:rsid w:val="00792F75"/>
    <w:rsid w:val="0079480E"/>
    <w:rsid w:val="00797ECF"/>
    <w:rsid w:val="007A33A7"/>
    <w:rsid w:val="007A44AC"/>
    <w:rsid w:val="007A73AD"/>
    <w:rsid w:val="007A750F"/>
    <w:rsid w:val="007B099E"/>
    <w:rsid w:val="007B279F"/>
    <w:rsid w:val="007B2A74"/>
    <w:rsid w:val="007B3E70"/>
    <w:rsid w:val="007B4719"/>
    <w:rsid w:val="007C0D63"/>
    <w:rsid w:val="007C1287"/>
    <w:rsid w:val="007C3081"/>
    <w:rsid w:val="007C3D0F"/>
    <w:rsid w:val="007C429F"/>
    <w:rsid w:val="007C46A1"/>
    <w:rsid w:val="007C52AE"/>
    <w:rsid w:val="007C6538"/>
    <w:rsid w:val="007C6838"/>
    <w:rsid w:val="007D36EB"/>
    <w:rsid w:val="007D40B8"/>
    <w:rsid w:val="007D5CDB"/>
    <w:rsid w:val="007E01B3"/>
    <w:rsid w:val="007E1107"/>
    <w:rsid w:val="007E322D"/>
    <w:rsid w:val="007E388D"/>
    <w:rsid w:val="007E4824"/>
    <w:rsid w:val="007E5DD2"/>
    <w:rsid w:val="007F3B63"/>
    <w:rsid w:val="007F72A9"/>
    <w:rsid w:val="008027EC"/>
    <w:rsid w:val="00805E7C"/>
    <w:rsid w:val="00807A79"/>
    <w:rsid w:val="008107F7"/>
    <w:rsid w:val="00812C9B"/>
    <w:rsid w:val="00814984"/>
    <w:rsid w:val="008151D9"/>
    <w:rsid w:val="008166D1"/>
    <w:rsid w:val="0081790C"/>
    <w:rsid w:val="00820603"/>
    <w:rsid w:val="00820E44"/>
    <w:rsid w:val="00820E94"/>
    <w:rsid w:val="008210F9"/>
    <w:rsid w:val="00821D06"/>
    <w:rsid w:val="00825EE0"/>
    <w:rsid w:val="008268CA"/>
    <w:rsid w:val="008270D0"/>
    <w:rsid w:val="008275F3"/>
    <w:rsid w:val="00830467"/>
    <w:rsid w:val="00833417"/>
    <w:rsid w:val="0084040C"/>
    <w:rsid w:val="008405BE"/>
    <w:rsid w:val="008452A4"/>
    <w:rsid w:val="00846703"/>
    <w:rsid w:val="00854053"/>
    <w:rsid w:val="00855401"/>
    <w:rsid w:val="00855D60"/>
    <w:rsid w:val="008571B4"/>
    <w:rsid w:val="00857BA7"/>
    <w:rsid w:val="00864B2F"/>
    <w:rsid w:val="00864D23"/>
    <w:rsid w:val="0086526A"/>
    <w:rsid w:val="008678F3"/>
    <w:rsid w:val="00867D98"/>
    <w:rsid w:val="0087121B"/>
    <w:rsid w:val="00872E2D"/>
    <w:rsid w:val="008730BD"/>
    <w:rsid w:val="00876521"/>
    <w:rsid w:val="00877CF7"/>
    <w:rsid w:val="008814DE"/>
    <w:rsid w:val="00882F64"/>
    <w:rsid w:val="008854F6"/>
    <w:rsid w:val="008918A2"/>
    <w:rsid w:val="00892F06"/>
    <w:rsid w:val="0089310B"/>
    <w:rsid w:val="00894F00"/>
    <w:rsid w:val="008A039C"/>
    <w:rsid w:val="008A0FF6"/>
    <w:rsid w:val="008A66EB"/>
    <w:rsid w:val="008A6B41"/>
    <w:rsid w:val="008A6CA8"/>
    <w:rsid w:val="008A6CDE"/>
    <w:rsid w:val="008B31FD"/>
    <w:rsid w:val="008C33C4"/>
    <w:rsid w:val="008C3C9C"/>
    <w:rsid w:val="008C52F4"/>
    <w:rsid w:val="008C7E05"/>
    <w:rsid w:val="008D1DF3"/>
    <w:rsid w:val="008D1ECB"/>
    <w:rsid w:val="008D72D6"/>
    <w:rsid w:val="008E34C0"/>
    <w:rsid w:val="008E45EE"/>
    <w:rsid w:val="008E4A82"/>
    <w:rsid w:val="008E4CE8"/>
    <w:rsid w:val="008E4EDB"/>
    <w:rsid w:val="008F0DEB"/>
    <w:rsid w:val="008F28B2"/>
    <w:rsid w:val="008F6252"/>
    <w:rsid w:val="00906D45"/>
    <w:rsid w:val="0090719D"/>
    <w:rsid w:val="00907A96"/>
    <w:rsid w:val="00907F21"/>
    <w:rsid w:val="0091063D"/>
    <w:rsid w:val="00912A0F"/>
    <w:rsid w:val="00913117"/>
    <w:rsid w:val="00914371"/>
    <w:rsid w:val="00914E64"/>
    <w:rsid w:val="009159A6"/>
    <w:rsid w:val="00915FEA"/>
    <w:rsid w:val="00921A00"/>
    <w:rsid w:val="00926908"/>
    <w:rsid w:val="00927643"/>
    <w:rsid w:val="009318C7"/>
    <w:rsid w:val="00931EE2"/>
    <w:rsid w:val="0093205D"/>
    <w:rsid w:val="009324C3"/>
    <w:rsid w:val="00932CBC"/>
    <w:rsid w:val="00934FB0"/>
    <w:rsid w:val="0093645A"/>
    <w:rsid w:val="009370DF"/>
    <w:rsid w:val="00940742"/>
    <w:rsid w:val="009407CD"/>
    <w:rsid w:val="0094101E"/>
    <w:rsid w:val="00942086"/>
    <w:rsid w:val="00946962"/>
    <w:rsid w:val="009508B4"/>
    <w:rsid w:val="00951EBD"/>
    <w:rsid w:val="00953795"/>
    <w:rsid w:val="00955BF5"/>
    <w:rsid w:val="0095742B"/>
    <w:rsid w:val="00961C45"/>
    <w:rsid w:val="00961E35"/>
    <w:rsid w:val="0096458E"/>
    <w:rsid w:val="00964DD8"/>
    <w:rsid w:val="00965250"/>
    <w:rsid w:val="009657D9"/>
    <w:rsid w:val="00965A99"/>
    <w:rsid w:val="00965E6E"/>
    <w:rsid w:val="009669C9"/>
    <w:rsid w:val="00967228"/>
    <w:rsid w:val="00971CDB"/>
    <w:rsid w:val="00972B6B"/>
    <w:rsid w:val="00974069"/>
    <w:rsid w:val="00974135"/>
    <w:rsid w:val="009749A5"/>
    <w:rsid w:val="00975F0E"/>
    <w:rsid w:val="00983B41"/>
    <w:rsid w:val="00983FCB"/>
    <w:rsid w:val="009848E6"/>
    <w:rsid w:val="00986BFF"/>
    <w:rsid w:val="00993B8D"/>
    <w:rsid w:val="00995EF0"/>
    <w:rsid w:val="009960AA"/>
    <w:rsid w:val="009963FB"/>
    <w:rsid w:val="0099649A"/>
    <w:rsid w:val="0099708A"/>
    <w:rsid w:val="009970B8"/>
    <w:rsid w:val="009A0076"/>
    <w:rsid w:val="009A0BB0"/>
    <w:rsid w:val="009A287F"/>
    <w:rsid w:val="009A293C"/>
    <w:rsid w:val="009A550B"/>
    <w:rsid w:val="009A65E3"/>
    <w:rsid w:val="009B079D"/>
    <w:rsid w:val="009B4254"/>
    <w:rsid w:val="009B569E"/>
    <w:rsid w:val="009C1199"/>
    <w:rsid w:val="009C1498"/>
    <w:rsid w:val="009C2EAA"/>
    <w:rsid w:val="009D04CD"/>
    <w:rsid w:val="009D0D90"/>
    <w:rsid w:val="009D2578"/>
    <w:rsid w:val="009D44FC"/>
    <w:rsid w:val="009D7715"/>
    <w:rsid w:val="009E050A"/>
    <w:rsid w:val="009E0B3D"/>
    <w:rsid w:val="009E17C2"/>
    <w:rsid w:val="009E2349"/>
    <w:rsid w:val="009E2D7A"/>
    <w:rsid w:val="009E3424"/>
    <w:rsid w:val="009E3754"/>
    <w:rsid w:val="009E692C"/>
    <w:rsid w:val="009E7C7D"/>
    <w:rsid w:val="009F4F4B"/>
    <w:rsid w:val="009F755C"/>
    <w:rsid w:val="009F7FCA"/>
    <w:rsid w:val="00A013D3"/>
    <w:rsid w:val="00A041C7"/>
    <w:rsid w:val="00A050EF"/>
    <w:rsid w:val="00A05AC4"/>
    <w:rsid w:val="00A067CA"/>
    <w:rsid w:val="00A0687D"/>
    <w:rsid w:val="00A07DF2"/>
    <w:rsid w:val="00A11752"/>
    <w:rsid w:val="00A1241B"/>
    <w:rsid w:val="00A12F31"/>
    <w:rsid w:val="00A14519"/>
    <w:rsid w:val="00A1590C"/>
    <w:rsid w:val="00A17119"/>
    <w:rsid w:val="00A216C1"/>
    <w:rsid w:val="00A22F97"/>
    <w:rsid w:val="00A2461F"/>
    <w:rsid w:val="00A30513"/>
    <w:rsid w:val="00A30532"/>
    <w:rsid w:val="00A31B88"/>
    <w:rsid w:val="00A31EFB"/>
    <w:rsid w:val="00A34096"/>
    <w:rsid w:val="00A353AA"/>
    <w:rsid w:val="00A35431"/>
    <w:rsid w:val="00A4031F"/>
    <w:rsid w:val="00A40738"/>
    <w:rsid w:val="00A417A4"/>
    <w:rsid w:val="00A41A0F"/>
    <w:rsid w:val="00A41BC5"/>
    <w:rsid w:val="00A426CA"/>
    <w:rsid w:val="00A44283"/>
    <w:rsid w:val="00A447F7"/>
    <w:rsid w:val="00A4493B"/>
    <w:rsid w:val="00A465E3"/>
    <w:rsid w:val="00A475DF"/>
    <w:rsid w:val="00A47705"/>
    <w:rsid w:val="00A5077E"/>
    <w:rsid w:val="00A50B5F"/>
    <w:rsid w:val="00A52815"/>
    <w:rsid w:val="00A529EA"/>
    <w:rsid w:val="00A611A7"/>
    <w:rsid w:val="00A6196F"/>
    <w:rsid w:val="00A62368"/>
    <w:rsid w:val="00A64B1A"/>
    <w:rsid w:val="00A67442"/>
    <w:rsid w:val="00A70DC2"/>
    <w:rsid w:val="00A72DAF"/>
    <w:rsid w:val="00A7424A"/>
    <w:rsid w:val="00A75222"/>
    <w:rsid w:val="00A75A13"/>
    <w:rsid w:val="00A806C6"/>
    <w:rsid w:val="00A816E9"/>
    <w:rsid w:val="00A862F8"/>
    <w:rsid w:val="00A93F72"/>
    <w:rsid w:val="00A94CD5"/>
    <w:rsid w:val="00A97FCA"/>
    <w:rsid w:val="00AA213E"/>
    <w:rsid w:val="00AA44D7"/>
    <w:rsid w:val="00AB1D65"/>
    <w:rsid w:val="00AB2E25"/>
    <w:rsid w:val="00AB4C46"/>
    <w:rsid w:val="00AC48DF"/>
    <w:rsid w:val="00AC77B1"/>
    <w:rsid w:val="00AC7B26"/>
    <w:rsid w:val="00AD211E"/>
    <w:rsid w:val="00AD6C4A"/>
    <w:rsid w:val="00AD7309"/>
    <w:rsid w:val="00AE0C37"/>
    <w:rsid w:val="00AE10C1"/>
    <w:rsid w:val="00AE4EC1"/>
    <w:rsid w:val="00AE5B7E"/>
    <w:rsid w:val="00AE5EC0"/>
    <w:rsid w:val="00AE6758"/>
    <w:rsid w:val="00AE75F4"/>
    <w:rsid w:val="00AF0660"/>
    <w:rsid w:val="00AF11D9"/>
    <w:rsid w:val="00AF152C"/>
    <w:rsid w:val="00AF2B09"/>
    <w:rsid w:val="00AF41BB"/>
    <w:rsid w:val="00B05BAA"/>
    <w:rsid w:val="00B07F03"/>
    <w:rsid w:val="00B101B3"/>
    <w:rsid w:val="00B10736"/>
    <w:rsid w:val="00B116D8"/>
    <w:rsid w:val="00B11A71"/>
    <w:rsid w:val="00B13281"/>
    <w:rsid w:val="00B14DDB"/>
    <w:rsid w:val="00B17D28"/>
    <w:rsid w:val="00B204C6"/>
    <w:rsid w:val="00B2112B"/>
    <w:rsid w:val="00B23EEE"/>
    <w:rsid w:val="00B25F80"/>
    <w:rsid w:val="00B27048"/>
    <w:rsid w:val="00B27699"/>
    <w:rsid w:val="00B32FFF"/>
    <w:rsid w:val="00B33D08"/>
    <w:rsid w:val="00B349EC"/>
    <w:rsid w:val="00B35CA5"/>
    <w:rsid w:val="00B40E4B"/>
    <w:rsid w:val="00B412FF"/>
    <w:rsid w:val="00B41AB6"/>
    <w:rsid w:val="00B435CC"/>
    <w:rsid w:val="00B461CF"/>
    <w:rsid w:val="00B5046E"/>
    <w:rsid w:val="00B55DAF"/>
    <w:rsid w:val="00B561B7"/>
    <w:rsid w:val="00B60F81"/>
    <w:rsid w:val="00B62A2A"/>
    <w:rsid w:val="00B63B43"/>
    <w:rsid w:val="00B64D60"/>
    <w:rsid w:val="00B65397"/>
    <w:rsid w:val="00B65AC6"/>
    <w:rsid w:val="00B675BD"/>
    <w:rsid w:val="00B6781B"/>
    <w:rsid w:val="00B7011B"/>
    <w:rsid w:val="00B71016"/>
    <w:rsid w:val="00B71A44"/>
    <w:rsid w:val="00B739F2"/>
    <w:rsid w:val="00B7658A"/>
    <w:rsid w:val="00B80BD2"/>
    <w:rsid w:val="00B83FEC"/>
    <w:rsid w:val="00B863CD"/>
    <w:rsid w:val="00B87477"/>
    <w:rsid w:val="00B90901"/>
    <w:rsid w:val="00B938A7"/>
    <w:rsid w:val="00B93FD6"/>
    <w:rsid w:val="00B96CB8"/>
    <w:rsid w:val="00B97001"/>
    <w:rsid w:val="00B973EE"/>
    <w:rsid w:val="00B979D7"/>
    <w:rsid w:val="00BA390F"/>
    <w:rsid w:val="00BA4B75"/>
    <w:rsid w:val="00BA4D31"/>
    <w:rsid w:val="00BA52B7"/>
    <w:rsid w:val="00BA553A"/>
    <w:rsid w:val="00BA5B81"/>
    <w:rsid w:val="00BA620C"/>
    <w:rsid w:val="00BA70A6"/>
    <w:rsid w:val="00BB071A"/>
    <w:rsid w:val="00BB40AA"/>
    <w:rsid w:val="00BB471F"/>
    <w:rsid w:val="00BB4BD1"/>
    <w:rsid w:val="00BB57A1"/>
    <w:rsid w:val="00BB5D1F"/>
    <w:rsid w:val="00BB74E0"/>
    <w:rsid w:val="00BC3C4A"/>
    <w:rsid w:val="00BC4ABE"/>
    <w:rsid w:val="00BC4B89"/>
    <w:rsid w:val="00BC7817"/>
    <w:rsid w:val="00BD04D4"/>
    <w:rsid w:val="00BD7A2D"/>
    <w:rsid w:val="00BE0584"/>
    <w:rsid w:val="00BE131F"/>
    <w:rsid w:val="00BE18F2"/>
    <w:rsid w:val="00BE742A"/>
    <w:rsid w:val="00BF18BC"/>
    <w:rsid w:val="00BF2BA6"/>
    <w:rsid w:val="00BF429F"/>
    <w:rsid w:val="00BF533D"/>
    <w:rsid w:val="00C003C2"/>
    <w:rsid w:val="00C00618"/>
    <w:rsid w:val="00C006E1"/>
    <w:rsid w:val="00C01C61"/>
    <w:rsid w:val="00C02544"/>
    <w:rsid w:val="00C04317"/>
    <w:rsid w:val="00C07593"/>
    <w:rsid w:val="00C07A0F"/>
    <w:rsid w:val="00C122E4"/>
    <w:rsid w:val="00C144B3"/>
    <w:rsid w:val="00C1549C"/>
    <w:rsid w:val="00C15CF7"/>
    <w:rsid w:val="00C15F6A"/>
    <w:rsid w:val="00C21232"/>
    <w:rsid w:val="00C2265D"/>
    <w:rsid w:val="00C33485"/>
    <w:rsid w:val="00C34530"/>
    <w:rsid w:val="00C35682"/>
    <w:rsid w:val="00C465D3"/>
    <w:rsid w:val="00C4775F"/>
    <w:rsid w:val="00C5120C"/>
    <w:rsid w:val="00C54082"/>
    <w:rsid w:val="00C54997"/>
    <w:rsid w:val="00C552CE"/>
    <w:rsid w:val="00C55CAE"/>
    <w:rsid w:val="00C567E5"/>
    <w:rsid w:val="00C57BEB"/>
    <w:rsid w:val="00C61F44"/>
    <w:rsid w:val="00C63BDC"/>
    <w:rsid w:val="00C64580"/>
    <w:rsid w:val="00C64A98"/>
    <w:rsid w:val="00C64C47"/>
    <w:rsid w:val="00C64CD6"/>
    <w:rsid w:val="00C67680"/>
    <w:rsid w:val="00C73282"/>
    <w:rsid w:val="00C7403E"/>
    <w:rsid w:val="00C80932"/>
    <w:rsid w:val="00C80E10"/>
    <w:rsid w:val="00C8253C"/>
    <w:rsid w:val="00C829C6"/>
    <w:rsid w:val="00C83E7A"/>
    <w:rsid w:val="00C863D3"/>
    <w:rsid w:val="00C864E7"/>
    <w:rsid w:val="00C918EE"/>
    <w:rsid w:val="00C9323E"/>
    <w:rsid w:val="00C9624E"/>
    <w:rsid w:val="00CA07B8"/>
    <w:rsid w:val="00CA57C4"/>
    <w:rsid w:val="00CA59D5"/>
    <w:rsid w:val="00CB0DF8"/>
    <w:rsid w:val="00CB2DC1"/>
    <w:rsid w:val="00CB32D2"/>
    <w:rsid w:val="00CB4A0F"/>
    <w:rsid w:val="00CB65AD"/>
    <w:rsid w:val="00CB688F"/>
    <w:rsid w:val="00CB69E3"/>
    <w:rsid w:val="00CB6D4C"/>
    <w:rsid w:val="00CB6F6B"/>
    <w:rsid w:val="00CB73CA"/>
    <w:rsid w:val="00CB7B8F"/>
    <w:rsid w:val="00CC1715"/>
    <w:rsid w:val="00CC3656"/>
    <w:rsid w:val="00CC48D1"/>
    <w:rsid w:val="00CC50D6"/>
    <w:rsid w:val="00CC5949"/>
    <w:rsid w:val="00CC72D9"/>
    <w:rsid w:val="00CC79EB"/>
    <w:rsid w:val="00CD7E6A"/>
    <w:rsid w:val="00CE3BA2"/>
    <w:rsid w:val="00CE520B"/>
    <w:rsid w:val="00CE526D"/>
    <w:rsid w:val="00CE6E70"/>
    <w:rsid w:val="00CF0B8F"/>
    <w:rsid w:val="00CF136D"/>
    <w:rsid w:val="00CF1FD9"/>
    <w:rsid w:val="00CF2543"/>
    <w:rsid w:val="00CF3770"/>
    <w:rsid w:val="00CF6EB4"/>
    <w:rsid w:val="00D02266"/>
    <w:rsid w:val="00D027A4"/>
    <w:rsid w:val="00D036D3"/>
    <w:rsid w:val="00D038E0"/>
    <w:rsid w:val="00D04D48"/>
    <w:rsid w:val="00D100C1"/>
    <w:rsid w:val="00D10A1E"/>
    <w:rsid w:val="00D120F8"/>
    <w:rsid w:val="00D12FF7"/>
    <w:rsid w:val="00D15E76"/>
    <w:rsid w:val="00D17459"/>
    <w:rsid w:val="00D175A6"/>
    <w:rsid w:val="00D20039"/>
    <w:rsid w:val="00D26D1E"/>
    <w:rsid w:val="00D26FDE"/>
    <w:rsid w:val="00D308D4"/>
    <w:rsid w:val="00D33F18"/>
    <w:rsid w:val="00D35B2B"/>
    <w:rsid w:val="00D42076"/>
    <w:rsid w:val="00D42955"/>
    <w:rsid w:val="00D51CFB"/>
    <w:rsid w:val="00D563AA"/>
    <w:rsid w:val="00D56620"/>
    <w:rsid w:val="00D6299E"/>
    <w:rsid w:val="00D651F4"/>
    <w:rsid w:val="00D652C6"/>
    <w:rsid w:val="00D66296"/>
    <w:rsid w:val="00D679EB"/>
    <w:rsid w:val="00D729FA"/>
    <w:rsid w:val="00D764C6"/>
    <w:rsid w:val="00D76844"/>
    <w:rsid w:val="00D8542D"/>
    <w:rsid w:val="00D906FA"/>
    <w:rsid w:val="00D90B5A"/>
    <w:rsid w:val="00D92DA7"/>
    <w:rsid w:val="00D96C1E"/>
    <w:rsid w:val="00DA0134"/>
    <w:rsid w:val="00DA0941"/>
    <w:rsid w:val="00DA0A77"/>
    <w:rsid w:val="00DA257A"/>
    <w:rsid w:val="00DA342E"/>
    <w:rsid w:val="00DA4405"/>
    <w:rsid w:val="00DA51CF"/>
    <w:rsid w:val="00DA54D7"/>
    <w:rsid w:val="00DA5D7F"/>
    <w:rsid w:val="00DA69A4"/>
    <w:rsid w:val="00DA6EFC"/>
    <w:rsid w:val="00DA7DC7"/>
    <w:rsid w:val="00DB0DED"/>
    <w:rsid w:val="00DB1E27"/>
    <w:rsid w:val="00DB26D5"/>
    <w:rsid w:val="00DB5275"/>
    <w:rsid w:val="00DB7818"/>
    <w:rsid w:val="00DC2C3C"/>
    <w:rsid w:val="00DC376F"/>
    <w:rsid w:val="00DC39D9"/>
    <w:rsid w:val="00DC4912"/>
    <w:rsid w:val="00DC7B36"/>
    <w:rsid w:val="00DD6894"/>
    <w:rsid w:val="00DD69AA"/>
    <w:rsid w:val="00DD7164"/>
    <w:rsid w:val="00DD7658"/>
    <w:rsid w:val="00DE05DF"/>
    <w:rsid w:val="00DE116F"/>
    <w:rsid w:val="00DE22D8"/>
    <w:rsid w:val="00DE279A"/>
    <w:rsid w:val="00DE2DAF"/>
    <w:rsid w:val="00DE5D59"/>
    <w:rsid w:val="00DE623C"/>
    <w:rsid w:val="00DF00F6"/>
    <w:rsid w:val="00DF30F0"/>
    <w:rsid w:val="00DF4376"/>
    <w:rsid w:val="00DF4928"/>
    <w:rsid w:val="00DF594D"/>
    <w:rsid w:val="00DF6190"/>
    <w:rsid w:val="00DF648F"/>
    <w:rsid w:val="00DF7534"/>
    <w:rsid w:val="00E00C3C"/>
    <w:rsid w:val="00E00E20"/>
    <w:rsid w:val="00E017A7"/>
    <w:rsid w:val="00E025BD"/>
    <w:rsid w:val="00E02831"/>
    <w:rsid w:val="00E06681"/>
    <w:rsid w:val="00E06B9D"/>
    <w:rsid w:val="00E06D21"/>
    <w:rsid w:val="00E0730A"/>
    <w:rsid w:val="00E0760B"/>
    <w:rsid w:val="00E10065"/>
    <w:rsid w:val="00E10C62"/>
    <w:rsid w:val="00E13103"/>
    <w:rsid w:val="00E21392"/>
    <w:rsid w:val="00E2142B"/>
    <w:rsid w:val="00E22A18"/>
    <w:rsid w:val="00E252CE"/>
    <w:rsid w:val="00E25444"/>
    <w:rsid w:val="00E27187"/>
    <w:rsid w:val="00E31E09"/>
    <w:rsid w:val="00E32415"/>
    <w:rsid w:val="00E34BB3"/>
    <w:rsid w:val="00E354A3"/>
    <w:rsid w:val="00E36800"/>
    <w:rsid w:val="00E41C8A"/>
    <w:rsid w:val="00E42772"/>
    <w:rsid w:val="00E429F5"/>
    <w:rsid w:val="00E438EC"/>
    <w:rsid w:val="00E44F5D"/>
    <w:rsid w:val="00E45D83"/>
    <w:rsid w:val="00E466CD"/>
    <w:rsid w:val="00E46AC6"/>
    <w:rsid w:val="00E4733F"/>
    <w:rsid w:val="00E54277"/>
    <w:rsid w:val="00E5567F"/>
    <w:rsid w:val="00E57C8F"/>
    <w:rsid w:val="00E603D4"/>
    <w:rsid w:val="00E64D3C"/>
    <w:rsid w:val="00E677EA"/>
    <w:rsid w:val="00E701D8"/>
    <w:rsid w:val="00E72686"/>
    <w:rsid w:val="00E72A0D"/>
    <w:rsid w:val="00E7600B"/>
    <w:rsid w:val="00E76779"/>
    <w:rsid w:val="00E76C98"/>
    <w:rsid w:val="00E806E9"/>
    <w:rsid w:val="00E816C3"/>
    <w:rsid w:val="00E833F9"/>
    <w:rsid w:val="00E84C30"/>
    <w:rsid w:val="00E85CDC"/>
    <w:rsid w:val="00E87438"/>
    <w:rsid w:val="00E90807"/>
    <w:rsid w:val="00E945F6"/>
    <w:rsid w:val="00E94F51"/>
    <w:rsid w:val="00EA1A7D"/>
    <w:rsid w:val="00EA24FE"/>
    <w:rsid w:val="00EA2A39"/>
    <w:rsid w:val="00EA3F82"/>
    <w:rsid w:val="00EA7D2B"/>
    <w:rsid w:val="00EB1246"/>
    <w:rsid w:val="00EB1F33"/>
    <w:rsid w:val="00EB2544"/>
    <w:rsid w:val="00EB4823"/>
    <w:rsid w:val="00EB5CE6"/>
    <w:rsid w:val="00EB61A5"/>
    <w:rsid w:val="00EC1E81"/>
    <w:rsid w:val="00EC2340"/>
    <w:rsid w:val="00EC281E"/>
    <w:rsid w:val="00EC4414"/>
    <w:rsid w:val="00EC71EE"/>
    <w:rsid w:val="00ED141A"/>
    <w:rsid w:val="00ED5268"/>
    <w:rsid w:val="00ED59B5"/>
    <w:rsid w:val="00ED5C66"/>
    <w:rsid w:val="00ED7839"/>
    <w:rsid w:val="00ED7FC5"/>
    <w:rsid w:val="00EE00A0"/>
    <w:rsid w:val="00EE17A2"/>
    <w:rsid w:val="00EE1BC7"/>
    <w:rsid w:val="00EF1B46"/>
    <w:rsid w:val="00EF1BD4"/>
    <w:rsid w:val="00EF59C6"/>
    <w:rsid w:val="00EF63BE"/>
    <w:rsid w:val="00F00457"/>
    <w:rsid w:val="00F06025"/>
    <w:rsid w:val="00F106AB"/>
    <w:rsid w:val="00F127FE"/>
    <w:rsid w:val="00F136CA"/>
    <w:rsid w:val="00F24545"/>
    <w:rsid w:val="00F254C2"/>
    <w:rsid w:val="00F27A21"/>
    <w:rsid w:val="00F30389"/>
    <w:rsid w:val="00F3039E"/>
    <w:rsid w:val="00F32ACE"/>
    <w:rsid w:val="00F330D6"/>
    <w:rsid w:val="00F3345B"/>
    <w:rsid w:val="00F36C72"/>
    <w:rsid w:val="00F36E77"/>
    <w:rsid w:val="00F4526C"/>
    <w:rsid w:val="00F45D9E"/>
    <w:rsid w:val="00F46BCF"/>
    <w:rsid w:val="00F512F7"/>
    <w:rsid w:val="00F529E6"/>
    <w:rsid w:val="00F550D2"/>
    <w:rsid w:val="00F617F1"/>
    <w:rsid w:val="00F64882"/>
    <w:rsid w:val="00F67529"/>
    <w:rsid w:val="00F70591"/>
    <w:rsid w:val="00F71C14"/>
    <w:rsid w:val="00F732CD"/>
    <w:rsid w:val="00F73B60"/>
    <w:rsid w:val="00F74534"/>
    <w:rsid w:val="00F74B6E"/>
    <w:rsid w:val="00F821D9"/>
    <w:rsid w:val="00F824C0"/>
    <w:rsid w:val="00F82CEB"/>
    <w:rsid w:val="00F87222"/>
    <w:rsid w:val="00F9066E"/>
    <w:rsid w:val="00F90AF3"/>
    <w:rsid w:val="00F9423E"/>
    <w:rsid w:val="00F973F3"/>
    <w:rsid w:val="00FA000A"/>
    <w:rsid w:val="00FA027F"/>
    <w:rsid w:val="00FA2EDF"/>
    <w:rsid w:val="00FA36B1"/>
    <w:rsid w:val="00FB0DEA"/>
    <w:rsid w:val="00FB108D"/>
    <w:rsid w:val="00FB11D1"/>
    <w:rsid w:val="00FB125A"/>
    <w:rsid w:val="00FB2D9D"/>
    <w:rsid w:val="00FB52C2"/>
    <w:rsid w:val="00FB5F7E"/>
    <w:rsid w:val="00FB604B"/>
    <w:rsid w:val="00FB6406"/>
    <w:rsid w:val="00FC1CF7"/>
    <w:rsid w:val="00FC1F91"/>
    <w:rsid w:val="00FC2CED"/>
    <w:rsid w:val="00FC4446"/>
    <w:rsid w:val="00FC5224"/>
    <w:rsid w:val="00FD0AC2"/>
    <w:rsid w:val="00FD51C8"/>
    <w:rsid w:val="00FD732F"/>
    <w:rsid w:val="00FD75C3"/>
    <w:rsid w:val="00FE0570"/>
    <w:rsid w:val="00FE13BF"/>
    <w:rsid w:val="00FE4637"/>
    <w:rsid w:val="00FE5551"/>
    <w:rsid w:val="00FE5BB6"/>
    <w:rsid w:val="00FF03FE"/>
    <w:rsid w:val="00FF2D2B"/>
    <w:rsid w:val="00FF7628"/>
    <w:rsid w:val="00FF7693"/>
    <w:rsid w:val="0B6CD3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3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1" w:unhideWhenUsed="1" w:qFormat="1"/>
    <w:lsdException w:name="heading 9" w:locked="0"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0" w:unhideWhenUsed="1"/>
    <w:lsdException w:name="toc 7" w:locked="0" w:semiHidden="1" w:uiPriority="0"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0"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uiPriority="0"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nhideWhenUsed/>
    <w:qFormat/>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semiHidden/>
    <w:unhideWhenUsed/>
    <w:qFormat/>
    <w:locked/>
    <w:rsid w:val="00DB0DED"/>
    <w:pPr>
      <w:keepNext/>
      <w:keepLines/>
      <w:numPr>
        <w:ilvl w:val="6"/>
        <w:numId w:val="2"/>
      </w:numPr>
      <w:spacing w:before="200" w:after="0"/>
      <w:ind w:left="2520" w:hanging="36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
    <w:basedOn w:val="Normal"/>
    <w:next w:val="Normal"/>
    <w:link w:val="Heading8Char"/>
    <w:uiPriority w:val="1"/>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aliases w:val="Appendix Heading 1"/>
    <w:basedOn w:val="Normal"/>
    <w:next w:val="Normal"/>
    <w:link w:val="Heading9Char"/>
    <w:uiPriority w:val="1"/>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nhideWhenUsed/>
    <w:rsid w:val="00135B6F"/>
    <w:pPr>
      <w:tabs>
        <w:tab w:val="center" w:pos="4320"/>
        <w:tab w:val="right" w:pos="8640"/>
      </w:tabs>
      <w:spacing w:before="0" w:after="0"/>
    </w:pPr>
  </w:style>
  <w:style w:type="character" w:customStyle="1" w:styleId="HeaderChar">
    <w:name w:val="Header Char"/>
    <w:basedOn w:val="DefaultParagraphFont"/>
    <w:link w:val="Header"/>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99"/>
    <w:unhideWhenUsed/>
    <w:qFormat/>
    <w:rsid w:val="00AB1D65"/>
    <w:pPr>
      <w:spacing w:before="0" w:after="400"/>
    </w:pPr>
    <w:rPr>
      <w:b/>
      <w:caps/>
      <w:sz w:val="36"/>
      <w:szCs w:val="48"/>
    </w:rPr>
  </w:style>
  <w:style w:type="character" w:customStyle="1" w:styleId="Heading5Char">
    <w:name w:val="Heading 5 Char"/>
    <w:basedOn w:val="DefaultParagraphFont"/>
    <w:link w:val="Heading5"/>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aliases w:val="Appendix Title Char"/>
    <w:basedOn w:val="DefaultParagraphFont"/>
    <w:link w:val="Heading8"/>
    <w:uiPriority w:val="1"/>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aliases w:val="Appendix Heading 1 Char"/>
    <w:basedOn w:val="DefaultParagraphFont"/>
    <w:link w:val="Heading9"/>
    <w:uiPriority w:val="1"/>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aliases w:val="Calliden 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aliases w:val="Calliden 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aliases w:val="Calliden 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nhideWhenUsed/>
    <w:qFormat/>
    <w:locked/>
    <w:rsid w:val="001575E7"/>
    <w:pPr>
      <w:numPr>
        <w:numId w:val="1"/>
      </w:numPr>
      <w:spacing w:before="0" w:after="120"/>
    </w:pPr>
  </w:style>
  <w:style w:type="paragraph" w:styleId="ListBullet2">
    <w:name w:val="List Bullet 2"/>
    <w:basedOn w:val="Normal"/>
    <w:unhideWhenUsed/>
    <w:qFormat/>
    <w:rsid w:val="001575E7"/>
    <w:pPr>
      <w:numPr>
        <w:numId w:val="3"/>
      </w:numPr>
      <w:spacing w:before="0" w:after="120"/>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semiHidden/>
    <w:unhideWhenUsed/>
    <w:locked/>
    <w:rsid w:val="00A17119"/>
    <w:pPr>
      <w:tabs>
        <w:tab w:val="left" w:leader="dot" w:pos="14175"/>
      </w:tabs>
      <w:spacing w:after="100"/>
      <w:ind w:left="900"/>
    </w:pPr>
  </w:style>
  <w:style w:type="paragraph" w:styleId="TOC7">
    <w:name w:val="toc 7"/>
    <w:basedOn w:val="Normal"/>
    <w:next w:val="Normal"/>
    <w:autoRedefine/>
    <w:semiHidden/>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F74534"/>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F74534"/>
    <w:rPr>
      <w:rFonts w:eastAsia="Times New Roman" w:cs="Times New Roman"/>
      <w:color w:val="000000" w:themeColor="text1"/>
      <w:sz w:val="20"/>
      <w:szCs w:val="20"/>
    </w:rPr>
  </w:style>
  <w:style w:type="character" w:styleId="FootnoteReference">
    <w:name w:val="footnote reference"/>
    <w:basedOn w:val="DefaultParagraphFont"/>
    <w:locked/>
    <w:rsid w:val="00B461CF"/>
    <w:rPr>
      <w:color w:val="000000" w:themeColor="text1"/>
      <w:vertAlign w:val="superscript"/>
    </w:rPr>
  </w:style>
  <w:style w:type="paragraph" w:styleId="FootnoteText">
    <w:name w:val="footnote text"/>
    <w:basedOn w:val="Normal"/>
    <w:link w:val="FootnoteTextChar"/>
    <w:locked/>
    <w:rsid w:val="00B461CF"/>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B461CF"/>
    <w:rPr>
      <w:rFonts w:eastAsia="Times New Roman" w:cs="Arial"/>
      <w:color w:val="000000" w:themeColor="text1"/>
      <w:kern w:val="16"/>
      <w:sz w:val="14"/>
      <w:szCs w:val="20"/>
      <w:lang w:eastAsia="en-AU"/>
    </w:rPr>
  </w:style>
  <w:style w:type="paragraph" w:customStyle="1" w:styleId="TableHeadingLeft">
    <w:name w:val="Table Heading Left"/>
    <w:basedOn w:val="Normal"/>
    <w:qFormat/>
    <w:rsid w:val="00572E44"/>
    <w:pPr>
      <w:keepNext/>
      <w:keepLines/>
      <w:spacing w:before="60" w:after="60" w:line="220" w:lineRule="atLeast"/>
      <w:ind w:left="113" w:right="113"/>
    </w:pPr>
    <w:rPr>
      <w:rFonts w:asciiTheme="minorHAnsi" w:hAnsiTheme="minorHAnsi" w:cs="Arial"/>
      <w:b/>
      <w:color w:val="FFFFFF"/>
      <w:lang w:eastAsia="en-AU"/>
    </w:rPr>
  </w:style>
  <w:style w:type="table" w:customStyle="1" w:styleId="TableGrid1">
    <w:name w:val="Table Grid1"/>
    <w:basedOn w:val="TableNormal"/>
    <w:next w:val="TableGrid"/>
    <w:rsid w:val="007B279F"/>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561E98"/>
    <w:pPr>
      <w:framePr w:w="11907" w:h="1701" w:hSpace="11340" w:wrap="around" w:vAnchor="page" w:hAnchor="page" w:yAlign="top"/>
      <w:numPr>
        <w:numId w:val="0"/>
      </w:numPr>
      <w:spacing w:before="1300" w:after="360" w:line="440" w:lineRule="exact"/>
      <w:ind w:left="1134" w:right="1134"/>
    </w:pPr>
    <w:rPr>
      <w:rFonts w:asciiTheme="minorHAnsi" w:hAnsiTheme="minorHAnsi" w:cs="Arial"/>
      <w:color w:val="201547" w:themeColor="text2"/>
      <w:kern w:val="32"/>
      <w:sz w:val="40"/>
      <w:lang w:eastAsia="en-AU"/>
    </w:rPr>
  </w:style>
  <w:style w:type="paragraph" w:customStyle="1" w:styleId="CaptionImageorFigure">
    <w:name w:val="Caption Image or Figure"/>
    <w:basedOn w:val="Caption"/>
    <w:qFormat/>
    <w:rsid w:val="00E32415"/>
    <w:pPr>
      <w:keepNext/>
      <w:spacing w:before="60" w:after="120" w:line="200" w:lineRule="atLeast"/>
    </w:pPr>
    <w:rPr>
      <w:rFonts w:asciiTheme="minorHAnsi" w:hAnsiTheme="minorHAnsi" w:cs="Arial"/>
      <w:b/>
      <w:bCs/>
      <w:i w:val="0"/>
      <w:iCs w:val="0"/>
      <w:color w:val="000000" w:themeColor="text1"/>
      <w:sz w:val="16"/>
      <w:szCs w:val="20"/>
      <w:lang w:eastAsia="en-AU"/>
    </w:rPr>
  </w:style>
  <w:style w:type="paragraph" w:styleId="Caption">
    <w:name w:val="caption"/>
    <w:basedOn w:val="Normal"/>
    <w:next w:val="Normal"/>
    <w:unhideWhenUsed/>
    <w:qFormat/>
    <w:locked/>
    <w:rsid w:val="00E32415"/>
    <w:pPr>
      <w:spacing w:before="0"/>
    </w:pPr>
    <w:rPr>
      <w:i/>
      <w:iCs/>
      <w:color w:val="201547" w:themeColor="text2"/>
      <w:szCs w:val="18"/>
    </w:rPr>
  </w:style>
  <w:style w:type="paragraph" w:customStyle="1" w:styleId="HighlightBoxText">
    <w:name w:val="Highlight Box Text"/>
    <w:basedOn w:val="Normal"/>
    <w:qFormat/>
    <w:rsid w:val="00CC365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CC365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styleId="ListParagraph">
    <w:name w:val="List Paragraph"/>
    <w:basedOn w:val="Normal"/>
    <w:qFormat/>
    <w:locked/>
    <w:rsid w:val="00D02266"/>
    <w:pPr>
      <w:ind w:left="720"/>
      <w:contextualSpacing/>
    </w:pPr>
  </w:style>
  <w:style w:type="character" w:styleId="BookTitle">
    <w:name w:val="Book Title"/>
    <w:basedOn w:val="DefaultParagraphFont"/>
    <w:uiPriority w:val="33"/>
    <w:qFormat/>
    <w:locked/>
    <w:rsid w:val="00C35682"/>
    <w:rPr>
      <w:b/>
      <w:bCs/>
      <w:i/>
      <w:iCs/>
      <w:spacing w:val="5"/>
    </w:rPr>
  </w:style>
  <w:style w:type="character" w:styleId="SubtleEmphasis">
    <w:name w:val="Subtle Emphasis"/>
    <w:basedOn w:val="DefaultParagraphFont"/>
    <w:uiPriority w:val="19"/>
    <w:qFormat/>
    <w:locked/>
    <w:rsid w:val="00C35682"/>
    <w:rPr>
      <w:i/>
      <w:iCs/>
      <w:color w:val="404040" w:themeColor="text1" w:themeTint="BF"/>
    </w:rPr>
  </w:style>
  <w:style w:type="paragraph" w:styleId="IntenseQuote">
    <w:name w:val="Intense Quote"/>
    <w:basedOn w:val="Normal"/>
    <w:next w:val="Normal"/>
    <w:link w:val="IntenseQuoteChar"/>
    <w:qFormat/>
    <w:locked/>
    <w:rsid w:val="00C57BEB"/>
    <w:pPr>
      <w:pBdr>
        <w:top w:val="single" w:sz="4" w:space="10" w:color="201547" w:themeColor="accent1"/>
        <w:bottom w:val="single" w:sz="4" w:space="10" w:color="201547" w:themeColor="accent1"/>
      </w:pBdr>
      <w:spacing w:before="360" w:after="360"/>
      <w:ind w:left="864" w:right="864"/>
      <w:jc w:val="center"/>
    </w:pPr>
    <w:rPr>
      <w:i/>
      <w:iCs/>
      <w:color w:val="201547" w:themeColor="accent1"/>
    </w:rPr>
  </w:style>
  <w:style w:type="character" w:customStyle="1" w:styleId="IntenseQuoteChar">
    <w:name w:val="Intense Quote Char"/>
    <w:basedOn w:val="DefaultParagraphFont"/>
    <w:link w:val="IntenseQuote"/>
    <w:rsid w:val="00C57BEB"/>
    <w:rPr>
      <w:rFonts w:ascii="Arial" w:eastAsia="Times New Roman" w:hAnsi="Arial" w:cs="Times New Roman"/>
      <w:i/>
      <w:iCs/>
      <w:color w:val="201547" w:themeColor="accent1"/>
      <w:sz w:val="18"/>
      <w:szCs w:val="20"/>
    </w:rPr>
  </w:style>
  <w:style w:type="paragraph" w:customStyle="1" w:styleId="HighlightBoxBullet">
    <w:name w:val="Highlight Box Bullet"/>
    <w:basedOn w:val="HighlightBoxText"/>
    <w:qFormat/>
    <w:rsid w:val="00311372"/>
    <w:pPr>
      <w:numPr>
        <w:numId w:val="5"/>
      </w:numPr>
      <w:tabs>
        <w:tab w:val="left" w:pos="454"/>
      </w:tabs>
    </w:pPr>
  </w:style>
  <w:style w:type="paragraph" w:customStyle="1" w:styleId="xDisclaimertext3">
    <w:name w:val="xDisclaimer text 3"/>
    <w:basedOn w:val="xDisclaimerText"/>
    <w:rsid w:val="003C1E5E"/>
    <w:pPr>
      <w:spacing w:before="60" w:after="60"/>
    </w:pPr>
  </w:style>
  <w:style w:type="paragraph" w:customStyle="1" w:styleId="FooterOdd">
    <w:name w:val="Footer Odd"/>
    <w:next w:val="Footer"/>
    <w:rsid w:val="003C1E5E"/>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3C1E5E"/>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3C1E5E"/>
    <w:pPr>
      <w:ind w:right="28"/>
    </w:pPr>
    <w:rPr>
      <w:b/>
      <w:color w:val="201547" w:themeColor="accent1"/>
    </w:rPr>
  </w:style>
  <w:style w:type="paragraph" w:customStyle="1" w:styleId="FootnoteSeparator">
    <w:name w:val="Footnote Separator"/>
    <w:basedOn w:val="Normal"/>
    <w:unhideWhenUsed/>
    <w:rsid w:val="003C1E5E"/>
    <w:pPr>
      <w:pBdr>
        <w:top w:val="dotted" w:sz="8" w:space="0" w:color="000000" w:themeColor="text1"/>
      </w:pBdr>
      <w:spacing w:after="0" w:line="120" w:lineRule="exact"/>
    </w:pPr>
    <w:rPr>
      <w:rFonts w:asciiTheme="minorHAnsi" w:hAnsiTheme="minorHAnsi" w:cs="Arial"/>
      <w:color w:val="000000" w:themeColor="text1"/>
      <w:sz w:val="16"/>
      <w:szCs w:val="16"/>
      <w:lang w:eastAsia="en-AU"/>
    </w:rPr>
  </w:style>
  <w:style w:type="paragraph" w:customStyle="1" w:styleId="Emailaddress">
    <w:name w:val="Email address"/>
    <w:basedOn w:val="Normal"/>
    <w:semiHidden/>
    <w:rsid w:val="003C1E5E"/>
    <w:pPr>
      <w:spacing w:before="0" w:after="0" w:line="240" w:lineRule="atLeast"/>
    </w:pPr>
    <w:rPr>
      <w:rFonts w:asciiTheme="minorHAnsi" w:hAnsiTheme="minorHAnsi" w:cs="Arial"/>
      <w:color w:val="000000" w:themeColor="text1"/>
      <w:sz w:val="16"/>
      <w:szCs w:val="16"/>
      <w:lang w:eastAsia="en-AU"/>
    </w:rPr>
  </w:style>
  <w:style w:type="character" w:customStyle="1" w:styleId="Italics">
    <w:name w:val="Italics"/>
    <w:rsid w:val="003C1E5E"/>
    <w:rPr>
      <w:i/>
    </w:rPr>
  </w:style>
  <w:style w:type="paragraph" w:styleId="ListContinue">
    <w:name w:val="List Continue"/>
    <w:basedOn w:val="Normal"/>
    <w:semiHidden/>
    <w:qFormat/>
    <w:locked/>
    <w:rsid w:val="003C1E5E"/>
    <w:pPr>
      <w:spacing w:before="220" w:after="220" w:line="240" w:lineRule="atLeast"/>
      <w:ind w:left="340"/>
    </w:pPr>
    <w:rPr>
      <w:rFonts w:asciiTheme="minorHAnsi" w:hAnsiTheme="minorHAnsi" w:cs="Arial"/>
      <w:color w:val="000000" w:themeColor="text1"/>
      <w:sz w:val="20"/>
      <w:lang w:eastAsia="en-AU"/>
    </w:rPr>
  </w:style>
  <w:style w:type="paragraph" w:styleId="ListContinue2">
    <w:name w:val="List Continue 2"/>
    <w:basedOn w:val="Normal"/>
    <w:semiHidden/>
    <w:qFormat/>
    <w:locked/>
    <w:rsid w:val="003C1E5E"/>
    <w:pPr>
      <w:spacing w:before="220" w:after="220" w:line="240" w:lineRule="atLeast"/>
      <w:ind w:left="680"/>
    </w:pPr>
    <w:rPr>
      <w:rFonts w:asciiTheme="minorHAnsi" w:hAnsiTheme="minorHAnsi" w:cs="Arial"/>
      <w:color w:val="000000" w:themeColor="text1"/>
      <w:sz w:val="20"/>
      <w:lang w:eastAsia="en-AU"/>
    </w:rPr>
  </w:style>
  <w:style w:type="paragraph" w:styleId="ListNumber">
    <w:name w:val="List Number"/>
    <w:basedOn w:val="Normal"/>
    <w:qFormat/>
    <w:locked/>
    <w:rsid w:val="003C1E5E"/>
    <w:pPr>
      <w:numPr>
        <w:numId w:val="9"/>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3C1E5E"/>
    <w:pPr>
      <w:numPr>
        <w:ilvl w:val="1"/>
        <w:numId w:val="9"/>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3C1E5E"/>
    <w:pPr>
      <w:numPr>
        <w:ilvl w:val="2"/>
        <w:numId w:val="9"/>
      </w:numPr>
      <w:spacing w:after="120" w:line="240" w:lineRule="atLeast"/>
    </w:pPr>
    <w:rPr>
      <w:rFonts w:asciiTheme="minorHAnsi" w:hAnsiTheme="minorHAnsi" w:cs="Arial"/>
      <w:color w:val="000000" w:themeColor="text1"/>
      <w:sz w:val="20"/>
      <w:lang w:eastAsia="en-AU"/>
    </w:rPr>
  </w:style>
  <w:style w:type="numbering" w:styleId="1ai">
    <w:name w:val="Outline List 1"/>
    <w:basedOn w:val="NoList"/>
    <w:locked/>
    <w:rsid w:val="003C1E5E"/>
    <w:pPr>
      <w:numPr>
        <w:numId w:val="7"/>
      </w:numPr>
    </w:pPr>
  </w:style>
  <w:style w:type="paragraph" w:customStyle="1" w:styleId="TableTextBullet2">
    <w:name w:val="Table Text Bullet 2"/>
    <w:basedOn w:val="TableTextBullet"/>
    <w:qFormat/>
    <w:rsid w:val="003C1E5E"/>
    <w:pPr>
      <w:numPr>
        <w:ilvl w:val="1"/>
      </w:numPr>
      <w:ind w:left="1440"/>
    </w:pPr>
    <w:rPr>
      <w:bCs/>
    </w:rPr>
  </w:style>
  <w:style w:type="paragraph" w:customStyle="1" w:styleId="TableTextBullet3">
    <w:name w:val="Table Text Bullet 3"/>
    <w:basedOn w:val="TableTextBullet2"/>
    <w:qFormat/>
    <w:rsid w:val="003C1E5E"/>
    <w:pPr>
      <w:numPr>
        <w:ilvl w:val="2"/>
      </w:numPr>
      <w:ind w:left="2160" w:hanging="180"/>
    </w:pPr>
    <w:rPr>
      <w:bCs w:val="0"/>
    </w:rPr>
  </w:style>
  <w:style w:type="paragraph" w:customStyle="1" w:styleId="xDoublePic">
    <w:name w:val="xDoublePic"/>
    <w:basedOn w:val="xInlineShape"/>
    <w:semiHidden/>
    <w:rsid w:val="003C1E5E"/>
    <w:pPr>
      <w:spacing w:before="0" w:after="0"/>
    </w:pPr>
  </w:style>
  <w:style w:type="paragraph" w:customStyle="1" w:styleId="Footnotes">
    <w:name w:val="Footnotes"/>
    <w:basedOn w:val="Normal"/>
    <w:rsid w:val="003C1E5E"/>
    <w:pPr>
      <w:keepLines/>
      <w:numPr>
        <w:numId w:val="11"/>
      </w:numPr>
      <w:spacing w:before="60" w:after="100" w:afterAutospacing="1" w:line="180" w:lineRule="exact"/>
    </w:pPr>
    <w:rPr>
      <w:rFonts w:asciiTheme="minorHAnsi" w:hAnsiTheme="minorHAnsi" w:cs="Arial"/>
      <w:color w:val="000000" w:themeColor="text1"/>
      <w:sz w:val="14"/>
      <w:lang w:eastAsia="en-AU"/>
    </w:rPr>
  </w:style>
  <w:style w:type="character" w:customStyle="1" w:styleId="Superscript">
    <w:name w:val="Superscript"/>
    <w:semiHidden/>
    <w:rsid w:val="003C1E5E"/>
    <w:rPr>
      <w:vertAlign w:val="superscript"/>
    </w:rPr>
  </w:style>
  <w:style w:type="paragraph" w:styleId="ListBullet3">
    <w:name w:val="List Bullet 3"/>
    <w:basedOn w:val="Normal"/>
    <w:unhideWhenUsed/>
    <w:locked/>
    <w:rsid w:val="003C1E5E"/>
    <w:pPr>
      <w:tabs>
        <w:tab w:val="num" w:pos="510"/>
      </w:tabs>
      <w:spacing w:after="120" w:line="240" w:lineRule="atLeast"/>
      <w:ind w:left="510" w:hanging="170"/>
    </w:pPr>
    <w:rPr>
      <w:rFonts w:asciiTheme="minorHAnsi" w:hAnsiTheme="minorHAnsi" w:cs="Arial"/>
      <w:color w:val="000000" w:themeColor="text1"/>
      <w:sz w:val="20"/>
      <w:lang w:eastAsia="en-AU"/>
    </w:rPr>
  </w:style>
  <w:style w:type="paragraph" w:customStyle="1" w:styleId="TableTextLeft">
    <w:name w:val="Table Text Left"/>
    <w:basedOn w:val="Normal"/>
    <w:link w:val="TableTextLeftChar"/>
    <w:qFormat/>
    <w:rsid w:val="003C1E5E"/>
    <w:pPr>
      <w:spacing w:before="60" w:after="60" w:line="220" w:lineRule="atLeast"/>
      <w:ind w:left="113" w:right="113"/>
    </w:pPr>
    <w:rPr>
      <w:rFonts w:asciiTheme="minorHAnsi" w:hAnsiTheme="minorHAnsi" w:cs="Arial"/>
      <w:color w:val="000000" w:themeColor="text1"/>
      <w:lang w:eastAsia="en-AU"/>
    </w:rPr>
  </w:style>
  <w:style w:type="paragraph" w:customStyle="1" w:styleId="TableTextBullet">
    <w:name w:val="Table Text Bullet"/>
    <w:basedOn w:val="TableTextLeft"/>
    <w:qFormat/>
    <w:rsid w:val="003C1E5E"/>
    <w:pPr>
      <w:numPr>
        <w:numId w:val="13"/>
      </w:numPr>
      <w:ind w:left="720"/>
    </w:pPr>
  </w:style>
  <w:style w:type="paragraph" w:customStyle="1" w:styleId="TableTextNumbered">
    <w:name w:val="Table Text Numbered"/>
    <w:basedOn w:val="TableTextLeft"/>
    <w:qFormat/>
    <w:rsid w:val="003C1E5E"/>
    <w:pPr>
      <w:numPr>
        <w:numId w:val="8"/>
      </w:numPr>
    </w:pPr>
  </w:style>
  <w:style w:type="paragraph" w:customStyle="1" w:styleId="TableTextNumbered2">
    <w:name w:val="Table Text Numbered 2"/>
    <w:basedOn w:val="TableTextNumbered"/>
    <w:qFormat/>
    <w:rsid w:val="003C1E5E"/>
    <w:pPr>
      <w:numPr>
        <w:ilvl w:val="1"/>
      </w:numPr>
      <w:tabs>
        <w:tab w:val="num" w:pos="1080"/>
      </w:tabs>
    </w:pPr>
  </w:style>
  <w:style w:type="paragraph" w:customStyle="1" w:styleId="TableTextNumbered3">
    <w:name w:val="Table Text Numbered 3"/>
    <w:basedOn w:val="TableTextNumbered2"/>
    <w:qFormat/>
    <w:rsid w:val="003C1E5E"/>
    <w:pPr>
      <w:numPr>
        <w:ilvl w:val="2"/>
      </w:numPr>
      <w:tabs>
        <w:tab w:val="clear" w:pos="1219"/>
        <w:tab w:val="num" w:pos="1080"/>
        <w:tab w:val="num" w:pos="1800"/>
      </w:tabs>
    </w:pPr>
  </w:style>
  <w:style w:type="paragraph" w:customStyle="1" w:styleId="TableTextLeftBold">
    <w:name w:val="Table Text Left Bold"/>
    <w:basedOn w:val="TableTextLeft"/>
    <w:qFormat/>
    <w:rsid w:val="003C1E5E"/>
    <w:rPr>
      <w:b/>
    </w:rPr>
  </w:style>
  <w:style w:type="paragraph" w:customStyle="1" w:styleId="BoldHeading">
    <w:name w:val="Bold Heading"/>
    <w:basedOn w:val="Normal"/>
    <w:next w:val="BodyText"/>
    <w:qFormat/>
    <w:rsid w:val="003C1E5E"/>
    <w:pPr>
      <w:spacing w:before="280" w:after="240" w:line="240" w:lineRule="atLeast"/>
    </w:pPr>
    <w:rPr>
      <w:rFonts w:asciiTheme="minorHAnsi" w:hAnsiTheme="minorHAnsi" w:cs="Arial"/>
      <w:b/>
      <w:color w:val="000000" w:themeColor="text1"/>
      <w:sz w:val="20"/>
      <w:lang w:eastAsia="en-AU"/>
    </w:rPr>
  </w:style>
  <w:style w:type="paragraph" w:customStyle="1" w:styleId="xInlineShape">
    <w:name w:val="xInlineShape"/>
    <w:basedOn w:val="Normal"/>
    <w:next w:val="BodyText"/>
    <w:uiPriority w:val="3"/>
    <w:semiHidden/>
    <w:rsid w:val="003C1E5E"/>
    <w:pPr>
      <w:keepNext/>
      <w:spacing w:after="20"/>
    </w:pPr>
    <w:rPr>
      <w:rFonts w:asciiTheme="minorHAnsi" w:hAnsiTheme="minorHAnsi" w:cs="Arial"/>
      <w:color w:val="000000" w:themeColor="text1"/>
      <w:sz w:val="20"/>
      <w:lang w:eastAsia="en-AU"/>
    </w:rPr>
  </w:style>
  <w:style w:type="paragraph" w:customStyle="1" w:styleId="xDisclaimerHeading">
    <w:name w:val="xDisclaimer Heading"/>
    <w:basedOn w:val="Normal"/>
    <w:rsid w:val="003C1E5E"/>
    <w:pPr>
      <w:spacing w:before="170" w:after="20" w:line="170" w:lineRule="atLeast"/>
    </w:pPr>
    <w:rPr>
      <w:rFonts w:asciiTheme="minorHAnsi" w:hAnsiTheme="minorHAnsi" w:cs="Arial"/>
      <w:b/>
      <w:color w:val="000000" w:themeColor="text1"/>
      <w:sz w:val="16"/>
      <w:lang w:eastAsia="en-AU"/>
    </w:rPr>
  </w:style>
  <w:style w:type="table" w:customStyle="1" w:styleId="TableAsPlaceholder">
    <w:name w:val="Table As Placeholder"/>
    <w:basedOn w:val="TableNormal"/>
    <w:uiPriority w:val="99"/>
    <w:qFormat/>
    <w:rsid w:val="003C1E5E"/>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aliases w:val="Calliden TOC 4"/>
    <w:basedOn w:val="Normal"/>
    <w:uiPriority w:val="39"/>
    <w:locked/>
    <w:rsid w:val="003C1E5E"/>
    <w:pPr>
      <w:tabs>
        <w:tab w:val="right" w:leader="dot" w:pos="9582"/>
      </w:tabs>
      <w:spacing w:before="60" w:after="60" w:line="240" w:lineRule="atLeast"/>
      <w:ind w:left="284" w:right="851"/>
    </w:pPr>
    <w:rPr>
      <w:rFonts w:asciiTheme="minorHAnsi" w:hAnsiTheme="minorHAnsi" w:cs="Arial"/>
      <w:noProof/>
      <w:color w:val="4F4E4E"/>
      <w:sz w:val="20"/>
      <w:lang w:eastAsia="en-AU"/>
    </w:rPr>
  </w:style>
  <w:style w:type="paragraph" w:styleId="TableofFigures">
    <w:name w:val="table of figures"/>
    <w:basedOn w:val="Normal"/>
    <w:next w:val="Normal"/>
    <w:locked/>
    <w:rsid w:val="003C1E5E"/>
    <w:pPr>
      <w:tabs>
        <w:tab w:val="right" w:leader="dot" w:pos="9582"/>
      </w:tabs>
      <w:spacing w:before="60" w:after="60" w:line="240" w:lineRule="atLeast"/>
      <w:ind w:right="851"/>
    </w:pPr>
    <w:rPr>
      <w:rFonts w:asciiTheme="minorHAnsi" w:hAnsiTheme="minorHAnsi" w:cs="Arial"/>
      <w:color w:val="000000" w:themeColor="text1"/>
      <w:sz w:val="20"/>
      <w:lang w:eastAsia="en-AU"/>
    </w:rPr>
  </w:style>
  <w:style w:type="paragraph" w:customStyle="1" w:styleId="TOFHeading">
    <w:name w:val="TOF Heading"/>
    <w:basedOn w:val="Normal"/>
    <w:uiPriority w:val="99"/>
    <w:rsid w:val="003C1E5E"/>
    <w:pPr>
      <w:keepNext/>
      <w:tabs>
        <w:tab w:val="left" w:pos="2268"/>
      </w:tabs>
      <w:spacing w:before="240" w:after="60" w:line="240" w:lineRule="atLeast"/>
    </w:pPr>
    <w:rPr>
      <w:rFonts w:asciiTheme="minorHAnsi" w:hAnsiTheme="minorHAnsi" w:cs="Arial"/>
      <w:b/>
      <w:color w:val="201547" w:themeColor="text2"/>
      <w:sz w:val="24"/>
      <w:szCs w:val="32"/>
      <w:lang w:eastAsia="en-AU"/>
    </w:rPr>
  </w:style>
  <w:style w:type="paragraph" w:customStyle="1" w:styleId="BodyText12ptBefore">
    <w:name w:val="Body Text 12pt Before"/>
    <w:basedOn w:val="BodyText"/>
    <w:next w:val="BodyText"/>
    <w:qFormat/>
    <w:rsid w:val="003C1E5E"/>
    <w:pPr>
      <w:spacing w:before="240"/>
    </w:pPr>
  </w:style>
  <w:style w:type="paragraph" w:customStyle="1" w:styleId="AppendixHeading3">
    <w:name w:val="Appendix Heading 3"/>
    <w:basedOn w:val="Normal"/>
    <w:next w:val="BodyText"/>
    <w:uiPriority w:val="2"/>
    <w:rsid w:val="003C1E5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sz w:val="20"/>
      <w:lang w:eastAsia="en-AU"/>
    </w:rPr>
  </w:style>
  <w:style w:type="paragraph" w:customStyle="1" w:styleId="TableofContents2">
    <w:name w:val="TableofContents2"/>
    <w:basedOn w:val="Normal"/>
    <w:semiHidden/>
    <w:rsid w:val="003C1E5E"/>
    <w:pPr>
      <w:keepNext/>
      <w:spacing w:before="0" w:after="120" w:line="230" w:lineRule="auto"/>
    </w:pPr>
    <w:rPr>
      <w:rFonts w:asciiTheme="minorHAnsi" w:hAnsiTheme="minorHAnsi" w:cs="Arial"/>
      <w:color w:val="000000" w:themeColor="text1"/>
      <w:spacing w:val="-6"/>
      <w:sz w:val="40"/>
      <w:szCs w:val="28"/>
      <w:lang w:eastAsia="en-AU"/>
    </w:rPr>
  </w:style>
  <w:style w:type="character" w:customStyle="1" w:styleId="Bold">
    <w:name w:val="Bold"/>
    <w:rsid w:val="003C1E5E"/>
    <w:rPr>
      <w:b/>
    </w:rPr>
  </w:style>
  <w:style w:type="paragraph" w:customStyle="1" w:styleId="xContactDetails">
    <w:name w:val="xContact Details"/>
    <w:basedOn w:val="TableTextLeft"/>
    <w:uiPriority w:val="3"/>
    <w:semiHidden/>
    <w:rsid w:val="003C1E5E"/>
    <w:pPr>
      <w:spacing w:before="40"/>
      <w:contextualSpacing/>
    </w:pPr>
    <w:rPr>
      <w:sz w:val="16"/>
    </w:rPr>
  </w:style>
  <w:style w:type="paragraph" w:customStyle="1" w:styleId="xEntityDetails">
    <w:name w:val="xEntity Details"/>
    <w:basedOn w:val="xContactDetails"/>
    <w:uiPriority w:val="3"/>
    <w:semiHidden/>
    <w:rsid w:val="003C1E5E"/>
    <w:pPr>
      <w:framePr w:wrap="around" w:hAnchor="text"/>
    </w:pPr>
  </w:style>
  <w:style w:type="paragraph" w:customStyle="1" w:styleId="xStatus">
    <w:name w:val="xStatus"/>
    <w:basedOn w:val="Normal"/>
    <w:uiPriority w:val="3"/>
    <w:semiHidden/>
    <w:rsid w:val="003C1E5E"/>
    <w:pPr>
      <w:tabs>
        <w:tab w:val="left" w:pos="1134"/>
        <w:tab w:val="left" w:pos="2268"/>
        <w:tab w:val="left" w:pos="3402"/>
        <w:tab w:val="left" w:pos="4536"/>
        <w:tab w:val="left" w:pos="5103"/>
      </w:tabs>
      <w:spacing w:before="0" w:after="0"/>
      <w:jc w:val="center"/>
    </w:pPr>
    <w:rPr>
      <w:rFonts w:asciiTheme="minorHAnsi"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3C1E5E"/>
    <w:pPr>
      <w:keepNext/>
      <w:keepLines/>
      <w:tabs>
        <w:tab w:val="left" w:pos="1559"/>
        <w:tab w:val="left" w:pos="1843"/>
        <w:tab w:val="left" w:pos="2126"/>
        <w:tab w:val="left" w:pos="2410"/>
      </w:tabs>
      <w:spacing w:before="200" w:after="100" w:line="240" w:lineRule="exact"/>
    </w:pPr>
    <w:rPr>
      <w:rFonts w:asciiTheme="minorHAnsi" w:hAnsiTheme="minorHAnsi" w:cs="Arial"/>
      <w:b/>
      <w:color w:val="494847"/>
      <w:sz w:val="20"/>
      <w:lang w:eastAsia="en-AU"/>
    </w:rPr>
  </w:style>
  <w:style w:type="paragraph" w:styleId="Quote">
    <w:name w:val="Quote"/>
    <w:basedOn w:val="Normal"/>
    <w:link w:val="QuoteChar"/>
    <w:qFormat/>
    <w:locked/>
    <w:rsid w:val="003C1E5E"/>
    <w:pPr>
      <w:tabs>
        <w:tab w:val="left" w:pos="1134"/>
      </w:tabs>
      <w:spacing w:after="120" w:line="240" w:lineRule="atLeast"/>
      <w:ind w:left="284"/>
    </w:pPr>
    <w:rPr>
      <w:rFonts w:asciiTheme="minorHAnsi" w:hAnsiTheme="minorHAnsi" w:cs="Arial"/>
      <w:i/>
      <w:iCs/>
      <w:color w:val="000000" w:themeColor="text1"/>
      <w:sz w:val="20"/>
      <w:lang w:eastAsia="en-AU"/>
    </w:rPr>
  </w:style>
  <w:style w:type="character" w:customStyle="1" w:styleId="QuoteChar">
    <w:name w:val="Quote Char"/>
    <w:basedOn w:val="DefaultParagraphFont"/>
    <w:link w:val="Quote"/>
    <w:rsid w:val="003C1E5E"/>
    <w:rPr>
      <w:rFonts w:eastAsia="Times New Roman" w:cs="Arial"/>
      <w:i/>
      <w:iCs/>
      <w:color w:val="000000" w:themeColor="text1"/>
      <w:sz w:val="20"/>
      <w:szCs w:val="20"/>
      <w:lang w:eastAsia="en-AU"/>
    </w:rPr>
  </w:style>
  <w:style w:type="paragraph" w:styleId="BlockText">
    <w:name w:val="Block Text"/>
    <w:basedOn w:val="Normal"/>
    <w:semiHidden/>
    <w:unhideWhenUsed/>
    <w:locked/>
    <w:rsid w:val="003C1E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spacing w:before="0" w:after="0" w:line="240" w:lineRule="atLeast"/>
      <w:ind w:left="1152" w:right="1152"/>
    </w:pPr>
    <w:rPr>
      <w:rFonts w:asciiTheme="minorHAnsi" w:eastAsiaTheme="minorEastAsia" w:hAnsiTheme="minorHAnsi" w:cstheme="minorBidi"/>
      <w:i/>
      <w:iCs/>
      <w:color w:val="201547" w:themeColor="text2"/>
      <w:sz w:val="20"/>
      <w:lang w:eastAsia="en-AU"/>
    </w:rPr>
  </w:style>
  <w:style w:type="paragraph" w:customStyle="1" w:styleId="PullOutBoxBodyText">
    <w:name w:val="Pull Out Box Body Text"/>
    <w:basedOn w:val="Normal"/>
    <w:qFormat/>
    <w:rsid w:val="003C1E5E"/>
    <w:pPr>
      <w:spacing w:after="120" w:line="240" w:lineRule="atLeast"/>
      <w:ind w:left="142" w:right="142"/>
    </w:pPr>
    <w:rPr>
      <w:rFonts w:asciiTheme="minorHAnsi" w:hAnsiTheme="minorHAnsi" w:cs="Arial"/>
      <w:color w:val="000000" w:themeColor="text1"/>
      <w:sz w:val="20"/>
      <w:lang w:eastAsia="en-AU"/>
    </w:rPr>
  </w:style>
  <w:style w:type="paragraph" w:customStyle="1" w:styleId="PullOutBoxHeading">
    <w:name w:val="Pull Out Box Heading"/>
    <w:basedOn w:val="PullOutBoxBodyText"/>
    <w:next w:val="PullOutBoxBodyText"/>
    <w:qFormat/>
    <w:rsid w:val="003C1E5E"/>
    <w:pPr>
      <w:keepNext/>
      <w:keepLines/>
    </w:pPr>
    <w:rPr>
      <w:b/>
      <w:szCs w:val="24"/>
    </w:rPr>
  </w:style>
  <w:style w:type="paragraph" w:customStyle="1" w:styleId="PullOutBoxBullet">
    <w:name w:val="Pull Out Box Bullet"/>
    <w:basedOn w:val="PullOutBoxBodyText"/>
    <w:qFormat/>
    <w:rsid w:val="003C1E5E"/>
    <w:pPr>
      <w:numPr>
        <w:numId w:val="14"/>
      </w:numPr>
    </w:pPr>
  </w:style>
  <w:style w:type="paragraph" w:customStyle="1" w:styleId="PullOutBoxBullet2">
    <w:name w:val="Pull Out Box Bullet 2"/>
    <w:basedOn w:val="PullOutBoxBodyText"/>
    <w:qFormat/>
    <w:rsid w:val="003C1E5E"/>
    <w:pPr>
      <w:numPr>
        <w:ilvl w:val="1"/>
        <w:numId w:val="14"/>
      </w:numPr>
    </w:pPr>
  </w:style>
  <w:style w:type="paragraph" w:customStyle="1" w:styleId="PullOutBoxBullet3">
    <w:name w:val="Pull Out Box Bullet 3"/>
    <w:basedOn w:val="PullOutBoxBodyText"/>
    <w:qFormat/>
    <w:rsid w:val="003C1E5E"/>
    <w:pPr>
      <w:numPr>
        <w:ilvl w:val="2"/>
        <w:numId w:val="14"/>
      </w:numPr>
    </w:pPr>
  </w:style>
  <w:style w:type="paragraph" w:customStyle="1" w:styleId="xBackPageWebAddress">
    <w:name w:val="xBack Page Web Address"/>
    <w:basedOn w:val="Normal"/>
    <w:semiHidden/>
    <w:rsid w:val="003C1E5E"/>
    <w:pPr>
      <w:spacing w:before="140" w:after="0" w:line="240" w:lineRule="atLeast"/>
    </w:pPr>
    <w:rPr>
      <w:rFonts w:asciiTheme="minorHAnsi" w:hAnsiTheme="minorHAnsi" w:cs="Arial"/>
      <w:color w:val="FFFFFF"/>
      <w:spacing w:val="-6"/>
      <w:sz w:val="36"/>
      <w:szCs w:val="36"/>
      <w:lang w:eastAsia="en-AU"/>
    </w:rPr>
  </w:style>
  <w:style w:type="paragraph" w:customStyle="1" w:styleId="xBackPage">
    <w:name w:val="xBack Page"/>
    <w:basedOn w:val="Normal"/>
    <w:semiHidden/>
    <w:rsid w:val="003C1E5E"/>
    <w:pPr>
      <w:spacing w:before="0" w:after="0" w:line="240" w:lineRule="atLeast"/>
    </w:pPr>
    <w:rPr>
      <w:rFonts w:asciiTheme="minorHAnsi" w:hAnsiTheme="minorHAnsi" w:cs="Arial"/>
      <w:color w:val="FFFFFF"/>
      <w:sz w:val="20"/>
      <w:lang w:eastAsia="en-AU"/>
    </w:rPr>
  </w:style>
  <w:style w:type="paragraph" w:customStyle="1" w:styleId="Source">
    <w:name w:val="Source"/>
    <w:basedOn w:val="Normal"/>
    <w:next w:val="BodyText"/>
    <w:rsid w:val="003C1E5E"/>
    <w:pPr>
      <w:spacing w:before="60" w:after="60" w:line="180" w:lineRule="atLeast"/>
    </w:pPr>
    <w:rPr>
      <w:rFonts w:asciiTheme="minorHAnsi" w:hAnsiTheme="minorHAnsi" w:cs="Arial"/>
      <w:b/>
      <w:i/>
      <w:color w:val="000000" w:themeColor="text1"/>
      <w:sz w:val="14"/>
      <w:lang w:eastAsia="en-AU"/>
    </w:rPr>
  </w:style>
  <w:style w:type="paragraph" w:customStyle="1" w:styleId="xDisclaimerText">
    <w:name w:val="xDisclaimer Text"/>
    <w:basedOn w:val="xContactDetails"/>
    <w:rsid w:val="003C1E5E"/>
    <w:pPr>
      <w:spacing w:before="0" w:after="0" w:line="175" w:lineRule="atLeast"/>
      <w:ind w:left="0" w:right="0"/>
      <w:contextualSpacing w:val="0"/>
    </w:pPr>
  </w:style>
  <w:style w:type="paragraph" w:customStyle="1" w:styleId="IntroFeatureText">
    <w:name w:val="Intro/Feature Text"/>
    <w:basedOn w:val="Normal"/>
    <w:next w:val="BodyText"/>
    <w:qFormat/>
    <w:rsid w:val="003C1E5E"/>
    <w:pPr>
      <w:spacing w:before="60" w:after="180" w:line="360" w:lineRule="exact"/>
    </w:pPr>
    <w:rPr>
      <w:rFonts w:asciiTheme="minorHAnsi" w:hAnsiTheme="minorHAnsi" w:cs="Arial"/>
      <w:color w:val="201547" w:themeColor="text2"/>
      <w:spacing w:val="-2"/>
      <w:sz w:val="32"/>
      <w:lang w:eastAsia="en-AU"/>
    </w:rPr>
  </w:style>
  <w:style w:type="character" w:customStyle="1" w:styleId="BoldAndItalics">
    <w:name w:val="Bold And Italics"/>
    <w:semiHidden/>
    <w:rsid w:val="003C1E5E"/>
    <w:rPr>
      <w:b/>
      <w:i/>
    </w:rPr>
  </w:style>
  <w:style w:type="paragraph" w:customStyle="1" w:styleId="TableTextRight">
    <w:name w:val="Table Text Right"/>
    <w:basedOn w:val="TableTextLeft"/>
    <w:qFormat/>
    <w:rsid w:val="003C1E5E"/>
    <w:pPr>
      <w:jc w:val="right"/>
    </w:pPr>
  </w:style>
  <w:style w:type="paragraph" w:customStyle="1" w:styleId="CaptionDescriptive">
    <w:name w:val="Caption Descriptive"/>
    <w:basedOn w:val="BodyText"/>
    <w:next w:val="BodyText"/>
    <w:rsid w:val="003C1E5E"/>
    <w:pPr>
      <w:spacing w:after="60" w:line="240" w:lineRule="auto"/>
      <w:ind w:right="227"/>
    </w:pPr>
    <w:rPr>
      <w:i/>
      <w:sz w:val="18"/>
      <w:szCs w:val="14"/>
    </w:rPr>
  </w:style>
  <w:style w:type="table" w:customStyle="1" w:styleId="PullOutBoxTable">
    <w:name w:val="Pull Out Box Table"/>
    <w:basedOn w:val="TableNormal"/>
    <w:uiPriority w:val="99"/>
    <w:rsid w:val="003C1E5E"/>
    <w:pPr>
      <w:spacing w:after="0" w:line="240" w:lineRule="auto"/>
    </w:pPr>
    <w:rPr>
      <w:rFonts w:eastAsia="Times New Roman" w:cs="Arial"/>
      <w:color w:val="000000" w:themeColor="text1"/>
      <w:sz w:val="20"/>
      <w:szCs w:val="20"/>
      <w:lang w:eastAsia="en-AU"/>
    </w:r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ocked/>
    <w:rsid w:val="003C1E5E"/>
    <w:pPr>
      <w:spacing w:after="0" w:line="240" w:lineRule="auto"/>
    </w:pPr>
    <w:rPr>
      <w:rFonts w:eastAsia="Times New Roman" w:cs="Arial"/>
      <w:color w:val="000000" w:themeColor="text1"/>
      <w:sz w:val="20"/>
      <w:szCs w:val="20"/>
      <w:lang w:eastAsia="en-AU"/>
    </w:rPr>
  </w:style>
  <w:style w:type="paragraph" w:styleId="Date">
    <w:name w:val="Date"/>
    <w:basedOn w:val="Normal"/>
    <w:next w:val="Normal"/>
    <w:link w:val="DateChar"/>
    <w:semiHidden/>
    <w:locked/>
    <w:rsid w:val="003C1E5E"/>
    <w:pPr>
      <w:spacing w:before="0" w:after="0" w:line="240" w:lineRule="atLeast"/>
    </w:pPr>
    <w:rPr>
      <w:rFonts w:asciiTheme="minorHAnsi" w:hAnsiTheme="minorHAnsi" w:cs="Arial"/>
      <w:b/>
      <w:color w:val="FFFFFF"/>
      <w:sz w:val="36"/>
      <w:lang w:eastAsia="en-AU"/>
    </w:rPr>
  </w:style>
  <w:style w:type="character" w:customStyle="1" w:styleId="DateChar">
    <w:name w:val="Date Char"/>
    <w:basedOn w:val="DefaultParagraphFont"/>
    <w:link w:val="Date"/>
    <w:semiHidden/>
    <w:rsid w:val="003C1E5E"/>
    <w:rPr>
      <w:rFonts w:eastAsia="Times New Roman" w:cs="Arial"/>
      <w:b/>
      <w:color w:val="FFFFFF"/>
      <w:sz w:val="36"/>
      <w:szCs w:val="20"/>
      <w:lang w:eastAsia="en-AU"/>
    </w:rPr>
  </w:style>
  <w:style w:type="paragraph" w:styleId="NormalWeb">
    <w:name w:val="Normal (Web)"/>
    <w:basedOn w:val="Normal"/>
    <w:uiPriority w:val="99"/>
    <w:unhideWhenUsed/>
    <w:locked/>
    <w:rsid w:val="003C1E5E"/>
    <w:pPr>
      <w:spacing w:before="0" w:after="0" w:line="240" w:lineRule="atLeast"/>
    </w:pPr>
    <w:rPr>
      <w:rFonts w:asciiTheme="minorHAnsi" w:eastAsiaTheme="minorEastAsia" w:hAnsiTheme="minorHAnsi"/>
      <w:color w:val="000000" w:themeColor="text1"/>
      <w:sz w:val="20"/>
      <w:szCs w:val="24"/>
      <w:lang w:eastAsia="en-AU"/>
    </w:rPr>
  </w:style>
  <w:style w:type="character" w:customStyle="1" w:styleId="MySuperscript">
    <w:name w:val="MySuperscript"/>
    <w:uiPriority w:val="1"/>
    <w:semiHidden/>
    <w:rsid w:val="003C1E5E"/>
    <w:rPr>
      <w:vertAlign w:val="superscript"/>
    </w:rPr>
  </w:style>
  <w:style w:type="character" w:customStyle="1" w:styleId="MySubscript">
    <w:name w:val="MySubscript"/>
    <w:uiPriority w:val="1"/>
    <w:semiHidden/>
    <w:rsid w:val="003C1E5E"/>
    <w:rPr>
      <w:vertAlign w:val="subscript"/>
    </w:rPr>
  </w:style>
  <w:style w:type="character" w:customStyle="1" w:styleId="MySuperscriptItalics">
    <w:name w:val="MySuperscript&amp;Italics"/>
    <w:uiPriority w:val="1"/>
    <w:semiHidden/>
    <w:rsid w:val="003C1E5E"/>
    <w:rPr>
      <w:i/>
      <w:vertAlign w:val="superscript"/>
    </w:rPr>
  </w:style>
  <w:style w:type="character" w:customStyle="1" w:styleId="MySubscriptItalics">
    <w:name w:val="MySubscript&amp;Italics"/>
    <w:uiPriority w:val="1"/>
    <w:semiHidden/>
    <w:rsid w:val="003C1E5E"/>
    <w:rPr>
      <w:i/>
      <w:vertAlign w:val="subscript"/>
    </w:rPr>
  </w:style>
  <w:style w:type="paragraph" w:customStyle="1" w:styleId="QuoteBullet">
    <w:name w:val="Quote Bullet"/>
    <w:basedOn w:val="Quote"/>
    <w:qFormat/>
    <w:rsid w:val="003C1E5E"/>
    <w:pPr>
      <w:numPr>
        <w:numId w:val="12"/>
      </w:numPr>
    </w:pPr>
  </w:style>
  <w:style w:type="paragraph" w:customStyle="1" w:styleId="QuoteBullet2">
    <w:name w:val="Quote Bullet 2"/>
    <w:basedOn w:val="Quote"/>
    <w:qFormat/>
    <w:rsid w:val="003C1E5E"/>
    <w:pPr>
      <w:numPr>
        <w:ilvl w:val="1"/>
        <w:numId w:val="12"/>
      </w:numPr>
      <w:tabs>
        <w:tab w:val="clear" w:pos="1134"/>
      </w:tabs>
    </w:pPr>
  </w:style>
  <w:style w:type="character" w:styleId="CommentReference">
    <w:name w:val="annotation reference"/>
    <w:basedOn w:val="DefaultParagraphFont"/>
    <w:locked/>
    <w:rsid w:val="003C1E5E"/>
    <w:rPr>
      <w:sz w:val="16"/>
      <w:szCs w:val="16"/>
    </w:rPr>
  </w:style>
  <w:style w:type="paragraph" w:styleId="CommentText">
    <w:name w:val="annotation text"/>
    <w:basedOn w:val="Normal"/>
    <w:link w:val="CommentTextChar"/>
    <w:locked/>
    <w:rsid w:val="003C1E5E"/>
    <w:pPr>
      <w:spacing w:before="0" w:after="0"/>
    </w:pPr>
    <w:rPr>
      <w:rFonts w:asciiTheme="minorHAnsi" w:hAnsiTheme="minorHAnsi" w:cs="Arial"/>
      <w:color w:val="000000" w:themeColor="text1"/>
      <w:sz w:val="20"/>
      <w:lang w:eastAsia="en-AU"/>
    </w:rPr>
  </w:style>
  <w:style w:type="character" w:customStyle="1" w:styleId="CommentTextChar">
    <w:name w:val="Comment Text Char"/>
    <w:basedOn w:val="DefaultParagraphFont"/>
    <w:link w:val="CommentText"/>
    <w:rsid w:val="003C1E5E"/>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locked/>
    <w:rsid w:val="003C1E5E"/>
    <w:rPr>
      <w:b/>
      <w:bCs/>
    </w:rPr>
  </w:style>
  <w:style w:type="character" w:customStyle="1" w:styleId="CommentSubjectChar">
    <w:name w:val="Comment Subject Char"/>
    <w:basedOn w:val="CommentTextChar"/>
    <w:link w:val="CommentSubject"/>
    <w:rsid w:val="003C1E5E"/>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3C1E5E"/>
    <w:pPr>
      <w:numPr>
        <w:numId w:val="10"/>
      </w:numPr>
    </w:pPr>
  </w:style>
  <w:style w:type="paragraph" w:customStyle="1" w:styleId="PullOutBoxNumbered2">
    <w:name w:val="Pull Out Box Numbered 2"/>
    <w:basedOn w:val="PullOutBoxBodyText"/>
    <w:qFormat/>
    <w:rsid w:val="003C1E5E"/>
    <w:pPr>
      <w:numPr>
        <w:ilvl w:val="1"/>
        <w:numId w:val="10"/>
      </w:numPr>
    </w:pPr>
  </w:style>
  <w:style w:type="paragraph" w:customStyle="1" w:styleId="PullOutBoxNumbered3">
    <w:name w:val="Pull Out Box Numbered 3"/>
    <w:basedOn w:val="PullOutBoxBodyText"/>
    <w:qFormat/>
    <w:rsid w:val="003C1E5E"/>
    <w:pPr>
      <w:numPr>
        <w:ilvl w:val="2"/>
        <w:numId w:val="10"/>
      </w:numPr>
    </w:pPr>
  </w:style>
  <w:style w:type="paragraph" w:customStyle="1" w:styleId="xDisclaimerText2">
    <w:name w:val="xDisclaimer Text 2"/>
    <w:basedOn w:val="xDisclaimerText"/>
    <w:rsid w:val="003C1E5E"/>
    <w:pPr>
      <w:spacing w:before="180" w:after="170"/>
    </w:pPr>
  </w:style>
  <w:style w:type="paragraph" w:customStyle="1" w:styleId="SectionHeading">
    <w:name w:val="Section Heading"/>
    <w:basedOn w:val="Normal"/>
    <w:next w:val="BodyText"/>
    <w:semiHidden/>
    <w:qFormat/>
    <w:rsid w:val="003C1E5E"/>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asciiTheme="minorHAnsi" w:hAnsiTheme="minorHAnsi" w:cs="Arial"/>
      <w:b/>
      <w:color w:val="FFFFFF" w:themeColor="background1"/>
      <w:sz w:val="52"/>
      <w:szCs w:val="40"/>
      <w:lang w:eastAsia="en-AU"/>
    </w:rPr>
  </w:style>
  <w:style w:type="paragraph" w:customStyle="1" w:styleId="TitleBarText">
    <w:name w:val="Title Bar Text"/>
    <w:basedOn w:val="Normal"/>
    <w:uiPriority w:val="99"/>
    <w:qFormat/>
    <w:rsid w:val="003C1E5E"/>
    <w:pPr>
      <w:spacing w:before="0" w:after="0" w:line="360" w:lineRule="exact"/>
      <w:jc w:val="right"/>
    </w:pPr>
    <w:rPr>
      <w:rFonts w:asciiTheme="minorHAnsi" w:hAnsiTheme="minorHAnsi" w:cs="Arial"/>
      <w:color w:val="FFFFFF"/>
      <w:spacing w:val="-2"/>
      <w:sz w:val="28"/>
      <w:szCs w:val="28"/>
      <w:lang w:eastAsia="en-AU"/>
    </w:rPr>
  </w:style>
  <w:style w:type="table" w:customStyle="1" w:styleId="LogoPlaceholder">
    <w:name w:val="Logo Placeholder"/>
    <w:basedOn w:val="TableNormal"/>
    <w:uiPriority w:val="99"/>
    <w:rsid w:val="003C1E5E"/>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3C1E5E"/>
    <w:pPr>
      <w:jc w:val="right"/>
    </w:pPr>
    <w:rPr>
      <w:rFonts w:cs="Times New Roman"/>
    </w:rPr>
  </w:style>
  <w:style w:type="paragraph" w:customStyle="1" w:styleId="xCoverStatus">
    <w:name w:val="xCoverStatus"/>
    <w:basedOn w:val="Normal"/>
    <w:semiHidden/>
    <w:rsid w:val="003C1E5E"/>
    <w:pPr>
      <w:spacing w:before="0" w:after="0" w:line="240" w:lineRule="atLeast"/>
    </w:pPr>
    <w:rPr>
      <w:rFonts w:asciiTheme="minorHAnsi" w:hAnsiTheme="minorHAnsi" w:cs="Arial"/>
      <w:b/>
      <w:caps/>
      <w:color w:val="FF0000"/>
      <w:sz w:val="48"/>
      <w:szCs w:val="52"/>
      <w:lang w:eastAsia="en-AU"/>
    </w:rPr>
  </w:style>
  <w:style w:type="paragraph" w:customStyle="1" w:styleId="TableTextCentre">
    <w:name w:val="Table Text Centre"/>
    <w:basedOn w:val="TableTextLeft"/>
    <w:qFormat/>
    <w:rsid w:val="003C1E5E"/>
    <w:pPr>
      <w:jc w:val="center"/>
    </w:pPr>
  </w:style>
  <w:style w:type="paragraph" w:customStyle="1" w:styleId="TableHeadingCentre">
    <w:name w:val="Table Heading Centre"/>
    <w:basedOn w:val="TableHeadingLeft"/>
    <w:qFormat/>
    <w:rsid w:val="003C1E5E"/>
    <w:pPr>
      <w:jc w:val="center"/>
    </w:pPr>
  </w:style>
  <w:style w:type="paragraph" w:customStyle="1" w:styleId="Footnotes2">
    <w:name w:val="Footnotes 2"/>
    <w:basedOn w:val="Normal"/>
    <w:rsid w:val="003C1E5E"/>
    <w:pPr>
      <w:numPr>
        <w:ilvl w:val="1"/>
        <w:numId w:val="11"/>
      </w:numPr>
      <w:spacing w:before="0" w:after="100" w:afterAutospacing="1" w:line="180" w:lineRule="atLeast"/>
      <w:contextualSpacing/>
    </w:pPr>
    <w:rPr>
      <w:rFonts w:asciiTheme="minorHAnsi" w:hAnsiTheme="minorHAnsi" w:cs="Arial"/>
      <w:color w:val="000000" w:themeColor="text1"/>
      <w:sz w:val="14"/>
      <w:lang w:eastAsia="en-AU"/>
    </w:rPr>
  </w:style>
  <w:style w:type="paragraph" w:customStyle="1" w:styleId="BodyText100ThemeColour">
    <w:name w:val="Body Text 100% Theme Colour"/>
    <w:basedOn w:val="BodyText"/>
    <w:qFormat/>
    <w:rsid w:val="003C1E5E"/>
    <w:rPr>
      <w:color w:val="201547" w:themeColor="text2"/>
    </w:rPr>
  </w:style>
  <w:style w:type="paragraph" w:customStyle="1" w:styleId="PhotoCredit">
    <w:name w:val="Photo Credit"/>
    <w:basedOn w:val="CaptionDescriptive"/>
    <w:next w:val="BodyText"/>
    <w:qFormat/>
    <w:rsid w:val="003C1E5E"/>
    <w:rPr>
      <w:i w:val="0"/>
      <w:sz w:val="16"/>
    </w:rPr>
  </w:style>
  <w:style w:type="paragraph" w:customStyle="1" w:styleId="ListAlpha">
    <w:name w:val="List Alpha"/>
    <w:basedOn w:val="Normal"/>
    <w:qFormat/>
    <w:rsid w:val="003C1E5E"/>
    <w:pPr>
      <w:numPr>
        <w:numId w:val="15"/>
      </w:numPr>
      <w:spacing w:after="120" w:line="240" w:lineRule="atLeast"/>
    </w:pPr>
    <w:rPr>
      <w:rFonts w:asciiTheme="minorHAnsi" w:hAnsiTheme="minorHAnsi" w:cs="Arial"/>
      <w:color w:val="000000" w:themeColor="text1"/>
      <w:sz w:val="20"/>
      <w:lang w:eastAsia="en-AU"/>
    </w:rPr>
  </w:style>
  <w:style w:type="paragraph" w:customStyle="1" w:styleId="ListAlpha2">
    <w:name w:val="List Alpha 2"/>
    <w:basedOn w:val="Normal"/>
    <w:qFormat/>
    <w:rsid w:val="003C1E5E"/>
    <w:pPr>
      <w:numPr>
        <w:ilvl w:val="1"/>
        <w:numId w:val="15"/>
      </w:numPr>
      <w:spacing w:after="120" w:line="240" w:lineRule="atLeast"/>
    </w:pPr>
    <w:rPr>
      <w:rFonts w:asciiTheme="minorHAnsi" w:hAnsiTheme="minorHAnsi" w:cs="Arial"/>
      <w:color w:val="000000" w:themeColor="text1"/>
      <w:sz w:val="20"/>
      <w:lang w:eastAsia="en-AU"/>
    </w:rPr>
  </w:style>
  <w:style w:type="paragraph" w:customStyle="1" w:styleId="ListAlpha3">
    <w:name w:val="List Alpha 3"/>
    <w:basedOn w:val="Normal"/>
    <w:qFormat/>
    <w:rsid w:val="003C1E5E"/>
    <w:pPr>
      <w:numPr>
        <w:ilvl w:val="2"/>
        <w:numId w:val="15"/>
      </w:numPr>
      <w:spacing w:after="120" w:line="240" w:lineRule="atLeast"/>
    </w:pPr>
    <w:rPr>
      <w:rFonts w:asciiTheme="minorHAnsi" w:hAnsiTheme="minorHAnsi" w:cs="Arial"/>
      <w:color w:val="000000" w:themeColor="text1"/>
      <w:sz w:val="20"/>
      <w:lang w:eastAsia="en-AU"/>
    </w:rPr>
  </w:style>
  <w:style w:type="paragraph" w:customStyle="1" w:styleId="HighlightBoxHeading">
    <w:name w:val="Highlight Box Heading"/>
    <w:basedOn w:val="HighlightBoxText"/>
    <w:qFormat/>
    <w:rsid w:val="003C1E5E"/>
    <w:rPr>
      <w:b/>
    </w:rPr>
  </w:style>
  <w:style w:type="character" w:customStyle="1" w:styleId="MyUnderline">
    <w:name w:val="MyUnderline"/>
    <w:uiPriority w:val="1"/>
    <w:semiHidden/>
    <w:rsid w:val="003C1E5E"/>
    <w:rPr>
      <w:u w:val="single"/>
      <w:lang w:eastAsia="en-AU"/>
    </w:rPr>
  </w:style>
  <w:style w:type="character" w:customStyle="1" w:styleId="MyBoldItalicsUnderline">
    <w:name w:val="MyBoldItalicsUnderline"/>
    <w:uiPriority w:val="1"/>
    <w:semiHidden/>
    <w:rsid w:val="003C1E5E"/>
    <w:rPr>
      <w:b/>
      <w:i/>
      <w:u w:val="single"/>
    </w:rPr>
  </w:style>
  <w:style w:type="character" w:customStyle="1" w:styleId="MyBoldUnderline">
    <w:name w:val="MyBoldUnderline"/>
    <w:uiPriority w:val="1"/>
    <w:semiHidden/>
    <w:rsid w:val="003C1E5E"/>
    <w:rPr>
      <w:b/>
      <w:u w:val="single"/>
    </w:rPr>
  </w:style>
  <w:style w:type="character" w:customStyle="1" w:styleId="MyItalicsUnderline">
    <w:name w:val="MyItalicsUnderline"/>
    <w:uiPriority w:val="1"/>
    <w:semiHidden/>
    <w:rsid w:val="003C1E5E"/>
    <w:rPr>
      <w:i/>
      <w:u w:val="single"/>
    </w:rPr>
  </w:style>
  <w:style w:type="paragraph" w:customStyle="1" w:styleId="SmallBodyText">
    <w:name w:val="Small Body Text"/>
    <w:basedOn w:val="xDisclaimerText"/>
    <w:qFormat/>
    <w:rsid w:val="003C1E5E"/>
    <w:pPr>
      <w:spacing w:before="40" w:after="40" w:line="220" w:lineRule="atLeast"/>
    </w:pPr>
    <w:rPr>
      <w:sz w:val="18"/>
    </w:rPr>
  </w:style>
  <w:style w:type="paragraph" w:customStyle="1" w:styleId="SmallBullet">
    <w:name w:val="Small Bullet"/>
    <w:basedOn w:val="SmallBodyText"/>
    <w:qFormat/>
    <w:rsid w:val="003C1E5E"/>
    <w:pPr>
      <w:numPr>
        <w:numId w:val="16"/>
      </w:numPr>
      <w:ind w:left="360"/>
    </w:pPr>
  </w:style>
  <w:style w:type="paragraph" w:customStyle="1" w:styleId="SmallHeading">
    <w:name w:val="Small Heading"/>
    <w:basedOn w:val="xDisclaimerHeading"/>
    <w:next w:val="SmallBodyText"/>
    <w:qFormat/>
    <w:rsid w:val="003C1E5E"/>
    <w:pPr>
      <w:spacing w:after="40" w:line="220" w:lineRule="atLeast"/>
    </w:pPr>
    <w:rPr>
      <w:sz w:val="18"/>
    </w:rPr>
  </w:style>
  <w:style w:type="paragraph" w:customStyle="1" w:styleId="xWeb">
    <w:name w:val="xWeb"/>
    <w:basedOn w:val="Normal"/>
    <w:semiHidden/>
    <w:qFormat/>
    <w:rsid w:val="003C1E5E"/>
    <w:pPr>
      <w:spacing w:before="0" w:after="0"/>
    </w:pPr>
    <w:rPr>
      <w:rFonts w:asciiTheme="minorHAnsi" w:hAnsiTheme="minorHAnsi" w:cs="Arial"/>
      <w:b/>
      <w:color w:val="FFFFFF"/>
      <w:spacing w:val="-4"/>
      <w:sz w:val="25"/>
      <w:szCs w:val="42"/>
      <w:lang w:eastAsia="en-AU"/>
    </w:rPr>
  </w:style>
  <w:style w:type="table" w:customStyle="1" w:styleId="DELWPTableNormal">
    <w:name w:val="DELWP Table Normal"/>
    <w:basedOn w:val="TableNormal"/>
    <w:uiPriority w:val="99"/>
    <w:rsid w:val="003C1E5E"/>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3C1E5E"/>
    <w:pPr>
      <w:spacing w:before="0" w:after="0" w:line="300" w:lineRule="exact"/>
    </w:pPr>
    <w:rPr>
      <w:rFonts w:asciiTheme="minorHAnsi" w:hAnsiTheme="minorHAnsi" w:cs="Arial"/>
      <w:color w:val="000000" w:themeColor="text1"/>
      <w:sz w:val="24"/>
      <w:lang w:eastAsia="en-AU"/>
    </w:rPr>
  </w:style>
  <w:style w:type="paragraph" w:customStyle="1" w:styleId="xAccessibilityHeading">
    <w:name w:val="xAccessibility Heading"/>
    <w:basedOn w:val="Normal"/>
    <w:semiHidden/>
    <w:qFormat/>
    <w:rsid w:val="003C1E5E"/>
    <w:pPr>
      <w:spacing w:before="170" w:after="20" w:line="300" w:lineRule="exact"/>
    </w:pPr>
    <w:rPr>
      <w:rFonts w:asciiTheme="minorHAnsi" w:hAnsiTheme="minorHAnsi" w:cs="Arial"/>
      <w:b/>
      <w:color w:val="000000" w:themeColor="text1"/>
      <w:sz w:val="24"/>
      <w:lang w:eastAsia="en-AU"/>
    </w:rPr>
  </w:style>
  <w:style w:type="paragraph" w:customStyle="1" w:styleId="FooterEvenPageNumber">
    <w:name w:val="Footer Even Page Number"/>
    <w:basedOn w:val="FooterEven"/>
    <w:rsid w:val="003C1E5E"/>
    <w:pPr>
      <w:framePr w:wrap="around" w:vAnchor="page" w:hAnchor="margin" w:yAlign="bottom"/>
    </w:pPr>
    <w:rPr>
      <w:b/>
      <w:color w:val="201547" w:themeColor="accent1"/>
    </w:rPr>
  </w:style>
  <w:style w:type="character" w:customStyle="1" w:styleId="HiddenText">
    <w:name w:val="Hidden Text"/>
    <w:basedOn w:val="DefaultParagraphFont"/>
    <w:uiPriority w:val="1"/>
    <w:qFormat/>
    <w:rsid w:val="003C1E5E"/>
    <w:rPr>
      <w:vanish/>
      <w:color w:val="FF0000"/>
      <w:sz w:val="20"/>
      <w:u w:val="dotted"/>
    </w:rPr>
  </w:style>
  <w:style w:type="paragraph" w:customStyle="1" w:styleId="xWebCoverPage">
    <w:name w:val="xWebCoverPage"/>
    <w:basedOn w:val="xWeb"/>
    <w:semiHidden/>
    <w:qFormat/>
    <w:rsid w:val="003C1E5E"/>
    <w:rPr>
      <w:color w:val="00B2A9"/>
    </w:rPr>
  </w:style>
  <w:style w:type="character" w:customStyle="1" w:styleId="TableTextLeftChar">
    <w:name w:val="Table Text Left Char"/>
    <w:basedOn w:val="DefaultParagraphFont"/>
    <w:link w:val="TableTextLeft"/>
    <w:rsid w:val="003C1E5E"/>
    <w:rPr>
      <w:rFonts w:eastAsia="Times New Roman" w:cs="Arial"/>
      <w:color w:val="000000" w:themeColor="text1"/>
      <w:sz w:val="18"/>
      <w:szCs w:val="20"/>
      <w:lang w:eastAsia="en-AU"/>
    </w:rPr>
  </w:style>
  <w:style w:type="paragraph" w:customStyle="1" w:styleId="xDisclaimertext4">
    <w:name w:val="xDisclaimer text 4"/>
    <w:basedOn w:val="xDisclaimertext3"/>
    <w:qFormat/>
    <w:rsid w:val="003C1E5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3C1E5E"/>
    <w:pPr>
      <w:framePr w:wrap="around"/>
      <w:spacing w:before="120" w:after="120"/>
    </w:pPr>
    <w:rPr>
      <w:b/>
      <w:color w:val="201547" w:themeColor="accent1"/>
      <w:sz w:val="20"/>
    </w:rPr>
  </w:style>
  <w:style w:type="paragraph" w:customStyle="1" w:styleId="xDisclaimertext5">
    <w:name w:val="xDisclaimer text 5"/>
    <w:basedOn w:val="xDisclaimertext4"/>
    <w:qFormat/>
    <w:rsid w:val="003C1E5E"/>
    <w:pPr>
      <w:framePr w:wrap="around"/>
      <w:spacing w:after="100"/>
      <w:ind w:right="3119"/>
    </w:pPr>
  </w:style>
  <w:style w:type="table" w:styleId="ColorfulGrid">
    <w:name w:val="Colorful Grid"/>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FF1D9" w:themeFill="accent3" w:themeFillTint="33"/>
    </w:tcPr>
    <w:tblStylePr w:type="firstRow">
      <w:rPr>
        <w:b/>
        <w:bCs/>
      </w:rPr>
      <w:tblPr/>
      <w:tcPr>
        <w:shd w:val="clear" w:color="auto" w:fill="C0E3B4" w:themeFill="accent3" w:themeFillTint="66"/>
      </w:tcPr>
    </w:tblStylePr>
    <w:tblStylePr w:type="lastRow">
      <w:rPr>
        <w:b/>
        <w:bCs/>
        <w:color w:val="000000" w:themeColor="text1"/>
      </w:rPr>
      <w:tblPr/>
      <w:tcPr>
        <w:shd w:val="clear" w:color="auto" w:fill="C0E3B4" w:themeFill="accent3" w:themeFillTint="66"/>
      </w:tcPr>
    </w:tblStylePr>
    <w:tblStylePr w:type="firstCol">
      <w:rPr>
        <w:color w:val="FFFFFF" w:themeColor="background1"/>
      </w:rPr>
      <w:tblPr/>
      <w:tcPr>
        <w:shd w:val="clear" w:color="auto" w:fill="498C33" w:themeFill="accent3" w:themeFillShade="BF"/>
      </w:tcPr>
    </w:tblStylePr>
    <w:tblStylePr w:type="lastCol">
      <w:rPr>
        <w:color w:val="FFFFFF" w:themeColor="background1"/>
      </w:rPr>
      <w:tblPr/>
      <w:tcPr>
        <w:shd w:val="clear" w:color="auto" w:fill="498C33" w:themeFill="accent3" w:themeFillShade="BF"/>
      </w:tc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ColorfulGrid-Accent4">
    <w:name w:val="Colorful Grid Accent 4"/>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AAAFC" w:themeFill="accent4" w:themeFillTint="33"/>
    </w:tcPr>
    <w:tblStylePr w:type="firstRow">
      <w:rPr>
        <w:b/>
        <w:bCs/>
      </w:rPr>
      <w:tblPr/>
      <w:tcPr>
        <w:shd w:val="clear" w:color="auto" w:fill="7555FA" w:themeFill="accent4" w:themeFillTint="66"/>
      </w:tcPr>
    </w:tblStylePr>
    <w:tblStylePr w:type="lastRow">
      <w:rPr>
        <w:b/>
        <w:bCs/>
        <w:color w:val="000000" w:themeColor="text1"/>
      </w:rPr>
      <w:tblPr/>
      <w:tcPr>
        <w:shd w:val="clear" w:color="auto" w:fill="7555FA" w:themeFill="accent4" w:themeFillTint="66"/>
      </w:tcPr>
    </w:tblStylePr>
    <w:tblStylePr w:type="firstCol">
      <w:rPr>
        <w:color w:val="FFFFFF" w:themeColor="background1"/>
      </w:rPr>
      <w:tblPr/>
      <w:tcPr>
        <w:shd w:val="clear" w:color="auto" w:fill="0B0136" w:themeFill="accent4" w:themeFillShade="BF"/>
      </w:tcPr>
    </w:tblStylePr>
    <w:tblStylePr w:type="lastCol">
      <w:rPr>
        <w:color w:val="FFFFFF" w:themeColor="background1"/>
      </w:rPr>
      <w:tblPr/>
      <w:tcPr>
        <w:shd w:val="clear" w:color="auto" w:fill="0B0136" w:themeFill="accent4" w:themeFillShade="BF"/>
      </w:tc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ColorfulGrid-Accent5">
    <w:name w:val="Colorful Grid Accent 5"/>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4EAFF" w:themeFill="accent5" w:themeFillTint="33"/>
    </w:tcPr>
    <w:tblStylePr w:type="firstRow">
      <w:rPr>
        <w:b/>
        <w:bCs/>
      </w:rPr>
      <w:tblPr/>
      <w:tcPr>
        <w:shd w:val="clear" w:color="auto" w:fill="8AD7FF" w:themeFill="accent5" w:themeFillTint="66"/>
      </w:tcPr>
    </w:tblStylePr>
    <w:tblStylePr w:type="lastRow">
      <w:rPr>
        <w:b/>
        <w:bCs/>
        <w:color w:val="000000" w:themeColor="text1"/>
      </w:rPr>
      <w:tblPr/>
      <w:tcPr>
        <w:shd w:val="clear" w:color="auto" w:fill="8AD7FF" w:themeFill="accent5" w:themeFillTint="66"/>
      </w:tcPr>
    </w:tblStylePr>
    <w:tblStylePr w:type="firstCol">
      <w:rPr>
        <w:color w:val="FFFFFF" w:themeColor="background1"/>
      </w:rPr>
      <w:tblPr/>
      <w:tcPr>
        <w:shd w:val="clear" w:color="auto" w:fill="006BA3" w:themeFill="accent5" w:themeFillShade="BF"/>
      </w:tcPr>
    </w:tblStylePr>
    <w:tblStylePr w:type="lastCol">
      <w:rPr>
        <w:color w:val="FFFFFF" w:themeColor="background1"/>
      </w:rPr>
      <w:tblPr/>
      <w:tcPr>
        <w:shd w:val="clear" w:color="auto" w:fill="006BA3" w:themeFill="accent5" w:themeFillShade="BF"/>
      </w:tc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ColorfulGrid-Accent6">
    <w:name w:val="Colorful Grid Accent 6"/>
    <w:basedOn w:val="TableNormal"/>
    <w:uiPriority w:val="7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DAC8" w:themeFill="accent6" w:themeFillTint="33"/>
    </w:tcPr>
    <w:tblStylePr w:type="firstRow">
      <w:rPr>
        <w:b/>
        <w:bCs/>
      </w:rPr>
      <w:tblPr/>
      <w:tcPr>
        <w:shd w:val="clear" w:color="auto" w:fill="FCB692" w:themeFill="accent6" w:themeFillTint="66"/>
      </w:tcPr>
    </w:tblStylePr>
    <w:tblStylePr w:type="lastRow">
      <w:rPr>
        <w:b/>
        <w:bCs/>
        <w:color w:val="000000" w:themeColor="text1"/>
      </w:rPr>
      <w:tblPr/>
      <w:tcPr>
        <w:shd w:val="clear" w:color="auto" w:fill="FCB692" w:themeFill="accent6" w:themeFillTint="66"/>
      </w:tcPr>
    </w:tblStylePr>
    <w:tblStylePr w:type="firstCol">
      <w:rPr>
        <w:color w:val="FFFFFF" w:themeColor="background1"/>
      </w:rPr>
      <w:tblPr/>
      <w:tcPr>
        <w:shd w:val="clear" w:color="auto" w:fill="A93D03" w:themeFill="accent6" w:themeFillShade="BF"/>
      </w:tcPr>
    </w:tblStylePr>
    <w:tblStylePr w:type="lastCol">
      <w:rPr>
        <w:color w:val="FFFFFF" w:themeColor="background1"/>
      </w:rPr>
      <w:tblPr/>
      <w:tcPr>
        <w:shd w:val="clear" w:color="auto" w:fill="A93D03" w:themeFill="accent6" w:themeFillShade="BF"/>
      </w:tc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ColorfulList">
    <w:name w:val="Colorful List"/>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FF8EC" w:themeFill="accent3" w:themeFillTint="19"/>
    </w:tcPr>
    <w:tblStylePr w:type="firstRow">
      <w:rPr>
        <w:b/>
        <w:bCs/>
        <w:color w:val="FFFFFF" w:themeColor="background1"/>
      </w:rPr>
      <w:tblPr/>
      <w:tcPr>
        <w:tcBorders>
          <w:bottom w:val="single" w:sz="12" w:space="0" w:color="FFFFFF" w:themeColor="background1"/>
        </w:tcBorders>
        <w:shd w:val="clear" w:color="auto" w:fill="0C013A" w:themeFill="accent4" w:themeFillShade="CC"/>
      </w:tcPr>
    </w:tblStylePr>
    <w:tblStylePr w:type="lastRow">
      <w:rPr>
        <w:b/>
        <w:bCs/>
        <w:color w:val="0C013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ED1" w:themeFill="accent3" w:themeFillTint="3F"/>
      </w:tcPr>
    </w:tblStylePr>
    <w:tblStylePr w:type="band1Horz">
      <w:tblPr/>
      <w:tcPr>
        <w:shd w:val="clear" w:color="auto" w:fill="DFF1D9" w:themeFill="accent3" w:themeFillTint="33"/>
      </w:tcPr>
    </w:tblStylePr>
  </w:style>
  <w:style w:type="table" w:styleId="ColorfulList-Accent4">
    <w:name w:val="Colorful List Accent 4"/>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DD5FE" w:themeFill="accent4" w:themeFillTint="19"/>
    </w:tcPr>
    <w:tblStylePr w:type="firstRow">
      <w:rPr>
        <w:b/>
        <w:bCs/>
        <w:color w:val="FFFFFF" w:themeColor="background1"/>
      </w:rPr>
      <w:tblPr/>
      <w:tcPr>
        <w:tcBorders>
          <w:bottom w:val="single" w:sz="12" w:space="0" w:color="FFFFFF" w:themeColor="background1"/>
        </w:tcBorders>
        <w:shd w:val="clear" w:color="auto" w:fill="4D9637" w:themeFill="accent3" w:themeFillShade="CC"/>
      </w:tcPr>
    </w:tblStylePr>
    <w:tblStylePr w:type="lastRow">
      <w:rPr>
        <w:b/>
        <w:bCs/>
        <w:color w:val="4D963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96FC" w:themeFill="accent4" w:themeFillTint="3F"/>
      </w:tcPr>
    </w:tblStylePr>
    <w:tblStylePr w:type="band1Horz">
      <w:tblPr/>
      <w:tcPr>
        <w:shd w:val="clear" w:color="auto" w:fill="BAAAFC" w:themeFill="accent4" w:themeFillTint="33"/>
      </w:tcPr>
    </w:tblStylePr>
  </w:style>
  <w:style w:type="table" w:styleId="ColorfulList-Accent5">
    <w:name w:val="Colorful List Accent 5"/>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2F5FF" w:themeFill="accent5" w:themeFillTint="19"/>
    </w:tcPr>
    <w:tblStylePr w:type="firstRow">
      <w:rPr>
        <w:b/>
        <w:bCs/>
        <w:color w:val="FFFFFF" w:themeColor="background1"/>
      </w:rPr>
      <w:tblPr/>
      <w:tcPr>
        <w:tcBorders>
          <w:bottom w:val="single" w:sz="12" w:space="0" w:color="FFFFFF" w:themeColor="background1"/>
        </w:tcBorders>
        <w:shd w:val="clear" w:color="auto" w:fill="B54104" w:themeFill="accent6" w:themeFillShade="CC"/>
      </w:tcPr>
    </w:tblStylePr>
    <w:tblStylePr w:type="lastRow">
      <w:rPr>
        <w:b/>
        <w:bCs/>
        <w:color w:val="B5410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6FF" w:themeFill="accent5" w:themeFillTint="3F"/>
      </w:tcPr>
    </w:tblStylePr>
    <w:tblStylePr w:type="band1Horz">
      <w:tblPr/>
      <w:tcPr>
        <w:shd w:val="clear" w:color="auto" w:fill="C4EAFF" w:themeFill="accent5" w:themeFillTint="33"/>
      </w:tcPr>
    </w:tblStylePr>
  </w:style>
  <w:style w:type="table" w:styleId="ColorfulList-Accent6">
    <w:name w:val="Colorful List Accent 6"/>
    <w:basedOn w:val="TableNormal"/>
    <w:uiPriority w:val="7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EEDE4" w:themeFill="accent6" w:themeFillTint="19"/>
    </w:tcPr>
    <w:tblStylePr w:type="firstRow">
      <w:rPr>
        <w:b/>
        <w:bCs/>
        <w:color w:val="FFFFFF" w:themeColor="background1"/>
      </w:rPr>
      <w:tblPr/>
      <w:tcPr>
        <w:tcBorders>
          <w:bottom w:val="single" w:sz="12" w:space="0" w:color="FFFFFF" w:themeColor="background1"/>
        </w:tcBorders>
        <w:shd w:val="clear" w:color="auto" w:fill="0072AE" w:themeFill="accent5" w:themeFillShade="CC"/>
      </w:tcPr>
    </w:tblStylePr>
    <w:tblStylePr w:type="lastRow">
      <w:rPr>
        <w:b/>
        <w:bCs/>
        <w:color w:val="0072A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6" w:themeFillTint="3F"/>
      </w:tcPr>
    </w:tblStylePr>
    <w:tblStylePr w:type="band1Horz">
      <w:tblPr/>
      <w:tcPr>
        <w:shd w:val="clear" w:color="auto" w:fill="FDDAC8" w:themeFill="accent6" w:themeFillTint="33"/>
      </w:tcPr>
    </w:tblStylePr>
  </w:style>
  <w:style w:type="table" w:styleId="ColorfulShading">
    <w:name w:val="Colorful Shading"/>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100249" w:themeColor="accent4"/>
        <w:left w:val="single" w:sz="4" w:space="0" w:color="62BB46" w:themeColor="accent3"/>
        <w:bottom w:val="single" w:sz="4" w:space="0" w:color="62BB46" w:themeColor="accent3"/>
        <w:right w:val="single" w:sz="4" w:space="0" w:color="62BB46" w:themeColor="accent3"/>
        <w:insideH w:val="single" w:sz="4" w:space="0" w:color="FFFFFF" w:themeColor="background1"/>
        <w:insideV w:val="single" w:sz="4" w:space="0" w:color="FFFFFF" w:themeColor="background1"/>
      </w:tblBorders>
    </w:tblPr>
    <w:tcPr>
      <w:shd w:val="clear" w:color="auto" w:fill="EFF8EC" w:themeFill="accent3" w:themeFillTint="19"/>
    </w:tcPr>
    <w:tblStylePr w:type="firstRow">
      <w:rPr>
        <w:b/>
        <w:bCs/>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7029" w:themeFill="accent3" w:themeFillShade="99"/>
      </w:tcPr>
    </w:tblStylePr>
    <w:tblStylePr w:type="firstCol">
      <w:rPr>
        <w:color w:val="FFFFFF" w:themeColor="background1"/>
      </w:rPr>
      <w:tblPr/>
      <w:tcPr>
        <w:tcBorders>
          <w:top w:val="nil"/>
          <w:left w:val="nil"/>
          <w:bottom w:val="nil"/>
          <w:right w:val="nil"/>
          <w:insideH w:val="single" w:sz="4" w:space="0" w:color="3A7029" w:themeColor="accent3" w:themeShade="99"/>
          <w:insideV w:val="nil"/>
        </w:tcBorders>
        <w:shd w:val="clear" w:color="auto" w:fill="3A702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7029" w:themeFill="accent3" w:themeFillShade="99"/>
      </w:tcPr>
    </w:tblStylePr>
    <w:tblStylePr w:type="band1Vert">
      <w:tblPr/>
      <w:tcPr>
        <w:shd w:val="clear" w:color="auto" w:fill="C0E3B4" w:themeFill="accent3" w:themeFillTint="66"/>
      </w:tcPr>
    </w:tblStylePr>
    <w:tblStylePr w:type="band1Horz">
      <w:tblPr/>
      <w:tcPr>
        <w:shd w:val="clear" w:color="auto" w:fill="B0DDA2" w:themeFill="accent3" w:themeFillTint="7F"/>
      </w:tcPr>
    </w:tblStylePr>
  </w:style>
  <w:style w:type="table" w:styleId="ColorfulShading-Accent4">
    <w:name w:val="Colorful Shading Accent 4"/>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62BB46" w:themeColor="accent3"/>
        <w:left w:val="single" w:sz="4" w:space="0" w:color="100249" w:themeColor="accent4"/>
        <w:bottom w:val="single" w:sz="4" w:space="0" w:color="100249" w:themeColor="accent4"/>
        <w:right w:val="single" w:sz="4" w:space="0" w:color="100249" w:themeColor="accent4"/>
        <w:insideH w:val="single" w:sz="4" w:space="0" w:color="FFFFFF" w:themeColor="background1"/>
        <w:insideV w:val="single" w:sz="4" w:space="0" w:color="FFFFFF" w:themeColor="background1"/>
      </w:tblBorders>
    </w:tblPr>
    <w:tcPr>
      <w:shd w:val="clear" w:color="auto" w:fill="DDD5FE" w:themeFill="accent4" w:themeFillTint="19"/>
    </w:tcPr>
    <w:tblStylePr w:type="firstRow">
      <w:rPr>
        <w:b/>
        <w:bCs/>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12B" w:themeFill="accent4" w:themeFillShade="99"/>
      </w:tcPr>
    </w:tblStylePr>
    <w:tblStylePr w:type="firstCol">
      <w:rPr>
        <w:color w:val="FFFFFF" w:themeColor="background1"/>
      </w:rPr>
      <w:tblPr/>
      <w:tcPr>
        <w:tcBorders>
          <w:top w:val="nil"/>
          <w:left w:val="nil"/>
          <w:bottom w:val="nil"/>
          <w:right w:val="nil"/>
          <w:insideH w:val="single" w:sz="4" w:space="0" w:color="09012B" w:themeColor="accent4" w:themeShade="99"/>
          <w:insideV w:val="nil"/>
        </w:tcBorders>
        <w:shd w:val="clear" w:color="auto" w:fill="0901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012B" w:themeFill="accent4" w:themeFillShade="99"/>
      </w:tcPr>
    </w:tblStylePr>
    <w:tblStylePr w:type="band1Vert">
      <w:tblPr/>
      <w:tcPr>
        <w:shd w:val="clear" w:color="auto" w:fill="7555FA" w:themeFill="accent4" w:themeFillTint="66"/>
      </w:tcPr>
    </w:tblStylePr>
    <w:tblStylePr w:type="band1Horz">
      <w:tblPr/>
      <w:tcPr>
        <w:shd w:val="clear" w:color="auto" w:fill="542C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E35205" w:themeColor="accent6"/>
        <w:left w:val="single" w:sz="4" w:space="0" w:color="0090DA" w:themeColor="accent5"/>
        <w:bottom w:val="single" w:sz="4" w:space="0" w:color="0090DA" w:themeColor="accent5"/>
        <w:right w:val="single" w:sz="4" w:space="0" w:color="0090DA" w:themeColor="accent5"/>
        <w:insideH w:val="single" w:sz="4" w:space="0" w:color="FFFFFF" w:themeColor="background1"/>
        <w:insideV w:val="single" w:sz="4" w:space="0" w:color="FFFFFF" w:themeColor="background1"/>
      </w:tblBorders>
    </w:tblPr>
    <w:tcPr>
      <w:shd w:val="clear" w:color="auto" w:fill="E2F5FF" w:themeFill="accent5" w:themeFillTint="19"/>
    </w:tcPr>
    <w:tblStylePr w:type="firstRow">
      <w:rPr>
        <w:b/>
        <w:bCs/>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82" w:themeFill="accent5" w:themeFillShade="99"/>
      </w:tcPr>
    </w:tblStylePr>
    <w:tblStylePr w:type="firstCol">
      <w:rPr>
        <w:color w:val="FFFFFF" w:themeColor="background1"/>
      </w:rPr>
      <w:tblPr/>
      <w:tcPr>
        <w:tcBorders>
          <w:top w:val="nil"/>
          <w:left w:val="nil"/>
          <w:bottom w:val="nil"/>
          <w:right w:val="nil"/>
          <w:insideH w:val="single" w:sz="4" w:space="0" w:color="005682" w:themeColor="accent5" w:themeShade="99"/>
          <w:insideV w:val="nil"/>
        </w:tcBorders>
        <w:shd w:val="clear" w:color="auto" w:fill="00568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682" w:themeFill="accent5" w:themeFillShade="99"/>
      </w:tcPr>
    </w:tblStylePr>
    <w:tblStylePr w:type="band1Vert">
      <w:tblPr/>
      <w:tcPr>
        <w:shd w:val="clear" w:color="auto" w:fill="8AD7FF" w:themeFill="accent5" w:themeFillTint="66"/>
      </w:tcPr>
    </w:tblStylePr>
    <w:tblStylePr w:type="band1Horz">
      <w:tblPr/>
      <w:tcPr>
        <w:shd w:val="clear" w:color="auto" w:fill="6DC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0DA" w:themeColor="accent5"/>
        <w:left w:val="single" w:sz="4" w:space="0" w:color="E35205" w:themeColor="accent6"/>
        <w:bottom w:val="single" w:sz="4" w:space="0" w:color="E35205" w:themeColor="accent6"/>
        <w:right w:val="single" w:sz="4" w:space="0" w:color="E35205" w:themeColor="accent6"/>
        <w:insideH w:val="single" w:sz="4" w:space="0" w:color="FFFFFF" w:themeColor="background1"/>
        <w:insideV w:val="single" w:sz="4" w:space="0" w:color="FFFFFF" w:themeColor="background1"/>
      </w:tblBorders>
    </w:tblPr>
    <w:tcPr>
      <w:shd w:val="clear" w:color="auto" w:fill="FEEDE4" w:themeFill="accent6" w:themeFillTint="19"/>
    </w:tcPr>
    <w:tblStylePr w:type="firstRow">
      <w:rPr>
        <w:b/>
        <w:bCs/>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6" w:themeFillShade="99"/>
      </w:tcPr>
    </w:tblStylePr>
    <w:tblStylePr w:type="firstCol">
      <w:rPr>
        <w:color w:val="FFFFFF" w:themeColor="background1"/>
      </w:rPr>
      <w:tblPr/>
      <w:tcPr>
        <w:tcBorders>
          <w:top w:val="nil"/>
          <w:left w:val="nil"/>
          <w:bottom w:val="nil"/>
          <w:right w:val="nil"/>
          <w:insideH w:val="single" w:sz="4" w:space="0" w:color="883003" w:themeColor="accent6" w:themeShade="99"/>
          <w:insideV w:val="nil"/>
        </w:tcBorders>
        <w:shd w:val="clear" w:color="auto" w:fill="8830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6" w:themeFillShade="99"/>
      </w:tcPr>
    </w:tblStylePr>
    <w:tblStylePr w:type="band1Vert">
      <w:tblPr/>
      <w:tcPr>
        <w:shd w:val="clear" w:color="auto" w:fill="FCB692" w:themeFill="accent6" w:themeFillTint="66"/>
      </w:tcPr>
    </w:tblStylePr>
    <w:tblStylePr w:type="band1Horz">
      <w:tblPr/>
      <w:tcPr>
        <w:shd w:val="clear" w:color="auto" w:fill="FCA57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62BB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D2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C3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C33" w:themeFill="accent3" w:themeFillShade="BF"/>
      </w:tcPr>
    </w:tblStylePr>
    <w:tblStylePr w:type="band1Vert">
      <w:tblPr/>
      <w:tcPr>
        <w:tcBorders>
          <w:top w:val="nil"/>
          <w:left w:val="nil"/>
          <w:bottom w:val="nil"/>
          <w:right w:val="nil"/>
          <w:insideH w:val="nil"/>
          <w:insideV w:val="nil"/>
        </w:tcBorders>
        <w:shd w:val="clear" w:color="auto" w:fill="498C33" w:themeFill="accent3" w:themeFillShade="BF"/>
      </w:tcPr>
    </w:tblStylePr>
    <w:tblStylePr w:type="band1Horz">
      <w:tblPr/>
      <w:tcPr>
        <w:tcBorders>
          <w:top w:val="nil"/>
          <w:left w:val="nil"/>
          <w:bottom w:val="nil"/>
          <w:right w:val="nil"/>
          <w:insideH w:val="nil"/>
          <w:insideV w:val="nil"/>
        </w:tcBorders>
        <w:shd w:val="clear" w:color="auto" w:fill="498C33" w:themeFill="accent3" w:themeFillShade="BF"/>
      </w:tcPr>
    </w:tblStylePr>
  </w:style>
  <w:style w:type="table" w:styleId="DarkList-Accent4">
    <w:name w:val="Dark List Accent 4"/>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10024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012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013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0136" w:themeFill="accent4" w:themeFillShade="BF"/>
      </w:tcPr>
    </w:tblStylePr>
    <w:tblStylePr w:type="band1Vert">
      <w:tblPr/>
      <w:tcPr>
        <w:tcBorders>
          <w:top w:val="nil"/>
          <w:left w:val="nil"/>
          <w:bottom w:val="nil"/>
          <w:right w:val="nil"/>
          <w:insideH w:val="nil"/>
          <w:insideV w:val="nil"/>
        </w:tcBorders>
        <w:shd w:val="clear" w:color="auto" w:fill="0B0136" w:themeFill="accent4" w:themeFillShade="BF"/>
      </w:tcPr>
    </w:tblStylePr>
    <w:tblStylePr w:type="band1Horz">
      <w:tblPr/>
      <w:tcPr>
        <w:tcBorders>
          <w:top w:val="nil"/>
          <w:left w:val="nil"/>
          <w:bottom w:val="nil"/>
          <w:right w:val="nil"/>
          <w:insideH w:val="nil"/>
          <w:insideV w:val="nil"/>
        </w:tcBorders>
        <w:shd w:val="clear" w:color="auto" w:fill="0B0136" w:themeFill="accent4" w:themeFillShade="BF"/>
      </w:tcPr>
    </w:tblStylePr>
  </w:style>
  <w:style w:type="table" w:styleId="DarkList-Accent5">
    <w:name w:val="Dark List Accent 5"/>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0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76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6BA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6BA3" w:themeFill="accent5" w:themeFillShade="BF"/>
      </w:tcPr>
    </w:tblStylePr>
    <w:tblStylePr w:type="band1Vert">
      <w:tblPr/>
      <w:tcPr>
        <w:tcBorders>
          <w:top w:val="nil"/>
          <w:left w:val="nil"/>
          <w:bottom w:val="nil"/>
          <w:right w:val="nil"/>
          <w:insideH w:val="nil"/>
          <w:insideV w:val="nil"/>
        </w:tcBorders>
        <w:shd w:val="clear" w:color="auto" w:fill="006BA3" w:themeFill="accent5" w:themeFillShade="BF"/>
      </w:tcPr>
    </w:tblStylePr>
    <w:tblStylePr w:type="band1Horz">
      <w:tblPr/>
      <w:tcPr>
        <w:tcBorders>
          <w:top w:val="nil"/>
          <w:left w:val="nil"/>
          <w:bottom w:val="nil"/>
          <w:right w:val="nil"/>
          <w:insideH w:val="nil"/>
          <w:insideV w:val="nil"/>
        </w:tcBorders>
        <w:shd w:val="clear" w:color="auto" w:fill="006BA3" w:themeFill="accent5" w:themeFillShade="BF"/>
      </w:tcPr>
    </w:tblStylePr>
  </w:style>
  <w:style w:type="table" w:styleId="DarkList-Accent6">
    <w:name w:val="Dark List Accent 6"/>
    <w:basedOn w:val="TableNormal"/>
    <w:uiPriority w:val="70"/>
    <w:semiHidden/>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E3520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6" w:themeFillShade="BF"/>
      </w:tcPr>
    </w:tblStylePr>
    <w:tblStylePr w:type="band1Vert">
      <w:tblPr/>
      <w:tcPr>
        <w:tcBorders>
          <w:top w:val="nil"/>
          <w:left w:val="nil"/>
          <w:bottom w:val="nil"/>
          <w:right w:val="nil"/>
          <w:insideH w:val="nil"/>
          <w:insideV w:val="nil"/>
        </w:tcBorders>
        <w:shd w:val="clear" w:color="auto" w:fill="A93D03" w:themeFill="accent6" w:themeFillShade="BF"/>
      </w:tcPr>
    </w:tblStylePr>
    <w:tblStylePr w:type="band1Horz">
      <w:tblPr/>
      <w:tcPr>
        <w:tcBorders>
          <w:top w:val="nil"/>
          <w:left w:val="nil"/>
          <w:bottom w:val="nil"/>
          <w:right w:val="nil"/>
          <w:insideH w:val="nil"/>
          <w:insideV w:val="nil"/>
        </w:tcBorders>
        <w:shd w:val="clear" w:color="auto" w:fill="A93D03" w:themeFill="accent6" w:themeFillShade="BF"/>
      </w:tcPr>
    </w:tblStylePr>
  </w:style>
  <w:style w:type="table" w:styleId="GridTable1Light">
    <w:name w:val="Grid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0E3B4" w:themeColor="accent3" w:themeTint="66"/>
        <w:left w:val="single" w:sz="4" w:space="0" w:color="C0E3B4" w:themeColor="accent3" w:themeTint="66"/>
        <w:bottom w:val="single" w:sz="4" w:space="0" w:color="C0E3B4" w:themeColor="accent3" w:themeTint="66"/>
        <w:right w:val="single" w:sz="4" w:space="0" w:color="C0E3B4" w:themeColor="accent3" w:themeTint="66"/>
        <w:insideH w:val="single" w:sz="4" w:space="0" w:color="C0E3B4" w:themeColor="accent3" w:themeTint="66"/>
        <w:insideV w:val="single" w:sz="4" w:space="0" w:color="C0E3B4" w:themeColor="accent3" w:themeTint="66"/>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2" w:space="0" w:color="A0D68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555FA" w:themeColor="accent4" w:themeTint="66"/>
        <w:left w:val="single" w:sz="4" w:space="0" w:color="7555FA" w:themeColor="accent4" w:themeTint="66"/>
        <w:bottom w:val="single" w:sz="4" w:space="0" w:color="7555FA" w:themeColor="accent4" w:themeTint="66"/>
        <w:right w:val="single" w:sz="4" w:space="0" w:color="7555FA" w:themeColor="accent4" w:themeTint="66"/>
        <w:insideH w:val="single" w:sz="4" w:space="0" w:color="7555FA" w:themeColor="accent4" w:themeTint="66"/>
        <w:insideV w:val="single" w:sz="4" w:space="0" w:color="7555FA" w:themeColor="accent4" w:themeTint="66"/>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2" w:space="0" w:color="3406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8AD7FF" w:themeColor="accent5" w:themeTint="66"/>
        <w:left w:val="single" w:sz="4" w:space="0" w:color="8AD7FF" w:themeColor="accent5" w:themeTint="66"/>
        <w:bottom w:val="single" w:sz="4" w:space="0" w:color="8AD7FF" w:themeColor="accent5" w:themeTint="66"/>
        <w:right w:val="single" w:sz="4" w:space="0" w:color="8AD7FF" w:themeColor="accent5" w:themeTint="66"/>
        <w:insideH w:val="single" w:sz="4" w:space="0" w:color="8AD7FF" w:themeColor="accent5" w:themeTint="66"/>
        <w:insideV w:val="single" w:sz="4" w:space="0" w:color="8AD7FF" w:themeColor="accent5" w:themeTint="66"/>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2" w:space="0" w:color="4FC3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CB692" w:themeColor="accent6" w:themeTint="66"/>
        <w:left w:val="single" w:sz="4" w:space="0" w:color="FCB692" w:themeColor="accent6" w:themeTint="66"/>
        <w:bottom w:val="single" w:sz="4" w:space="0" w:color="FCB692" w:themeColor="accent6" w:themeTint="66"/>
        <w:right w:val="single" w:sz="4" w:space="0" w:color="FCB692" w:themeColor="accent6" w:themeTint="66"/>
        <w:insideH w:val="single" w:sz="4" w:space="0" w:color="FCB692" w:themeColor="accent6" w:themeTint="66"/>
        <w:insideV w:val="single" w:sz="4" w:space="0" w:color="FCB692" w:themeColor="accent6" w:themeTint="66"/>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2" w:space="0" w:color="FB925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A0D68F" w:themeColor="accent3" w:themeTint="99"/>
        <w:bottom w:val="single" w:sz="2" w:space="0" w:color="A0D68F" w:themeColor="accent3" w:themeTint="99"/>
        <w:insideH w:val="single" w:sz="2" w:space="0" w:color="A0D68F" w:themeColor="accent3" w:themeTint="99"/>
        <w:insideV w:val="single" w:sz="2" w:space="0" w:color="A0D68F" w:themeColor="accent3" w:themeTint="99"/>
      </w:tblBorders>
    </w:tblPr>
    <w:tblStylePr w:type="firstRow">
      <w:rPr>
        <w:b/>
        <w:bCs/>
      </w:rPr>
      <w:tblPr/>
      <w:tcPr>
        <w:tcBorders>
          <w:top w:val="nil"/>
          <w:bottom w:val="single" w:sz="12" w:space="0" w:color="A0D68F" w:themeColor="accent3" w:themeTint="99"/>
          <w:insideH w:val="nil"/>
          <w:insideV w:val="nil"/>
        </w:tcBorders>
        <w:shd w:val="clear" w:color="auto" w:fill="FFFFFF" w:themeFill="background1"/>
      </w:tcPr>
    </w:tblStylePr>
    <w:tblStylePr w:type="lastRow">
      <w:rPr>
        <w:b/>
        <w:bCs/>
      </w:rPr>
      <w:tblPr/>
      <w:tcPr>
        <w:tcBorders>
          <w:top w:val="double" w:sz="2" w:space="0" w:color="A0D68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2-Accent4">
    <w:name w:val="Grid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3406F2" w:themeColor="accent4" w:themeTint="99"/>
        <w:bottom w:val="single" w:sz="2" w:space="0" w:color="3406F2" w:themeColor="accent4" w:themeTint="99"/>
        <w:insideH w:val="single" w:sz="2" w:space="0" w:color="3406F2" w:themeColor="accent4" w:themeTint="99"/>
        <w:insideV w:val="single" w:sz="2" w:space="0" w:color="3406F2" w:themeColor="accent4" w:themeTint="99"/>
      </w:tblBorders>
    </w:tblPr>
    <w:tblStylePr w:type="firstRow">
      <w:rPr>
        <w:b/>
        <w:bCs/>
      </w:rPr>
      <w:tblPr/>
      <w:tcPr>
        <w:tcBorders>
          <w:top w:val="nil"/>
          <w:bottom w:val="single" w:sz="12" w:space="0" w:color="3406F2" w:themeColor="accent4" w:themeTint="99"/>
          <w:insideH w:val="nil"/>
          <w:insideV w:val="nil"/>
        </w:tcBorders>
        <w:shd w:val="clear" w:color="auto" w:fill="FFFFFF" w:themeFill="background1"/>
      </w:tcPr>
    </w:tblStylePr>
    <w:tblStylePr w:type="lastRow">
      <w:rPr>
        <w:b/>
        <w:bCs/>
      </w:rPr>
      <w:tblPr/>
      <w:tcPr>
        <w:tcBorders>
          <w:top w:val="double" w:sz="2" w:space="0" w:color="3406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2-Accent5">
    <w:name w:val="Grid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4FC3FF" w:themeColor="accent5" w:themeTint="99"/>
        <w:bottom w:val="single" w:sz="2" w:space="0" w:color="4FC3FF" w:themeColor="accent5" w:themeTint="99"/>
        <w:insideH w:val="single" w:sz="2" w:space="0" w:color="4FC3FF" w:themeColor="accent5" w:themeTint="99"/>
        <w:insideV w:val="single" w:sz="2" w:space="0" w:color="4FC3FF" w:themeColor="accent5" w:themeTint="99"/>
      </w:tblBorders>
    </w:tblPr>
    <w:tblStylePr w:type="firstRow">
      <w:rPr>
        <w:b/>
        <w:bCs/>
      </w:rPr>
      <w:tblPr/>
      <w:tcPr>
        <w:tcBorders>
          <w:top w:val="nil"/>
          <w:bottom w:val="single" w:sz="12" w:space="0" w:color="4FC3FF" w:themeColor="accent5" w:themeTint="99"/>
          <w:insideH w:val="nil"/>
          <w:insideV w:val="nil"/>
        </w:tcBorders>
        <w:shd w:val="clear" w:color="auto" w:fill="FFFFFF" w:themeFill="background1"/>
      </w:tcPr>
    </w:tblStylePr>
    <w:tblStylePr w:type="lastRow">
      <w:rPr>
        <w:b/>
        <w:bCs/>
      </w:rPr>
      <w:tblPr/>
      <w:tcPr>
        <w:tcBorders>
          <w:top w:val="double" w:sz="2" w:space="0" w:color="4FC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2-Accent6">
    <w:name w:val="Grid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B925B" w:themeColor="accent6" w:themeTint="99"/>
        <w:bottom w:val="single" w:sz="2" w:space="0" w:color="FB925B" w:themeColor="accent6" w:themeTint="99"/>
        <w:insideH w:val="single" w:sz="2" w:space="0" w:color="FB925B" w:themeColor="accent6" w:themeTint="99"/>
        <w:insideV w:val="single" w:sz="2" w:space="0" w:color="FB925B" w:themeColor="accent6" w:themeTint="99"/>
      </w:tblBorders>
    </w:tblPr>
    <w:tblStylePr w:type="firstRow">
      <w:rPr>
        <w:b/>
        <w:bCs/>
      </w:rPr>
      <w:tblPr/>
      <w:tcPr>
        <w:tcBorders>
          <w:top w:val="nil"/>
          <w:bottom w:val="single" w:sz="12" w:space="0" w:color="FB925B" w:themeColor="accent6" w:themeTint="99"/>
          <w:insideH w:val="nil"/>
          <w:insideV w:val="nil"/>
        </w:tcBorders>
        <w:shd w:val="clear" w:color="auto" w:fill="FFFFFF" w:themeFill="background1"/>
      </w:tcPr>
    </w:tblStylePr>
    <w:tblStylePr w:type="lastRow">
      <w:rPr>
        <w:b/>
        <w:bCs/>
      </w:rPr>
      <w:tblPr/>
      <w:tcPr>
        <w:tcBorders>
          <w:top w:val="double" w:sz="2" w:space="0" w:color="FB92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3">
    <w:name w:val="Grid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3-Accent4">
    <w:name w:val="Grid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3-Accent5">
    <w:name w:val="Grid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3-Accent6">
    <w:name w:val="Grid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GridTable4">
    <w:name w:val="Grid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4-Accent4">
    <w:name w:val="Grid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insideV w:val="nil"/>
        </w:tcBorders>
        <w:shd w:val="clear" w:color="auto" w:fill="100249" w:themeFill="accent4"/>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4-Accent5">
    <w:name w:val="Grid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insideV w:val="nil"/>
        </w:tcBorders>
        <w:shd w:val="clear" w:color="auto" w:fill="0090DA" w:themeFill="accent5"/>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4-Accent6">
    <w:name w:val="Grid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insideV w:val="nil"/>
        </w:tcBorders>
        <w:shd w:val="clear" w:color="auto" w:fill="E35205" w:themeFill="accent6"/>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5Dark">
    <w:name w:val="Grid Table 5 Dark"/>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B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B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B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B46" w:themeFill="accent3"/>
      </w:tcPr>
    </w:tblStylePr>
    <w:tblStylePr w:type="band1Vert">
      <w:tblPr/>
      <w:tcPr>
        <w:shd w:val="clear" w:color="auto" w:fill="C0E3B4" w:themeFill="accent3" w:themeFillTint="66"/>
      </w:tcPr>
    </w:tblStylePr>
    <w:tblStylePr w:type="band1Horz">
      <w:tblPr/>
      <w:tcPr>
        <w:shd w:val="clear" w:color="auto" w:fill="C0E3B4" w:themeFill="accent3" w:themeFillTint="66"/>
      </w:tcPr>
    </w:tblStylePr>
  </w:style>
  <w:style w:type="table" w:styleId="GridTable5Dark-Accent4">
    <w:name w:val="Grid Table 5 Dark Accent 4"/>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AA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024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024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024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0249" w:themeFill="accent4"/>
      </w:tcPr>
    </w:tblStylePr>
    <w:tblStylePr w:type="band1Vert">
      <w:tblPr/>
      <w:tcPr>
        <w:shd w:val="clear" w:color="auto" w:fill="7555FA" w:themeFill="accent4" w:themeFillTint="66"/>
      </w:tcPr>
    </w:tblStylePr>
    <w:tblStylePr w:type="band1Horz">
      <w:tblPr/>
      <w:tcPr>
        <w:shd w:val="clear" w:color="auto" w:fill="7555FA" w:themeFill="accent4" w:themeFillTint="66"/>
      </w:tcPr>
    </w:tblStylePr>
  </w:style>
  <w:style w:type="table" w:styleId="GridTable5Dark-Accent5">
    <w:name w:val="Grid Table 5 Dark Accent 5"/>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DA" w:themeFill="accent5"/>
      </w:tcPr>
    </w:tblStylePr>
    <w:tblStylePr w:type="band1Vert">
      <w:tblPr/>
      <w:tcPr>
        <w:shd w:val="clear" w:color="auto" w:fill="8AD7FF" w:themeFill="accent5" w:themeFillTint="66"/>
      </w:tcPr>
    </w:tblStylePr>
    <w:tblStylePr w:type="band1Horz">
      <w:tblPr/>
      <w:tcPr>
        <w:shd w:val="clear" w:color="auto" w:fill="8AD7FF" w:themeFill="accent5" w:themeFillTint="66"/>
      </w:tcPr>
    </w:tblStylePr>
  </w:style>
  <w:style w:type="table" w:styleId="GridTable5Dark-Accent6">
    <w:name w:val="Grid Table 5 Dark Accent 6"/>
    <w:basedOn w:val="TableNormal"/>
    <w:uiPriority w:val="50"/>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6"/>
      </w:tcPr>
    </w:tblStylePr>
    <w:tblStylePr w:type="band1Vert">
      <w:tblPr/>
      <w:tcPr>
        <w:shd w:val="clear" w:color="auto" w:fill="FCB692" w:themeFill="accent6" w:themeFillTint="66"/>
      </w:tcPr>
    </w:tblStylePr>
    <w:tblStylePr w:type="band1Horz">
      <w:tblPr/>
      <w:tcPr>
        <w:shd w:val="clear" w:color="auto" w:fill="FCB692" w:themeFill="accent6" w:themeFillTint="66"/>
      </w:tcPr>
    </w:tblStylePr>
  </w:style>
  <w:style w:type="table" w:styleId="GridTable6Colorful">
    <w:name w:val="Grid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bottom w:val="single" w:sz="12" w:space="0" w:color="A0D68F" w:themeColor="accent3" w:themeTint="99"/>
        </w:tcBorders>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GridTable6Colorful-Accent4">
    <w:name w:val="Grid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bottom w:val="single" w:sz="12" w:space="0" w:color="3406F2" w:themeColor="accent4" w:themeTint="99"/>
        </w:tcBorders>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GridTable6Colorful-Accent5">
    <w:name w:val="Grid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bottom w:val="single" w:sz="12" w:space="0" w:color="4FC3FF" w:themeColor="accent5" w:themeTint="99"/>
        </w:tcBorders>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GridTable6Colorful-Accent6">
    <w:name w:val="Grid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bottom w:val="single" w:sz="12" w:space="0" w:color="FB925B" w:themeColor="accent6" w:themeTint="99"/>
        </w:tcBorders>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GridTable7Colorful">
    <w:name w:val="Grid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bottom w:val="single" w:sz="4" w:space="0" w:color="A0D68F" w:themeColor="accent3" w:themeTint="99"/>
        </w:tcBorders>
      </w:tcPr>
    </w:tblStylePr>
    <w:tblStylePr w:type="nwCell">
      <w:tblPr/>
      <w:tcPr>
        <w:tcBorders>
          <w:bottom w:val="single" w:sz="4" w:space="0" w:color="A0D68F" w:themeColor="accent3" w:themeTint="99"/>
        </w:tcBorders>
      </w:tcPr>
    </w:tblStylePr>
    <w:tblStylePr w:type="seCell">
      <w:tblPr/>
      <w:tcPr>
        <w:tcBorders>
          <w:top w:val="single" w:sz="4" w:space="0" w:color="A0D68F" w:themeColor="accent3" w:themeTint="99"/>
        </w:tcBorders>
      </w:tcPr>
    </w:tblStylePr>
    <w:tblStylePr w:type="swCell">
      <w:tblPr/>
      <w:tcPr>
        <w:tcBorders>
          <w:top w:val="single" w:sz="4" w:space="0" w:color="A0D68F" w:themeColor="accent3" w:themeTint="99"/>
        </w:tcBorders>
      </w:tcPr>
    </w:tblStylePr>
  </w:style>
  <w:style w:type="table" w:styleId="GridTable7Colorful-Accent4">
    <w:name w:val="Grid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insideV w:val="single" w:sz="4" w:space="0" w:color="3406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bottom w:val="single" w:sz="4" w:space="0" w:color="3406F2" w:themeColor="accent4" w:themeTint="99"/>
        </w:tcBorders>
      </w:tcPr>
    </w:tblStylePr>
    <w:tblStylePr w:type="nwCell">
      <w:tblPr/>
      <w:tcPr>
        <w:tcBorders>
          <w:bottom w:val="single" w:sz="4" w:space="0" w:color="3406F2" w:themeColor="accent4" w:themeTint="99"/>
        </w:tcBorders>
      </w:tcPr>
    </w:tblStylePr>
    <w:tblStylePr w:type="seCell">
      <w:tblPr/>
      <w:tcPr>
        <w:tcBorders>
          <w:top w:val="single" w:sz="4" w:space="0" w:color="3406F2" w:themeColor="accent4" w:themeTint="99"/>
        </w:tcBorders>
      </w:tcPr>
    </w:tblStylePr>
    <w:tblStylePr w:type="swCell">
      <w:tblPr/>
      <w:tcPr>
        <w:tcBorders>
          <w:top w:val="single" w:sz="4" w:space="0" w:color="3406F2" w:themeColor="accent4" w:themeTint="99"/>
        </w:tcBorders>
      </w:tcPr>
    </w:tblStylePr>
  </w:style>
  <w:style w:type="table" w:styleId="GridTable7Colorful-Accent5">
    <w:name w:val="Grid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insideV w:val="single" w:sz="4" w:space="0" w:color="4FC3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bottom w:val="single" w:sz="4" w:space="0" w:color="4FC3FF" w:themeColor="accent5" w:themeTint="99"/>
        </w:tcBorders>
      </w:tcPr>
    </w:tblStylePr>
    <w:tblStylePr w:type="nwCell">
      <w:tblPr/>
      <w:tcPr>
        <w:tcBorders>
          <w:bottom w:val="single" w:sz="4" w:space="0" w:color="4FC3FF" w:themeColor="accent5" w:themeTint="99"/>
        </w:tcBorders>
      </w:tcPr>
    </w:tblStylePr>
    <w:tblStylePr w:type="seCell">
      <w:tblPr/>
      <w:tcPr>
        <w:tcBorders>
          <w:top w:val="single" w:sz="4" w:space="0" w:color="4FC3FF" w:themeColor="accent5" w:themeTint="99"/>
        </w:tcBorders>
      </w:tcPr>
    </w:tblStylePr>
    <w:tblStylePr w:type="swCell">
      <w:tblPr/>
      <w:tcPr>
        <w:tcBorders>
          <w:top w:val="single" w:sz="4" w:space="0" w:color="4FC3FF" w:themeColor="accent5" w:themeTint="99"/>
        </w:tcBorders>
      </w:tcPr>
    </w:tblStylePr>
  </w:style>
  <w:style w:type="table" w:styleId="GridTable7Colorful-Accent6">
    <w:name w:val="Grid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insideV w:val="single" w:sz="4" w:space="0" w:color="FB92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bottom w:val="single" w:sz="4" w:space="0" w:color="FB925B" w:themeColor="accent6" w:themeTint="99"/>
        </w:tcBorders>
      </w:tcPr>
    </w:tblStylePr>
    <w:tblStylePr w:type="nwCell">
      <w:tblPr/>
      <w:tcPr>
        <w:tcBorders>
          <w:bottom w:val="single" w:sz="4" w:space="0" w:color="FB925B" w:themeColor="accent6" w:themeTint="99"/>
        </w:tcBorders>
      </w:tcPr>
    </w:tblStylePr>
    <w:tblStylePr w:type="seCell">
      <w:tblPr/>
      <w:tcPr>
        <w:tcBorders>
          <w:top w:val="single" w:sz="4" w:space="0" w:color="FB925B" w:themeColor="accent6" w:themeTint="99"/>
        </w:tcBorders>
      </w:tcPr>
    </w:tblStylePr>
    <w:tblStylePr w:type="swCell">
      <w:tblPr/>
      <w:tcPr>
        <w:tcBorders>
          <w:top w:val="single" w:sz="4" w:space="0" w:color="FB925B" w:themeColor="accent6" w:themeTint="99"/>
        </w:tcBorders>
      </w:tcPr>
    </w:tblStylePr>
  </w:style>
  <w:style w:type="table" w:styleId="LightGrid">
    <w:name w:val="Light Grid"/>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18" w:space="0" w:color="62BB46" w:themeColor="accent3"/>
          <w:right w:val="single" w:sz="8" w:space="0" w:color="62BB46" w:themeColor="accent3"/>
          <w:insideH w:val="nil"/>
          <w:insideV w:val="single" w:sz="8" w:space="0" w:color="62BB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insideH w:val="nil"/>
          <w:insideV w:val="single" w:sz="8" w:space="0" w:color="62BB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shd w:val="clear" w:color="auto" w:fill="D8EED1" w:themeFill="accent3" w:themeFillTint="3F"/>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shd w:val="clear" w:color="auto" w:fill="D8EED1" w:themeFill="accent3" w:themeFillTint="3F"/>
      </w:tcPr>
    </w:tblStylePr>
    <w:tblStylePr w:type="band2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insideV w:val="single" w:sz="8" w:space="0" w:color="62BB46" w:themeColor="accent3"/>
        </w:tcBorders>
      </w:tcPr>
    </w:tblStylePr>
  </w:style>
  <w:style w:type="table" w:styleId="LightGrid-Accent4">
    <w:name w:val="Light Grid Accent 4"/>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18" w:space="0" w:color="100249" w:themeColor="accent4"/>
          <w:right w:val="single" w:sz="8" w:space="0" w:color="100249" w:themeColor="accent4"/>
          <w:insideH w:val="nil"/>
          <w:insideV w:val="single" w:sz="8" w:space="0" w:color="10024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insideH w:val="nil"/>
          <w:insideV w:val="single" w:sz="8" w:space="0" w:color="10024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shd w:val="clear" w:color="auto" w:fill="AA96FC" w:themeFill="accent4" w:themeFillTint="3F"/>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shd w:val="clear" w:color="auto" w:fill="AA96FC" w:themeFill="accent4" w:themeFillTint="3F"/>
      </w:tcPr>
    </w:tblStylePr>
    <w:tblStylePr w:type="band2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insideV w:val="single" w:sz="8" w:space="0" w:color="100249" w:themeColor="accent4"/>
        </w:tcBorders>
      </w:tcPr>
    </w:tblStylePr>
  </w:style>
  <w:style w:type="table" w:styleId="LightGrid-Accent5">
    <w:name w:val="Light Grid Accent 5"/>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18" w:space="0" w:color="0090DA" w:themeColor="accent5"/>
          <w:right w:val="single" w:sz="8" w:space="0" w:color="0090DA" w:themeColor="accent5"/>
          <w:insideH w:val="nil"/>
          <w:insideV w:val="single" w:sz="8" w:space="0" w:color="0090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insideH w:val="nil"/>
          <w:insideV w:val="single" w:sz="8" w:space="0" w:color="0090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shd w:val="clear" w:color="auto" w:fill="B6E6FF" w:themeFill="accent5" w:themeFillTint="3F"/>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shd w:val="clear" w:color="auto" w:fill="B6E6FF" w:themeFill="accent5" w:themeFillTint="3F"/>
      </w:tcPr>
    </w:tblStylePr>
    <w:tblStylePr w:type="band2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insideV w:val="single" w:sz="8" w:space="0" w:color="0090DA" w:themeColor="accent5"/>
        </w:tcBorders>
      </w:tcPr>
    </w:tblStylePr>
  </w:style>
  <w:style w:type="table" w:styleId="LightGrid-Accent6">
    <w:name w:val="Light Grid Accent 6"/>
    <w:basedOn w:val="TableNormal"/>
    <w:uiPriority w:val="62"/>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18" w:space="0" w:color="E35205" w:themeColor="accent6"/>
          <w:right w:val="single" w:sz="8" w:space="0" w:color="E35205" w:themeColor="accent6"/>
          <w:insideH w:val="nil"/>
          <w:insideV w:val="single" w:sz="8" w:space="0" w:color="E3520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insideH w:val="nil"/>
          <w:insideV w:val="single" w:sz="8" w:space="0" w:color="E3520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shd w:val="clear" w:color="auto" w:fill="FDD2BB" w:themeFill="accent6" w:themeFillTint="3F"/>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shd w:val="clear" w:color="auto" w:fill="FDD2BB" w:themeFill="accent6" w:themeFillTint="3F"/>
      </w:tcPr>
    </w:tblStylePr>
    <w:tblStylePr w:type="band2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insideV w:val="single" w:sz="8" w:space="0" w:color="E35205" w:themeColor="accent6"/>
        </w:tcBorders>
      </w:tcPr>
    </w:tblStylePr>
  </w:style>
  <w:style w:type="table" w:styleId="LightList">
    <w:name w:val="Light List"/>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pPr>
        <w:spacing w:before="0" w:after="0" w:line="240" w:lineRule="auto"/>
      </w:pPr>
      <w:rPr>
        <w:b/>
        <w:bCs/>
        <w:color w:val="FFFFFF" w:themeColor="background1"/>
      </w:rPr>
      <w:tblPr/>
      <w:tcPr>
        <w:shd w:val="clear" w:color="auto" w:fill="62BB46" w:themeFill="accent3"/>
      </w:tcPr>
    </w:tblStylePr>
    <w:tblStylePr w:type="lastRow">
      <w:pPr>
        <w:spacing w:before="0" w:after="0" w:line="240" w:lineRule="auto"/>
      </w:pPr>
      <w:rPr>
        <w:b/>
        <w:bCs/>
      </w:rPr>
      <w:tblPr/>
      <w:tcPr>
        <w:tcBorders>
          <w:top w:val="double" w:sz="6" w:space="0" w:color="62BB46" w:themeColor="accent3"/>
          <w:left w:val="single" w:sz="8" w:space="0" w:color="62BB46" w:themeColor="accent3"/>
          <w:bottom w:val="single" w:sz="8" w:space="0" w:color="62BB46" w:themeColor="accent3"/>
          <w:right w:val="single" w:sz="8" w:space="0" w:color="62BB46" w:themeColor="accent3"/>
        </w:tcBorders>
      </w:tcPr>
    </w:tblStylePr>
    <w:tblStylePr w:type="firstCol">
      <w:rPr>
        <w:b/>
        <w:bCs/>
      </w:rPr>
    </w:tblStylePr>
    <w:tblStylePr w:type="lastCol">
      <w:rPr>
        <w:b/>
        <w:bCs/>
      </w:rPr>
    </w:tblStylePr>
    <w:tblStylePr w:type="band1Vert">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tblStylePr w:type="band1Horz">
      <w:tblPr/>
      <w:tcPr>
        <w:tcBorders>
          <w:top w:val="single" w:sz="8" w:space="0" w:color="62BB46" w:themeColor="accent3"/>
          <w:left w:val="single" w:sz="8" w:space="0" w:color="62BB46" w:themeColor="accent3"/>
          <w:bottom w:val="single" w:sz="8" w:space="0" w:color="62BB46" w:themeColor="accent3"/>
          <w:right w:val="single" w:sz="8" w:space="0" w:color="62BB46" w:themeColor="accent3"/>
        </w:tcBorders>
      </w:tcPr>
    </w:tblStylePr>
  </w:style>
  <w:style w:type="table" w:styleId="LightList-Accent4">
    <w:name w:val="Light List Accent 4"/>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pPr>
        <w:spacing w:before="0" w:after="0" w:line="240" w:lineRule="auto"/>
      </w:pPr>
      <w:rPr>
        <w:b/>
        <w:bCs/>
        <w:color w:val="FFFFFF" w:themeColor="background1"/>
      </w:rPr>
      <w:tblPr/>
      <w:tcPr>
        <w:shd w:val="clear" w:color="auto" w:fill="100249" w:themeFill="accent4"/>
      </w:tcPr>
    </w:tblStylePr>
    <w:tblStylePr w:type="lastRow">
      <w:pPr>
        <w:spacing w:before="0" w:after="0" w:line="240" w:lineRule="auto"/>
      </w:pPr>
      <w:rPr>
        <w:b/>
        <w:bCs/>
      </w:rPr>
      <w:tblPr/>
      <w:tcPr>
        <w:tcBorders>
          <w:top w:val="double" w:sz="6" w:space="0" w:color="100249" w:themeColor="accent4"/>
          <w:left w:val="single" w:sz="8" w:space="0" w:color="100249" w:themeColor="accent4"/>
          <w:bottom w:val="single" w:sz="8" w:space="0" w:color="100249" w:themeColor="accent4"/>
          <w:right w:val="single" w:sz="8" w:space="0" w:color="100249" w:themeColor="accent4"/>
        </w:tcBorders>
      </w:tcPr>
    </w:tblStylePr>
    <w:tblStylePr w:type="firstCol">
      <w:rPr>
        <w:b/>
        <w:bCs/>
      </w:rPr>
    </w:tblStylePr>
    <w:tblStylePr w:type="lastCol">
      <w:rPr>
        <w:b/>
        <w:bCs/>
      </w:rPr>
    </w:tblStylePr>
    <w:tblStylePr w:type="band1Vert">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tblStylePr w:type="band1Horz">
      <w:tblPr/>
      <w:tcPr>
        <w:tcBorders>
          <w:top w:val="single" w:sz="8" w:space="0" w:color="100249" w:themeColor="accent4"/>
          <w:left w:val="single" w:sz="8" w:space="0" w:color="100249" w:themeColor="accent4"/>
          <w:bottom w:val="single" w:sz="8" w:space="0" w:color="100249" w:themeColor="accent4"/>
          <w:right w:val="single" w:sz="8" w:space="0" w:color="100249" w:themeColor="accent4"/>
        </w:tcBorders>
      </w:tcPr>
    </w:tblStylePr>
  </w:style>
  <w:style w:type="table" w:styleId="LightList-Accent5">
    <w:name w:val="Light List Accent 5"/>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pPr>
        <w:spacing w:before="0" w:after="0" w:line="240" w:lineRule="auto"/>
      </w:pPr>
      <w:rPr>
        <w:b/>
        <w:bCs/>
        <w:color w:val="FFFFFF" w:themeColor="background1"/>
      </w:rPr>
      <w:tblPr/>
      <w:tcPr>
        <w:shd w:val="clear" w:color="auto" w:fill="0090DA" w:themeFill="accent5"/>
      </w:tcPr>
    </w:tblStylePr>
    <w:tblStylePr w:type="lastRow">
      <w:pPr>
        <w:spacing w:before="0" w:after="0" w:line="240" w:lineRule="auto"/>
      </w:pPr>
      <w:rPr>
        <w:b/>
        <w:bCs/>
      </w:rPr>
      <w:tblPr/>
      <w:tcPr>
        <w:tcBorders>
          <w:top w:val="double" w:sz="6" w:space="0" w:color="0090DA" w:themeColor="accent5"/>
          <w:left w:val="single" w:sz="8" w:space="0" w:color="0090DA" w:themeColor="accent5"/>
          <w:bottom w:val="single" w:sz="8" w:space="0" w:color="0090DA" w:themeColor="accent5"/>
          <w:right w:val="single" w:sz="8" w:space="0" w:color="0090DA" w:themeColor="accent5"/>
        </w:tcBorders>
      </w:tcPr>
    </w:tblStylePr>
    <w:tblStylePr w:type="firstCol">
      <w:rPr>
        <w:b/>
        <w:bCs/>
      </w:rPr>
    </w:tblStylePr>
    <w:tblStylePr w:type="lastCol">
      <w:rPr>
        <w:b/>
        <w:bCs/>
      </w:rPr>
    </w:tblStylePr>
    <w:tblStylePr w:type="band1Vert">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tblStylePr w:type="band1Horz">
      <w:tblPr/>
      <w:tcPr>
        <w:tcBorders>
          <w:top w:val="single" w:sz="8" w:space="0" w:color="0090DA" w:themeColor="accent5"/>
          <w:left w:val="single" w:sz="8" w:space="0" w:color="0090DA" w:themeColor="accent5"/>
          <w:bottom w:val="single" w:sz="8" w:space="0" w:color="0090DA" w:themeColor="accent5"/>
          <w:right w:val="single" w:sz="8" w:space="0" w:color="0090DA" w:themeColor="accent5"/>
        </w:tcBorders>
      </w:tcPr>
    </w:tblStylePr>
  </w:style>
  <w:style w:type="table" w:styleId="LightList-Accent6">
    <w:name w:val="Light List Accent 6"/>
    <w:basedOn w:val="TableNormal"/>
    <w:uiPriority w:val="61"/>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pPr>
        <w:spacing w:before="0" w:after="0" w:line="240" w:lineRule="auto"/>
      </w:pPr>
      <w:rPr>
        <w:b/>
        <w:bCs/>
        <w:color w:val="FFFFFF" w:themeColor="background1"/>
      </w:rPr>
      <w:tblPr/>
      <w:tcPr>
        <w:shd w:val="clear" w:color="auto" w:fill="E35205" w:themeFill="accent6"/>
      </w:tcPr>
    </w:tblStylePr>
    <w:tblStylePr w:type="lastRow">
      <w:pPr>
        <w:spacing w:before="0" w:after="0" w:line="240" w:lineRule="auto"/>
      </w:pPr>
      <w:rPr>
        <w:b/>
        <w:bCs/>
      </w:rPr>
      <w:tblPr/>
      <w:tcPr>
        <w:tcBorders>
          <w:top w:val="double" w:sz="6" w:space="0" w:color="E35205" w:themeColor="accent6"/>
          <w:left w:val="single" w:sz="8" w:space="0" w:color="E35205" w:themeColor="accent6"/>
          <w:bottom w:val="single" w:sz="8" w:space="0" w:color="E35205" w:themeColor="accent6"/>
          <w:right w:val="single" w:sz="8" w:space="0" w:color="E35205" w:themeColor="accent6"/>
        </w:tcBorders>
      </w:tcPr>
    </w:tblStylePr>
    <w:tblStylePr w:type="firstCol">
      <w:rPr>
        <w:b/>
        <w:bCs/>
      </w:rPr>
    </w:tblStylePr>
    <w:tblStylePr w:type="lastCol">
      <w:rPr>
        <w:b/>
        <w:bCs/>
      </w:rPr>
    </w:tblStylePr>
    <w:tblStylePr w:type="band1Vert">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tblStylePr w:type="band1Horz">
      <w:tblPr/>
      <w:tcPr>
        <w:tcBorders>
          <w:top w:val="single" w:sz="8" w:space="0" w:color="E35205" w:themeColor="accent6"/>
          <w:left w:val="single" w:sz="8" w:space="0" w:color="E35205" w:themeColor="accent6"/>
          <w:bottom w:val="single" w:sz="8" w:space="0" w:color="E35205" w:themeColor="accent6"/>
          <w:right w:val="single" w:sz="8" w:space="0" w:color="E35205" w:themeColor="accent6"/>
        </w:tcBorders>
      </w:tcPr>
    </w:tblStylePr>
  </w:style>
  <w:style w:type="table" w:styleId="LightShading-Accent1">
    <w:name w:val="Light Shading Accent 1"/>
    <w:basedOn w:val="TableNormal"/>
    <w:uiPriority w:val="60"/>
    <w:semiHidden/>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semiHidden/>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lastRow">
      <w:pPr>
        <w:spacing w:before="0" w:after="0" w:line="240" w:lineRule="auto"/>
      </w:pPr>
      <w:rPr>
        <w:b/>
        <w:bCs/>
      </w:rPr>
      <w:tblPr/>
      <w:tcPr>
        <w:tcBorders>
          <w:top w:val="single" w:sz="8" w:space="0" w:color="62BB46" w:themeColor="accent3"/>
          <w:left w:val="nil"/>
          <w:bottom w:val="single" w:sz="8" w:space="0" w:color="62BB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left w:val="nil"/>
          <w:right w:val="nil"/>
          <w:insideH w:val="nil"/>
          <w:insideV w:val="nil"/>
        </w:tcBorders>
        <w:shd w:val="clear" w:color="auto" w:fill="D8EED1" w:themeFill="accent3" w:themeFillTint="3F"/>
      </w:tcPr>
    </w:tblStylePr>
  </w:style>
  <w:style w:type="table" w:styleId="LightShading-Accent4">
    <w:name w:val="Light Shading Accent 4"/>
    <w:basedOn w:val="TableNormal"/>
    <w:uiPriority w:val="60"/>
    <w:semiHidden/>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lastRow">
      <w:pPr>
        <w:spacing w:before="0" w:after="0" w:line="240" w:lineRule="auto"/>
      </w:pPr>
      <w:rPr>
        <w:b/>
        <w:bCs/>
      </w:rPr>
      <w:tblPr/>
      <w:tcPr>
        <w:tcBorders>
          <w:top w:val="single" w:sz="8" w:space="0" w:color="100249" w:themeColor="accent4"/>
          <w:left w:val="nil"/>
          <w:bottom w:val="single" w:sz="8" w:space="0" w:color="10024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left w:val="nil"/>
          <w:right w:val="nil"/>
          <w:insideH w:val="nil"/>
          <w:insideV w:val="nil"/>
        </w:tcBorders>
        <w:shd w:val="clear" w:color="auto" w:fill="AA96FC" w:themeFill="accent4" w:themeFillTint="3F"/>
      </w:tcPr>
    </w:tblStylePr>
  </w:style>
  <w:style w:type="table" w:styleId="LightShading-Accent5">
    <w:name w:val="Light Shading Accent 5"/>
    <w:basedOn w:val="TableNormal"/>
    <w:uiPriority w:val="60"/>
    <w:semiHidden/>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lastRow">
      <w:pPr>
        <w:spacing w:before="0" w:after="0" w:line="240" w:lineRule="auto"/>
      </w:pPr>
      <w:rPr>
        <w:b/>
        <w:bCs/>
      </w:rPr>
      <w:tblPr/>
      <w:tcPr>
        <w:tcBorders>
          <w:top w:val="single" w:sz="8" w:space="0" w:color="0090DA" w:themeColor="accent5"/>
          <w:left w:val="nil"/>
          <w:bottom w:val="single" w:sz="8" w:space="0" w:color="0090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left w:val="nil"/>
          <w:right w:val="nil"/>
          <w:insideH w:val="nil"/>
          <w:insideV w:val="nil"/>
        </w:tcBorders>
        <w:shd w:val="clear" w:color="auto" w:fill="B6E6FF" w:themeFill="accent5" w:themeFillTint="3F"/>
      </w:tcPr>
    </w:tblStylePr>
  </w:style>
  <w:style w:type="table" w:styleId="LightShading-Accent6">
    <w:name w:val="Light Shading Accent 6"/>
    <w:basedOn w:val="TableNormal"/>
    <w:uiPriority w:val="60"/>
    <w:semiHidden/>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lastRow">
      <w:pPr>
        <w:spacing w:before="0" w:after="0" w:line="240" w:lineRule="auto"/>
      </w:pPr>
      <w:rPr>
        <w:b/>
        <w:bCs/>
      </w:rPr>
      <w:tblPr/>
      <w:tcPr>
        <w:tcBorders>
          <w:top w:val="single" w:sz="8" w:space="0" w:color="E35205" w:themeColor="accent6"/>
          <w:left w:val="nil"/>
          <w:bottom w:val="single" w:sz="8" w:space="0" w:color="E3520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left w:val="nil"/>
          <w:right w:val="nil"/>
          <w:insideH w:val="nil"/>
          <w:insideV w:val="nil"/>
        </w:tcBorders>
        <w:shd w:val="clear" w:color="auto" w:fill="FDD2BB" w:themeFill="accent6" w:themeFillTint="3F"/>
      </w:tcPr>
    </w:tblStylePr>
  </w:style>
  <w:style w:type="table" w:styleId="ListTable1Light">
    <w:name w:val="List Table 1 Light"/>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A0D68F" w:themeColor="accent3" w:themeTint="99"/>
        </w:tcBorders>
      </w:tcPr>
    </w:tblStylePr>
    <w:tblStylePr w:type="lastRow">
      <w:rPr>
        <w:b/>
        <w:bCs/>
      </w:rPr>
      <w:tblPr/>
      <w:tcPr>
        <w:tcBorders>
          <w:top w:val="sing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1Light-Accent4">
    <w:name w:val="List Table 1 Light Accent 4"/>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3406F2" w:themeColor="accent4" w:themeTint="99"/>
        </w:tcBorders>
      </w:tcPr>
    </w:tblStylePr>
    <w:tblStylePr w:type="lastRow">
      <w:rPr>
        <w:b/>
        <w:bCs/>
      </w:rPr>
      <w:tblPr/>
      <w:tcPr>
        <w:tcBorders>
          <w:top w:val="sing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1Light-Accent5">
    <w:name w:val="List Table 1 Light Accent 5"/>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4FC3FF" w:themeColor="accent5" w:themeTint="99"/>
        </w:tcBorders>
      </w:tcPr>
    </w:tblStylePr>
    <w:tblStylePr w:type="lastRow">
      <w:rPr>
        <w:b/>
        <w:bCs/>
      </w:rPr>
      <w:tblPr/>
      <w:tcPr>
        <w:tcBorders>
          <w:top w:val="sing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1Light-Accent6">
    <w:name w:val="List Table 1 Light Accent 6"/>
    <w:basedOn w:val="TableNormal"/>
    <w:uiPriority w:val="46"/>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B925B" w:themeColor="accent6" w:themeTint="99"/>
        </w:tcBorders>
      </w:tcPr>
    </w:tblStylePr>
    <w:tblStylePr w:type="lastRow">
      <w:rPr>
        <w:b/>
        <w:bCs/>
      </w:rPr>
      <w:tblPr/>
      <w:tcPr>
        <w:tcBorders>
          <w:top w:val="sing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2">
    <w:name w:val="List Table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bottom w:val="single" w:sz="4" w:space="0" w:color="A0D68F" w:themeColor="accent3" w:themeTint="99"/>
        <w:insideH w:val="single" w:sz="4" w:space="0" w:color="A0D68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2-Accent4">
    <w:name w:val="List Table 2 Accent 4"/>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bottom w:val="single" w:sz="4" w:space="0" w:color="3406F2" w:themeColor="accent4" w:themeTint="99"/>
        <w:insideH w:val="single" w:sz="4" w:space="0" w:color="3406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2-Accent5">
    <w:name w:val="List Table 2 Accent 5"/>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bottom w:val="single" w:sz="4" w:space="0" w:color="4FC3FF" w:themeColor="accent5" w:themeTint="99"/>
        <w:insideH w:val="single" w:sz="4" w:space="0" w:color="4FC3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2-Accent6">
    <w:name w:val="List Table 2 Accent 6"/>
    <w:basedOn w:val="TableNormal"/>
    <w:uiPriority w:val="47"/>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bottom w:val="single" w:sz="4" w:space="0" w:color="FB925B" w:themeColor="accent6" w:themeTint="99"/>
        <w:insideH w:val="single" w:sz="4" w:space="0" w:color="FB92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3">
    <w:name w:val="List Table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2BB46" w:themeColor="accent3"/>
        <w:left w:val="single" w:sz="4" w:space="0" w:color="62BB46" w:themeColor="accent3"/>
        <w:bottom w:val="single" w:sz="4" w:space="0" w:color="62BB46" w:themeColor="accent3"/>
        <w:right w:val="single" w:sz="4" w:space="0" w:color="62BB46" w:themeColor="accent3"/>
      </w:tblBorders>
    </w:tblPr>
    <w:tblStylePr w:type="firstRow">
      <w:rPr>
        <w:b/>
        <w:bCs/>
        <w:color w:val="FFFFFF" w:themeColor="background1"/>
      </w:rPr>
      <w:tblPr/>
      <w:tcPr>
        <w:shd w:val="clear" w:color="auto" w:fill="62BB46" w:themeFill="accent3"/>
      </w:tcPr>
    </w:tblStylePr>
    <w:tblStylePr w:type="lastRow">
      <w:rPr>
        <w:b/>
        <w:bCs/>
      </w:rPr>
      <w:tblPr/>
      <w:tcPr>
        <w:tcBorders>
          <w:top w:val="double" w:sz="4" w:space="0" w:color="62BB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B46" w:themeColor="accent3"/>
          <w:right w:val="single" w:sz="4" w:space="0" w:color="62BB46" w:themeColor="accent3"/>
        </w:tcBorders>
      </w:tcPr>
    </w:tblStylePr>
    <w:tblStylePr w:type="band1Horz">
      <w:tblPr/>
      <w:tcPr>
        <w:tcBorders>
          <w:top w:val="single" w:sz="4" w:space="0" w:color="62BB46" w:themeColor="accent3"/>
          <w:bottom w:val="single" w:sz="4" w:space="0" w:color="62BB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B46" w:themeColor="accent3"/>
          <w:left w:val="nil"/>
        </w:tcBorders>
      </w:tcPr>
    </w:tblStylePr>
    <w:tblStylePr w:type="swCell">
      <w:tblPr/>
      <w:tcPr>
        <w:tcBorders>
          <w:top w:val="double" w:sz="4" w:space="0" w:color="62BB46" w:themeColor="accent3"/>
          <w:right w:val="nil"/>
        </w:tcBorders>
      </w:tcPr>
    </w:tblStylePr>
  </w:style>
  <w:style w:type="table" w:styleId="ListTable3-Accent4">
    <w:name w:val="List Table 3 Accent 4"/>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100249" w:themeColor="accent4"/>
        <w:left w:val="single" w:sz="4" w:space="0" w:color="100249" w:themeColor="accent4"/>
        <w:bottom w:val="single" w:sz="4" w:space="0" w:color="100249" w:themeColor="accent4"/>
        <w:right w:val="single" w:sz="4" w:space="0" w:color="100249" w:themeColor="accent4"/>
      </w:tblBorders>
    </w:tblPr>
    <w:tblStylePr w:type="firstRow">
      <w:rPr>
        <w:b/>
        <w:bCs/>
        <w:color w:val="FFFFFF" w:themeColor="background1"/>
      </w:rPr>
      <w:tblPr/>
      <w:tcPr>
        <w:shd w:val="clear" w:color="auto" w:fill="100249" w:themeFill="accent4"/>
      </w:tcPr>
    </w:tblStylePr>
    <w:tblStylePr w:type="lastRow">
      <w:rPr>
        <w:b/>
        <w:bCs/>
      </w:rPr>
      <w:tblPr/>
      <w:tcPr>
        <w:tcBorders>
          <w:top w:val="double" w:sz="4" w:space="0" w:color="10024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0249" w:themeColor="accent4"/>
          <w:right w:val="single" w:sz="4" w:space="0" w:color="100249" w:themeColor="accent4"/>
        </w:tcBorders>
      </w:tcPr>
    </w:tblStylePr>
    <w:tblStylePr w:type="band1Horz">
      <w:tblPr/>
      <w:tcPr>
        <w:tcBorders>
          <w:top w:val="single" w:sz="4" w:space="0" w:color="100249" w:themeColor="accent4"/>
          <w:bottom w:val="single" w:sz="4" w:space="0" w:color="10024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0249" w:themeColor="accent4"/>
          <w:left w:val="nil"/>
        </w:tcBorders>
      </w:tcPr>
    </w:tblStylePr>
    <w:tblStylePr w:type="swCell">
      <w:tblPr/>
      <w:tcPr>
        <w:tcBorders>
          <w:top w:val="double" w:sz="4" w:space="0" w:color="100249" w:themeColor="accent4"/>
          <w:right w:val="nil"/>
        </w:tcBorders>
      </w:tcPr>
    </w:tblStylePr>
  </w:style>
  <w:style w:type="table" w:styleId="ListTable3-Accent5">
    <w:name w:val="List Table 3 Accent 5"/>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0DA" w:themeColor="accent5"/>
        <w:left w:val="single" w:sz="4" w:space="0" w:color="0090DA" w:themeColor="accent5"/>
        <w:bottom w:val="single" w:sz="4" w:space="0" w:color="0090DA" w:themeColor="accent5"/>
        <w:right w:val="single" w:sz="4" w:space="0" w:color="0090DA" w:themeColor="accent5"/>
      </w:tblBorders>
    </w:tblPr>
    <w:tblStylePr w:type="firstRow">
      <w:rPr>
        <w:b/>
        <w:bCs/>
        <w:color w:val="FFFFFF" w:themeColor="background1"/>
      </w:rPr>
      <w:tblPr/>
      <w:tcPr>
        <w:shd w:val="clear" w:color="auto" w:fill="0090DA" w:themeFill="accent5"/>
      </w:tcPr>
    </w:tblStylePr>
    <w:tblStylePr w:type="lastRow">
      <w:rPr>
        <w:b/>
        <w:bCs/>
      </w:rPr>
      <w:tblPr/>
      <w:tcPr>
        <w:tcBorders>
          <w:top w:val="double" w:sz="4" w:space="0" w:color="0090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DA" w:themeColor="accent5"/>
          <w:right w:val="single" w:sz="4" w:space="0" w:color="0090DA" w:themeColor="accent5"/>
        </w:tcBorders>
      </w:tcPr>
    </w:tblStylePr>
    <w:tblStylePr w:type="band1Horz">
      <w:tblPr/>
      <w:tcPr>
        <w:tcBorders>
          <w:top w:val="single" w:sz="4" w:space="0" w:color="0090DA" w:themeColor="accent5"/>
          <w:bottom w:val="single" w:sz="4" w:space="0" w:color="0090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DA" w:themeColor="accent5"/>
          <w:left w:val="nil"/>
        </w:tcBorders>
      </w:tcPr>
    </w:tblStylePr>
    <w:tblStylePr w:type="swCell">
      <w:tblPr/>
      <w:tcPr>
        <w:tcBorders>
          <w:top w:val="double" w:sz="4" w:space="0" w:color="0090DA" w:themeColor="accent5"/>
          <w:right w:val="nil"/>
        </w:tcBorders>
      </w:tcPr>
    </w:tblStylePr>
  </w:style>
  <w:style w:type="table" w:styleId="ListTable3-Accent6">
    <w:name w:val="List Table 3 Accent 6"/>
    <w:basedOn w:val="TableNormal"/>
    <w:uiPriority w:val="48"/>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35205" w:themeColor="accent6"/>
        <w:left w:val="single" w:sz="4" w:space="0" w:color="E35205" w:themeColor="accent6"/>
        <w:bottom w:val="single" w:sz="4" w:space="0" w:color="E35205" w:themeColor="accent6"/>
        <w:right w:val="single" w:sz="4" w:space="0" w:color="E35205" w:themeColor="accent6"/>
      </w:tblBorders>
    </w:tblPr>
    <w:tblStylePr w:type="firstRow">
      <w:rPr>
        <w:b/>
        <w:bCs/>
        <w:color w:val="FFFFFF" w:themeColor="background1"/>
      </w:rPr>
      <w:tblPr/>
      <w:tcPr>
        <w:shd w:val="clear" w:color="auto" w:fill="E35205" w:themeFill="accent6"/>
      </w:tcPr>
    </w:tblStylePr>
    <w:tblStylePr w:type="lastRow">
      <w:rPr>
        <w:b/>
        <w:bCs/>
      </w:rPr>
      <w:tblPr/>
      <w:tcPr>
        <w:tcBorders>
          <w:top w:val="double" w:sz="4" w:space="0" w:color="E3520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6"/>
          <w:right w:val="single" w:sz="4" w:space="0" w:color="E35205" w:themeColor="accent6"/>
        </w:tcBorders>
      </w:tcPr>
    </w:tblStylePr>
    <w:tblStylePr w:type="band1Horz">
      <w:tblPr/>
      <w:tcPr>
        <w:tcBorders>
          <w:top w:val="single" w:sz="4" w:space="0" w:color="E35205" w:themeColor="accent6"/>
          <w:bottom w:val="single" w:sz="4" w:space="0" w:color="E3520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6"/>
          <w:left w:val="nil"/>
        </w:tcBorders>
      </w:tcPr>
    </w:tblStylePr>
    <w:tblStylePr w:type="swCell">
      <w:tblPr/>
      <w:tcPr>
        <w:tcBorders>
          <w:top w:val="double" w:sz="4" w:space="0" w:color="E35205" w:themeColor="accent6"/>
          <w:right w:val="nil"/>
        </w:tcBorders>
      </w:tcPr>
    </w:tblStylePr>
  </w:style>
  <w:style w:type="table" w:styleId="ListTable4">
    <w:name w:val="List Table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tcBorders>
        <w:shd w:val="clear" w:color="auto" w:fill="62BB46" w:themeFill="accent3"/>
      </w:tcPr>
    </w:tblStylePr>
    <w:tblStylePr w:type="lastRow">
      <w:rPr>
        <w:b/>
        <w:bCs/>
      </w:rPr>
      <w:tblPr/>
      <w:tcPr>
        <w:tcBorders>
          <w:top w:val="double" w:sz="4" w:space="0" w:color="A0D68F" w:themeColor="accent3" w:themeTint="99"/>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4-Accent4">
    <w:name w:val="List Table 4 Accent 4"/>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3406F2" w:themeColor="accent4" w:themeTint="99"/>
        <w:left w:val="single" w:sz="4" w:space="0" w:color="3406F2" w:themeColor="accent4" w:themeTint="99"/>
        <w:bottom w:val="single" w:sz="4" w:space="0" w:color="3406F2" w:themeColor="accent4" w:themeTint="99"/>
        <w:right w:val="single" w:sz="4" w:space="0" w:color="3406F2" w:themeColor="accent4" w:themeTint="99"/>
        <w:insideH w:val="single" w:sz="4" w:space="0" w:color="3406F2" w:themeColor="accent4" w:themeTint="99"/>
      </w:tblBorders>
    </w:tblPr>
    <w:tblStylePr w:type="firstRow">
      <w:rPr>
        <w:b/>
        <w:bCs/>
        <w:color w:val="FFFFFF" w:themeColor="background1"/>
      </w:rPr>
      <w:tblPr/>
      <w:tcPr>
        <w:tcBorders>
          <w:top w:val="single" w:sz="4" w:space="0" w:color="100249" w:themeColor="accent4"/>
          <w:left w:val="single" w:sz="4" w:space="0" w:color="100249" w:themeColor="accent4"/>
          <w:bottom w:val="single" w:sz="4" w:space="0" w:color="100249" w:themeColor="accent4"/>
          <w:right w:val="single" w:sz="4" w:space="0" w:color="100249" w:themeColor="accent4"/>
          <w:insideH w:val="nil"/>
        </w:tcBorders>
        <w:shd w:val="clear" w:color="auto" w:fill="100249" w:themeFill="accent4"/>
      </w:tcPr>
    </w:tblStylePr>
    <w:tblStylePr w:type="lastRow">
      <w:rPr>
        <w:b/>
        <w:bCs/>
      </w:rPr>
      <w:tblPr/>
      <w:tcPr>
        <w:tcBorders>
          <w:top w:val="double" w:sz="4" w:space="0" w:color="3406F2" w:themeColor="accent4" w:themeTint="99"/>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4-Accent5">
    <w:name w:val="List Table 4 Accent 5"/>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4FC3FF" w:themeColor="accent5" w:themeTint="99"/>
        <w:left w:val="single" w:sz="4" w:space="0" w:color="4FC3FF" w:themeColor="accent5" w:themeTint="99"/>
        <w:bottom w:val="single" w:sz="4" w:space="0" w:color="4FC3FF" w:themeColor="accent5" w:themeTint="99"/>
        <w:right w:val="single" w:sz="4" w:space="0" w:color="4FC3FF" w:themeColor="accent5" w:themeTint="99"/>
        <w:insideH w:val="single" w:sz="4" w:space="0" w:color="4FC3FF" w:themeColor="accent5" w:themeTint="99"/>
      </w:tblBorders>
    </w:tblPr>
    <w:tblStylePr w:type="firstRow">
      <w:rPr>
        <w:b/>
        <w:bCs/>
        <w:color w:val="FFFFFF" w:themeColor="background1"/>
      </w:rPr>
      <w:tblPr/>
      <w:tcPr>
        <w:tcBorders>
          <w:top w:val="single" w:sz="4" w:space="0" w:color="0090DA" w:themeColor="accent5"/>
          <w:left w:val="single" w:sz="4" w:space="0" w:color="0090DA" w:themeColor="accent5"/>
          <w:bottom w:val="single" w:sz="4" w:space="0" w:color="0090DA" w:themeColor="accent5"/>
          <w:right w:val="single" w:sz="4" w:space="0" w:color="0090DA" w:themeColor="accent5"/>
          <w:insideH w:val="nil"/>
        </w:tcBorders>
        <w:shd w:val="clear" w:color="auto" w:fill="0090DA" w:themeFill="accent5"/>
      </w:tcPr>
    </w:tblStylePr>
    <w:tblStylePr w:type="lastRow">
      <w:rPr>
        <w:b/>
        <w:bCs/>
      </w:rPr>
      <w:tblPr/>
      <w:tcPr>
        <w:tcBorders>
          <w:top w:val="double" w:sz="4" w:space="0" w:color="4FC3FF" w:themeColor="accent5" w:themeTint="99"/>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4-Accent6">
    <w:name w:val="List Table 4 Accent 6"/>
    <w:basedOn w:val="TableNormal"/>
    <w:uiPriority w:val="49"/>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B925B" w:themeColor="accent6" w:themeTint="99"/>
        <w:left w:val="single" w:sz="4" w:space="0" w:color="FB925B" w:themeColor="accent6" w:themeTint="99"/>
        <w:bottom w:val="single" w:sz="4" w:space="0" w:color="FB925B" w:themeColor="accent6" w:themeTint="99"/>
        <w:right w:val="single" w:sz="4" w:space="0" w:color="FB925B" w:themeColor="accent6" w:themeTint="99"/>
        <w:insideH w:val="single" w:sz="4" w:space="0" w:color="FB925B" w:themeColor="accent6" w:themeTint="99"/>
      </w:tblBorders>
    </w:tblPr>
    <w:tblStylePr w:type="firstRow">
      <w:rPr>
        <w:b/>
        <w:bCs/>
        <w:color w:val="FFFFFF" w:themeColor="background1"/>
      </w:rPr>
      <w:tblPr/>
      <w:tcPr>
        <w:tcBorders>
          <w:top w:val="single" w:sz="4" w:space="0" w:color="E35205" w:themeColor="accent6"/>
          <w:left w:val="single" w:sz="4" w:space="0" w:color="E35205" w:themeColor="accent6"/>
          <w:bottom w:val="single" w:sz="4" w:space="0" w:color="E35205" w:themeColor="accent6"/>
          <w:right w:val="single" w:sz="4" w:space="0" w:color="E35205" w:themeColor="accent6"/>
          <w:insideH w:val="nil"/>
        </w:tcBorders>
        <w:shd w:val="clear" w:color="auto" w:fill="E35205" w:themeFill="accent6"/>
      </w:tcPr>
    </w:tblStylePr>
    <w:tblStylePr w:type="lastRow">
      <w:rPr>
        <w:b/>
        <w:bCs/>
      </w:rPr>
      <w:tblPr/>
      <w:tcPr>
        <w:tcBorders>
          <w:top w:val="double" w:sz="4" w:space="0" w:color="FB925B" w:themeColor="accent6" w:themeTint="99"/>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5Dark">
    <w:name w:val="List Table 5 Dark"/>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62BB46" w:themeColor="accent3"/>
        <w:left w:val="single" w:sz="24" w:space="0" w:color="62BB46" w:themeColor="accent3"/>
        <w:bottom w:val="single" w:sz="24" w:space="0" w:color="62BB46" w:themeColor="accent3"/>
        <w:right w:val="single" w:sz="24" w:space="0" w:color="62BB46" w:themeColor="accent3"/>
      </w:tblBorders>
    </w:tblPr>
    <w:tcPr>
      <w:shd w:val="clear" w:color="auto" w:fill="62BB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100249" w:themeColor="accent4"/>
        <w:left w:val="single" w:sz="24" w:space="0" w:color="100249" w:themeColor="accent4"/>
        <w:bottom w:val="single" w:sz="24" w:space="0" w:color="100249" w:themeColor="accent4"/>
        <w:right w:val="single" w:sz="24" w:space="0" w:color="100249" w:themeColor="accent4"/>
      </w:tblBorders>
    </w:tblPr>
    <w:tcPr>
      <w:shd w:val="clear" w:color="auto" w:fill="10024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0DA" w:themeColor="accent5"/>
        <w:left w:val="single" w:sz="24" w:space="0" w:color="0090DA" w:themeColor="accent5"/>
        <w:bottom w:val="single" w:sz="24" w:space="0" w:color="0090DA" w:themeColor="accent5"/>
        <w:right w:val="single" w:sz="24" w:space="0" w:color="0090DA" w:themeColor="accent5"/>
      </w:tblBorders>
    </w:tblPr>
    <w:tcPr>
      <w:shd w:val="clear" w:color="auto" w:fill="0090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C1E5E"/>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E35205" w:themeColor="accent6"/>
        <w:left w:val="single" w:sz="24" w:space="0" w:color="E35205" w:themeColor="accent6"/>
        <w:bottom w:val="single" w:sz="24" w:space="0" w:color="E35205" w:themeColor="accent6"/>
        <w:right w:val="single" w:sz="24" w:space="0" w:color="E35205" w:themeColor="accent6"/>
      </w:tblBorders>
    </w:tblPr>
    <w:tcPr>
      <w:shd w:val="clear" w:color="auto" w:fill="E3520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Borders>
        <w:top w:val="single" w:sz="4" w:space="0" w:color="62BB46" w:themeColor="accent3"/>
        <w:bottom w:val="single" w:sz="4" w:space="0" w:color="62BB46" w:themeColor="accent3"/>
      </w:tblBorders>
    </w:tblPr>
    <w:tblStylePr w:type="firstRow">
      <w:rPr>
        <w:b/>
        <w:bCs/>
      </w:rPr>
      <w:tblPr/>
      <w:tcPr>
        <w:tcBorders>
          <w:bottom w:val="single" w:sz="4" w:space="0" w:color="62BB46" w:themeColor="accent3"/>
        </w:tcBorders>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table" w:styleId="ListTable6Colorful-Accent4">
    <w:name w:val="List Table 6 Colorful Accent 4"/>
    <w:basedOn w:val="TableNormal"/>
    <w:uiPriority w:val="51"/>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Borders>
        <w:top w:val="single" w:sz="4" w:space="0" w:color="100249" w:themeColor="accent4"/>
        <w:bottom w:val="single" w:sz="4" w:space="0" w:color="100249" w:themeColor="accent4"/>
      </w:tblBorders>
    </w:tblPr>
    <w:tblStylePr w:type="firstRow">
      <w:rPr>
        <w:b/>
        <w:bCs/>
      </w:rPr>
      <w:tblPr/>
      <w:tcPr>
        <w:tcBorders>
          <w:bottom w:val="single" w:sz="4" w:space="0" w:color="100249" w:themeColor="accent4"/>
        </w:tcBorders>
      </w:tcPr>
    </w:tblStylePr>
    <w:tblStylePr w:type="lastRow">
      <w:rPr>
        <w:b/>
        <w:bCs/>
      </w:rPr>
      <w:tblPr/>
      <w:tcPr>
        <w:tcBorders>
          <w:top w:val="double" w:sz="4" w:space="0" w:color="100249" w:themeColor="accent4"/>
        </w:tcBorders>
      </w:tcPr>
    </w:tblStylePr>
    <w:tblStylePr w:type="firstCol">
      <w:rPr>
        <w:b/>
        <w:bCs/>
      </w:rPr>
    </w:tblStylePr>
    <w:tblStylePr w:type="lastCol">
      <w:rPr>
        <w:b/>
        <w:bCs/>
      </w:rPr>
    </w:tblStylePr>
    <w:tblStylePr w:type="band1Vert">
      <w:tblPr/>
      <w:tcPr>
        <w:shd w:val="clear" w:color="auto" w:fill="BAAAFC" w:themeFill="accent4" w:themeFillTint="33"/>
      </w:tcPr>
    </w:tblStylePr>
    <w:tblStylePr w:type="band1Horz">
      <w:tblPr/>
      <w:tcPr>
        <w:shd w:val="clear" w:color="auto" w:fill="BAAAFC" w:themeFill="accent4" w:themeFillTint="33"/>
      </w:tcPr>
    </w:tblStylePr>
  </w:style>
  <w:style w:type="table" w:styleId="ListTable6Colorful-Accent5">
    <w:name w:val="List Table 6 Colorful Accent 5"/>
    <w:basedOn w:val="TableNormal"/>
    <w:uiPriority w:val="51"/>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Borders>
        <w:top w:val="single" w:sz="4" w:space="0" w:color="0090DA" w:themeColor="accent5"/>
        <w:bottom w:val="single" w:sz="4" w:space="0" w:color="0090DA" w:themeColor="accent5"/>
      </w:tblBorders>
    </w:tblPr>
    <w:tblStylePr w:type="firstRow">
      <w:rPr>
        <w:b/>
        <w:bCs/>
      </w:rPr>
      <w:tblPr/>
      <w:tcPr>
        <w:tcBorders>
          <w:bottom w:val="single" w:sz="4" w:space="0" w:color="0090DA" w:themeColor="accent5"/>
        </w:tcBorders>
      </w:tcPr>
    </w:tblStylePr>
    <w:tblStylePr w:type="lastRow">
      <w:rPr>
        <w:b/>
        <w:bCs/>
      </w:rPr>
      <w:tblPr/>
      <w:tcPr>
        <w:tcBorders>
          <w:top w:val="double" w:sz="4" w:space="0" w:color="0090DA" w:themeColor="accent5"/>
        </w:tcBorders>
      </w:tcPr>
    </w:tblStylePr>
    <w:tblStylePr w:type="firstCol">
      <w:rPr>
        <w:b/>
        <w:bCs/>
      </w:rPr>
    </w:tblStylePr>
    <w:tblStylePr w:type="lastCol">
      <w:rPr>
        <w:b/>
        <w:bCs/>
      </w:rPr>
    </w:tblStylePr>
    <w:tblStylePr w:type="band1Vert">
      <w:tblPr/>
      <w:tcPr>
        <w:shd w:val="clear" w:color="auto" w:fill="C4EAFF" w:themeFill="accent5" w:themeFillTint="33"/>
      </w:tcPr>
    </w:tblStylePr>
    <w:tblStylePr w:type="band1Horz">
      <w:tblPr/>
      <w:tcPr>
        <w:shd w:val="clear" w:color="auto" w:fill="C4EAFF" w:themeFill="accent5" w:themeFillTint="33"/>
      </w:tcPr>
    </w:tblStylePr>
  </w:style>
  <w:style w:type="table" w:styleId="ListTable6Colorful-Accent6">
    <w:name w:val="List Table 6 Colorful Accent 6"/>
    <w:basedOn w:val="TableNormal"/>
    <w:uiPriority w:val="51"/>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Borders>
        <w:top w:val="single" w:sz="4" w:space="0" w:color="E35205" w:themeColor="accent6"/>
        <w:bottom w:val="single" w:sz="4" w:space="0" w:color="E35205" w:themeColor="accent6"/>
      </w:tblBorders>
    </w:tblPr>
    <w:tblStylePr w:type="firstRow">
      <w:rPr>
        <w:b/>
        <w:bCs/>
      </w:rPr>
      <w:tblPr/>
      <w:tcPr>
        <w:tcBorders>
          <w:bottom w:val="single" w:sz="4" w:space="0" w:color="E35205" w:themeColor="accent6"/>
        </w:tcBorders>
      </w:tcPr>
    </w:tblStylePr>
    <w:tblStylePr w:type="lastRow">
      <w:rPr>
        <w:b/>
        <w:bCs/>
      </w:rPr>
      <w:tblPr/>
      <w:tcPr>
        <w:tcBorders>
          <w:top w:val="double" w:sz="4" w:space="0" w:color="E35205" w:themeColor="accent6"/>
        </w:tcBorders>
      </w:tcPr>
    </w:tblStylePr>
    <w:tblStylePr w:type="firstCol">
      <w:rPr>
        <w:b/>
        <w:bCs/>
      </w:rPr>
    </w:tblStylePr>
    <w:tblStylePr w:type="lastCol">
      <w:rPr>
        <w:b/>
        <w:bCs/>
      </w:rPr>
    </w:tblStylePr>
    <w:tblStylePr w:type="band1Vert">
      <w:tblPr/>
      <w:tcPr>
        <w:shd w:val="clear" w:color="auto" w:fill="FDDAC8" w:themeFill="accent6" w:themeFillTint="33"/>
      </w:tcPr>
    </w:tblStylePr>
    <w:tblStylePr w:type="band1Horz">
      <w:tblPr/>
      <w:tcPr>
        <w:shd w:val="clear" w:color="auto" w:fill="FDDAC8" w:themeFill="accent6" w:themeFillTint="33"/>
      </w:tcPr>
    </w:tblStylePr>
  </w:style>
  <w:style w:type="table" w:styleId="ListTable7Colorful">
    <w:name w:val="List Table 7 Colorful"/>
    <w:basedOn w:val="TableNormal"/>
    <w:uiPriority w:val="52"/>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C1E5E"/>
    <w:pPr>
      <w:spacing w:after="0" w:line="240" w:lineRule="auto"/>
    </w:pPr>
    <w:rPr>
      <w:rFonts w:eastAsia="Times New Roman" w:cs="Arial"/>
      <w:color w:val="170F34"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C1E5E"/>
    <w:pPr>
      <w:spacing w:after="0" w:line="240" w:lineRule="auto"/>
    </w:pPr>
    <w:rPr>
      <w:rFonts w:eastAsia="Times New Roman" w:cs="Arial"/>
      <w:color w:val="3E4043"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3C1E5E"/>
    <w:pPr>
      <w:spacing w:after="0" w:line="240" w:lineRule="auto"/>
    </w:pPr>
    <w:rPr>
      <w:rFonts w:eastAsia="Times New Roman" w:cs="Arial"/>
      <w:color w:val="498C33"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B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B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B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B46" w:themeColor="accent3"/>
        </w:tcBorders>
        <w:shd w:val="clear" w:color="auto" w:fill="FFFFFF" w:themeFill="background1"/>
      </w:tcPr>
    </w:tblStylePr>
    <w:tblStylePr w:type="band1Vert">
      <w:tblPr/>
      <w:tcPr>
        <w:shd w:val="clear" w:color="auto" w:fill="DFF1D9" w:themeFill="accent3" w:themeFillTint="33"/>
      </w:tcPr>
    </w:tblStylePr>
    <w:tblStylePr w:type="band1Horz">
      <w:tblPr/>
      <w:tcPr>
        <w:shd w:val="clear" w:color="auto" w:fill="DF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C1E5E"/>
    <w:pPr>
      <w:spacing w:after="0" w:line="240" w:lineRule="auto"/>
    </w:pPr>
    <w:rPr>
      <w:rFonts w:eastAsia="Times New Roman" w:cs="Arial"/>
      <w:color w:val="0B0136"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024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024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024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0249" w:themeColor="accent4"/>
        </w:tcBorders>
        <w:shd w:val="clear" w:color="auto" w:fill="FFFFFF" w:themeFill="background1"/>
      </w:tcPr>
    </w:tblStylePr>
    <w:tblStylePr w:type="band1Vert">
      <w:tblPr/>
      <w:tcPr>
        <w:shd w:val="clear" w:color="auto" w:fill="BAAAFC" w:themeFill="accent4" w:themeFillTint="33"/>
      </w:tcPr>
    </w:tblStylePr>
    <w:tblStylePr w:type="band1Horz">
      <w:tblPr/>
      <w:tcPr>
        <w:shd w:val="clear" w:color="auto" w:fill="BAAA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3C1E5E"/>
    <w:pPr>
      <w:spacing w:after="0" w:line="240" w:lineRule="auto"/>
    </w:pPr>
    <w:rPr>
      <w:rFonts w:eastAsia="Times New Roman" w:cs="Arial"/>
      <w:color w:val="006BA3"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DA" w:themeColor="accent5"/>
        </w:tcBorders>
        <w:shd w:val="clear" w:color="auto" w:fill="FFFFFF" w:themeFill="background1"/>
      </w:tcPr>
    </w:tblStylePr>
    <w:tblStylePr w:type="band1Vert">
      <w:tblPr/>
      <w:tcPr>
        <w:shd w:val="clear" w:color="auto" w:fill="C4EAFF" w:themeFill="accent5" w:themeFillTint="33"/>
      </w:tcPr>
    </w:tblStylePr>
    <w:tblStylePr w:type="band1Horz">
      <w:tblPr/>
      <w:tcPr>
        <w:shd w:val="clear" w:color="auto" w:fill="C4EA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C1E5E"/>
    <w:pPr>
      <w:spacing w:after="0" w:line="240" w:lineRule="auto"/>
    </w:pPr>
    <w:rPr>
      <w:rFonts w:eastAsia="Times New Roman" w:cs="Arial"/>
      <w:color w:val="A93D0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6"/>
        </w:tcBorders>
        <w:shd w:val="clear" w:color="auto" w:fill="FFFFFF" w:themeFill="background1"/>
      </w:tcPr>
    </w:tblStylePr>
    <w:tblStylePr w:type="band1Vert">
      <w:tblPr/>
      <w:tcPr>
        <w:shd w:val="clear" w:color="auto" w:fill="FDDAC8" w:themeFill="accent6" w:themeFillTint="33"/>
      </w:tcPr>
    </w:tblStylePr>
    <w:tblStylePr w:type="band1Horz">
      <w:tblPr/>
      <w:tcPr>
        <w:shd w:val="clear" w:color="auto" w:fill="FDDA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insideV w:val="single" w:sz="8" w:space="0" w:color="89CC74" w:themeColor="accent3" w:themeTint="BF"/>
      </w:tblBorders>
    </w:tblPr>
    <w:tcPr>
      <w:shd w:val="clear" w:color="auto" w:fill="D8EED1" w:themeFill="accent3" w:themeFillTint="3F"/>
    </w:tcPr>
    <w:tblStylePr w:type="firstRow">
      <w:rPr>
        <w:b/>
        <w:bCs/>
      </w:rPr>
    </w:tblStylePr>
    <w:tblStylePr w:type="lastRow">
      <w:rPr>
        <w:b/>
        <w:bCs/>
      </w:rPr>
      <w:tblPr/>
      <w:tcPr>
        <w:tcBorders>
          <w:top w:val="single" w:sz="18" w:space="0" w:color="89CC74" w:themeColor="accent3" w:themeTint="BF"/>
        </w:tcBorders>
      </w:tcPr>
    </w:tblStylePr>
    <w:tblStylePr w:type="firstCol">
      <w:rPr>
        <w:b/>
        <w:bCs/>
      </w:rPr>
    </w:tblStylePr>
    <w:tblStylePr w:type="lastCol">
      <w:rPr>
        <w:b/>
        <w:bCs/>
      </w:rPr>
    </w:tblStylePr>
    <w:tblStylePr w:type="band1Vert">
      <w:tblPr/>
      <w:tcPr>
        <w:shd w:val="clear" w:color="auto" w:fill="B0DDA2" w:themeFill="accent3" w:themeFillTint="7F"/>
      </w:tcPr>
    </w:tblStylePr>
    <w:tblStylePr w:type="band1Horz">
      <w:tblPr/>
      <w:tcPr>
        <w:shd w:val="clear" w:color="auto" w:fill="B0DDA2" w:themeFill="accent3" w:themeFillTint="7F"/>
      </w:tcPr>
    </w:tblStylePr>
  </w:style>
  <w:style w:type="table" w:styleId="MediumGrid1-Accent4">
    <w:name w:val="Medium Grid 1 Accent 4"/>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insideV w:val="single" w:sz="8" w:space="0" w:color="2705B3" w:themeColor="accent4" w:themeTint="BF"/>
      </w:tblBorders>
    </w:tblPr>
    <w:tcPr>
      <w:shd w:val="clear" w:color="auto" w:fill="AA96FC" w:themeFill="accent4" w:themeFillTint="3F"/>
    </w:tcPr>
    <w:tblStylePr w:type="firstRow">
      <w:rPr>
        <w:b/>
        <w:bCs/>
      </w:rPr>
    </w:tblStylePr>
    <w:tblStylePr w:type="lastRow">
      <w:rPr>
        <w:b/>
        <w:bCs/>
      </w:rPr>
      <w:tblPr/>
      <w:tcPr>
        <w:tcBorders>
          <w:top w:val="single" w:sz="18" w:space="0" w:color="2705B3" w:themeColor="accent4" w:themeTint="BF"/>
        </w:tcBorders>
      </w:tcPr>
    </w:tblStylePr>
    <w:tblStylePr w:type="firstCol">
      <w:rPr>
        <w:b/>
        <w:bCs/>
      </w:rPr>
    </w:tblStylePr>
    <w:tblStylePr w:type="lastCol">
      <w:rPr>
        <w:b/>
        <w:bCs/>
      </w:rPr>
    </w:tblStylePr>
    <w:tblStylePr w:type="band1Vert">
      <w:tblPr/>
      <w:tcPr>
        <w:shd w:val="clear" w:color="auto" w:fill="542CF9" w:themeFill="accent4" w:themeFillTint="7F"/>
      </w:tcPr>
    </w:tblStylePr>
    <w:tblStylePr w:type="band1Horz">
      <w:tblPr/>
      <w:tcPr>
        <w:shd w:val="clear" w:color="auto" w:fill="542CF9" w:themeFill="accent4" w:themeFillTint="7F"/>
      </w:tcPr>
    </w:tblStylePr>
  </w:style>
  <w:style w:type="table" w:styleId="MediumGrid1-Accent5">
    <w:name w:val="Medium Grid 1 Accent 5"/>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insideV w:val="single" w:sz="8" w:space="0" w:color="24B4FF" w:themeColor="accent5" w:themeTint="BF"/>
      </w:tblBorders>
    </w:tblPr>
    <w:tcPr>
      <w:shd w:val="clear" w:color="auto" w:fill="B6E6FF" w:themeFill="accent5" w:themeFillTint="3F"/>
    </w:tcPr>
    <w:tblStylePr w:type="firstRow">
      <w:rPr>
        <w:b/>
        <w:bCs/>
      </w:rPr>
    </w:tblStylePr>
    <w:tblStylePr w:type="lastRow">
      <w:rPr>
        <w:b/>
        <w:bCs/>
      </w:rPr>
      <w:tblPr/>
      <w:tcPr>
        <w:tcBorders>
          <w:top w:val="single" w:sz="18" w:space="0" w:color="24B4FF" w:themeColor="accent5" w:themeTint="BF"/>
        </w:tcBorders>
      </w:tcPr>
    </w:tblStylePr>
    <w:tblStylePr w:type="firstCol">
      <w:rPr>
        <w:b/>
        <w:bCs/>
      </w:rPr>
    </w:tblStylePr>
    <w:tblStylePr w:type="lastCol">
      <w:rPr>
        <w:b/>
        <w:bCs/>
      </w:rPr>
    </w:tblStylePr>
    <w:tblStylePr w:type="band1Vert">
      <w:tblPr/>
      <w:tcPr>
        <w:shd w:val="clear" w:color="auto" w:fill="6DCDFF" w:themeFill="accent5" w:themeFillTint="7F"/>
      </w:tcPr>
    </w:tblStylePr>
    <w:tblStylePr w:type="band1Horz">
      <w:tblPr/>
      <w:tcPr>
        <w:shd w:val="clear" w:color="auto" w:fill="6DCDFF" w:themeFill="accent5" w:themeFillTint="7F"/>
      </w:tcPr>
    </w:tblStylePr>
  </w:style>
  <w:style w:type="table" w:styleId="MediumGrid1-Accent6">
    <w:name w:val="Medium Grid 1 Accent 6"/>
    <w:basedOn w:val="TableNormal"/>
    <w:uiPriority w:val="67"/>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insideV w:val="single" w:sz="8" w:space="0" w:color="FA7733" w:themeColor="accent6" w:themeTint="BF"/>
      </w:tblBorders>
    </w:tblPr>
    <w:tcPr>
      <w:shd w:val="clear" w:color="auto" w:fill="FDD2BB" w:themeFill="accent6" w:themeFillTint="3F"/>
    </w:tcPr>
    <w:tblStylePr w:type="firstRow">
      <w:rPr>
        <w:b/>
        <w:bCs/>
      </w:rPr>
    </w:tblStylePr>
    <w:tblStylePr w:type="lastRow">
      <w:rPr>
        <w:b/>
        <w:bCs/>
      </w:rPr>
      <w:tblPr/>
      <w:tcPr>
        <w:tcBorders>
          <w:top w:val="single" w:sz="18" w:space="0" w:color="FA7733" w:themeColor="accent6" w:themeTint="BF"/>
        </w:tcBorders>
      </w:tcPr>
    </w:tblStylePr>
    <w:tblStylePr w:type="firstCol">
      <w:rPr>
        <w:b/>
        <w:bCs/>
      </w:rPr>
    </w:tblStylePr>
    <w:tblStylePr w:type="lastCol">
      <w:rPr>
        <w:b/>
        <w:bCs/>
      </w:rPr>
    </w:tblStylePr>
    <w:tblStylePr w:type="band1Vert">
      <w:tblPr/>
      <w:tcPr>
        <w:shd w:val="clear" w:color="auto" w:fill="FCA577" w:themeFill="accent6" w:themeFillTint="7F"/>
      </w:tcPr>
    </w:tblStylePr>
    <w:tblStylePr w:type="band1Horz">
      <w:tblPr/>
      <w:tcPr>
        <w:shd w:val="clear" w:color="auto" w:fill="FCA577" w:themeFill="accent6" w:themeFillTint="7F"/>
      </w:tcPr>
    </w:tblStylePr>
  </w:style>
  <w:style w:type="table" w:styleId="MediumGrid2">
    <w:name w:val="Medium Grid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insideH w:val="single" w:sz="8" w:space="0" w:color="62BB46" w:themeColor="accent3"/>
        <w:insideV w:val="single" w:sz="8" w:space="0" w:color="62BB46" w:themeColor="accent3"/>
      </w:tblBorders>
    </w:tblPr>
    <w:tcPr>
      <w:shd w:val="clear" w:color="auto" w:fill="D8EED1" w:themeFill="accent3" w:themeFillTint="3F"/>
    </w:tcPr>
    <w:tblStylePr w:type="firstRow">
      <w:rPr>
        <w:b/>
        <w:bCs/>
        <w:color w:val="000000" w:themeColor="text1"/>
      </w:rPr>
      <w:tblPr/>
      <w:tcPr>
        <w:shd w:val="clear" w:color="auto" w:fill="EF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1D9" w:themeFill="accent3" w:themeFillTint="33"/>
      </w:tcPr>
    </w:tblStylePr>
    <w:tblStylePr w:type="band1Vert">
      <w:tblPr/>
      <w:tcPr>
        <w:shd w:val="clear" w:color="auto" w:fill="B0DDA2" w:themeFill="accent3" w:themeFillTint="7F"/>
      </w:tcPr>
    </w:tblStylePr>
    <w:tblStylePr w:type="band1Horz">
      <w:tblPr/>
      <w:tcPr>
        <w:tcBorders>
          <w:insideH w:val="single" w:sz="6" w:space="0" w:color="62BB46" w:themeColor="accent3"/>
          <w:insideV w:val="single" w:sz="6" w:space="0" w:color="62BB46" w:themeColor="accent3"/>
        </w:tcBorders>
        <w:shd w:val="clear" w:color="auto" w:fill="B0DDA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insideH w:val="single" w:sz="8" w:space="0" w:color="100249" w:themeColor="accent4"/>
        <w:insideV w:val="single" w:sz="8" w:space="0" w:color="100249" w:themeColor="accent4"/>
      </w:tblBorders>
    </w:tblPr>
    <w:tcPr>
      <w:shd w:val="clear" w:color="auto" w:fill="AA96FC" w:themeFill="accent4" w:themeFillTint="3F"/>
    </w:tcPr>
    <w:tblStylePr w:type="firstRow">
      <w:rPr>
        <w:b/>
        <w:bCs/>
        <w:color w:val="000000" w:themeColor="text1"/>
      </w:rPr>
      <w:tblPr/>
      <w:tcPr>
        <w:shd w:val="clear" w:color="auto" w:fill="DDD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AAFC" w:themeFill="accent4" w:themeFillTint="33"/>
      </w:tcPr>
    </w:tblStylePr>
    <w:tblStylePr w:type="band1Vert">
      <w:tblPr/>
      <w:tcPr>
        <w:shd w:val="clear" w:color="auto" w:fill="542CF9" w:themeFill="accent4" w:themeFillTint="7F"/>
      </w:tcPr>
    </w:tblStylePr>
    <w:tblStylePr w:type="band1Horz">
      <w:tblPr/>
      <w:tcPr>
        <w:tcBorders>
          <w:insideH w:val="single" w:sz="6" w:space="0" w:color="100249" w:themeColor="accent4"/>
          <w:insideV w:val="single" w:sz="6" w:space="0" w:color="100249" w:themeColor="accent4"/>
        </w:tcBorders>
        <w:shd w:val="clear" w:color="auto" w:fill="542C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insideH w:val="single" w:sz="8" w:space="0" w:color="0090DA" w:themeColor="accent5"/>
        <w:insideV w:val="single" w:sz="8" w:space="0" w:color="0090DA" w:themeColor="accent5"/>
      </w:tblBorders>
    </w:tblPr>
    <w:tcPr>
      <w:shd w:val="clear" w:color="auto" w:fill="B6E6FF" w:themeFill="accent5" w:themeFillTint="3F"/>
    </w:tcPr>
    <w:tblStylePr w:type="firstRow">
      <w:rPr>
        <w:b/>
        <w:bCs/>
        <w:color w:val="000000" w:themeColor="text1"/>
      </w:rPr>
      <w:tblPr/>
      <w:tcPr>
        <w:shd w:val="clear" w:color="auto" w:fill="E2F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AFF" w:themeFill="accent5" w:themeFillTint="33"/>
      </w:tcPr>
    </w:tblStylePr>
    <w:tblStylePr w:type="band1Vert">
      <w:tblPr/>
      <w:tcPr>
        <w:shd w:val="clear" w:color="auto" w:fill="6DCDFF" w:themeFill="accent5" w:themeFillTint="7F"/>
      </w:tcPr>
    </w:tblStylePr>
    <w:tblStylePr w:type="band1Horz">
      <w:tblPr/>
      <w:tcPr>
        <w:tcBorders>
          <w:insideH w:val="single" w:sz="6" w:space="0" w:color="0090DA" w:themeColor="accent5"/>
          <w:insideV w:val="single" w:sz="6" w:space="0" w:color="0090DA" w:themeColor="accent5"/>
        </w:tcBorders>
        <w:shd w:val="clear" w:color="auto" w:fill="6DC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insideH w:val="single" w:sz="8" w:space="0" w:color="E35205" w:themeColor="accent6"/>
        <w:insideV w:val="single" w:sz="8" w:space="0" w:color="E35205" w:themeColor="accent6"/>
      </w:tblBorders>
    </w:tblPr>
    <w:tcPr>
      <w:shd w:val="clear" w:color="auto" w:fill="FDD2BB" w:themeFill="accent6" w:themeFillTint="3F"/>
    </w:tcPr>
    <w:tblStylePr w:type="firstRow">
      <w:rPr>
        <w:b/>
        <w:bCs/>
        <w:color w:val="000000" w:themeColor="text1"/>
      </w:rPr>
      <w:tblPr/>
      <w:tcPr>
        <w:shd w:val="clear" w:color="auto" w:fill="FEED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6" w:themeFillTint="33"/>
      </w:tcPr>
    </w:tblStylePr>
    <w:tblStylePr w:type="band1Vert">
      <w:tblPr/>
      <w:tcPr>
        <w:shd w:val="clear" w:color="auto" w:fill="FCA577" w:themeFill="accent6" w:themeFillTint="7F"/>
      </w:tcPr>
    </w:tblStylePr>
    <w:tblStylePr w:type="band1Horz">
      <w:tblPr/>
      <w:tcPr>
        <w:tcBorders>
          <w:insideH w:val="single" w:sz="6" w:space="0" w:color="E35205" w:themeColor="accent6"/>
          <w:insideV w:val="single" w:sz="6" w:space="0" w:color="E35205" w:themeColor="accent6"/>
        </w:tcBorders>
        <w:shd w:val="clear" w:color="auto" w:fill="FCA57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E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B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B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B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D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DA2" w:themeFill="accent3" w:themeFillTint="7F"/>
      </w:tcPr>
    </w:tblStylePr>
  </w:style>
  <w:style w:type="table" w:styleId="MediumGrid3-Accent4">
    <w:name w:val="Medium Grid 3 Accent 4"/>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96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024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024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024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2C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2CF9" w:themeFill="accent4" w:themeFillTint="7F"/>
      </w:tcPr>
    </w:tblStylePr>
  </w:style>
  <w:style w:type="table" w:styleId="MediumGrid3-Accent5">
    <w:name w:val="Medium Grid 3 Accent 5"/>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6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C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CDFF" w:themeFill="accent5" w:themeFillTint="7F"/>
      </w:tcPr>
    </w:tblStylePr>
  </w:style>
  <w:style w:type="table" w:styleId="MediumGrid3-Accent6">
    <w:name w:val="Medium Grid 3 Accent 6"/>
    <w:basedOn w:val="TableNormal"/>
    <w:uiPriority w:val="69"/>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6" w:themeFillTint="7F"/>
      </w:tcPr>
    </w:tblStylePr>
  </w:style>
  <w:style w:type="table" w:styleId="MediumList1">
    <w:name w:val="Medium Lis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201547"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62BB46" w:themeColor="accent3"/>
        <w:bottom w:val="single" w:sz="8" w:space="0" w:color="62BB46" w:themeColor="accent3"/>
      </w:tblBorders>
    </w:tblPr>
    <w:tblStylePr w:type="firstRow">
      <w:rPr>
        <w:rFonts w:asciiTheme="majorHAnsi" w:eastAsiaTheme="majorEastAsia" w:hAnsiTheme="majorHAnsi" w:cstheme="majorBidi"/>
      </w:rPr>
      <w:tblPr/>
      <w:tcPr>
        <w:tcBorders>
          <w:top w:val="nil"/>
          <w:bottom w:val="single" w:sz="8" w:space="0" w:color="62BB46" w:themeColor="accent3"/>
        </w:tcBorders>
      </w:tcPr>
    </w:tblStylePr>
    <w:tblStylePr w:type="lastRow">
      <w:rPr>
        <w:b/>
        <w:bCs/>
        <w:color w:val="201547" w:themeColor="text2"/>
      </w:rPr>
      <w:tblPr/>
      <w:tcPr>
        <w:tcBorders>
          <w:top w:val="single" w:sz="8" w:space="0" w:color="62BB46" w:themeColor="accent3"/>
          <w:bottom w:val="single" w:sz="8" w:space="0" w:color="62BB46" w:themeColor="accent3"/>
        </w:tcBorders>
      </w:tcPr>
    </w:tblStylePr>
    <w:tblStylePr w:type="firstCol">
      <w:rPr>
        <w:b/>
        <w:bCs/>
      </w:rPr>
    </w:tblStylePr>
    <w:tblStylePr w:type="lastCol">
      <w:rPr>
        <w:b/>
        <w:bCs/>
      </w:rPr>
      <w:tblPr/>
      <w:tcPr>
        <w:tcBorders>
          <w:top w:val="single" w:sz="8" w:space="0" w:color="62BB46" w:themeColor="accent3"/>
          <w:bottom w:val="single" w:sz="8" w:space="0" w:color="62BB46" w:themeColor="accent3"/>
        </w:tcBorders>
      </w:tcPr>
    </w:tblStylePr>
    <w:tblStylePr w:type="band1Vert">
      <w:tblPr/>
      <w:tcPr>
        <w:shd w:val="clear" w:color="auto" w:fill="D8EED1" w:themeFill="accent3" w:themeFillTint="3F"/>
      </w:tcPr>
    </w:tblStylePr>
    <w:tblStylePr w:type="band1Horz">
      <w:tblPr/>
      <w:tcPr>
        <w:shd w:val="clear" w:color="auto" w:fill="D8EED1" w:themeFill="accent3" w:themeFillTint="3F"/>
      </w:tcPr>
    </w:tblStylePr>
  </w:style>
  <w:style w:type="table" w:styleId="MediumList1-Accent4">
    <w:name w:val="Medium List 1 Accent 4"/>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100249" w:themeColor="accent4"/>
        <w:bottom w:val="single" w:sz="8" w:space="0" w:color="100249" w:themeColor="accent4"/>
      </w:tblBorders>
    </w:tblPr>
    <w:tblStylePr w:type="firstRow">
      <w:rPr>
        <w:rFonts w:asciiTheme="majorHAnsi" w:eastAsiaTheme="majorEastAsia" w:hAnsiTheme="majorHAnsi" w:cstheme="majorBidi"/>
      </w:rPr>
      <w:tblPr/>
      <w:tcPr>
        <w:tcBorders>
          <w:top w:val="nil"/>
          <w:bottom w:val="single" w:sz="8" w:space="0" w:color="100249" w:themeColor="accent4"/>
        </w:tcBorders>
      </w:tcPr>
    </w:tblStylePr>
    <w:tblStylePr w:type="lastRow">
      <w:rPr>
        <w:b/>
        <w:bCs/>
        <w:color w:val="201547" w:themeColor="text2"/>
      </w:rPr>
      <w:tblPr/>
      <w:tcPr>
        <w:tcBorders>
          <w:top w:val="single" w:sz="8" w:space="0" w:color="100249" w:themeColor="accent4"/>
          <w:bottom w:val="single" w:sz="8" w:space="0" w:color="100249" w:themeColor="accent4"/>
        </w:tcBorders>
      </w:tcPr>
    </w:tblStylePr>
    <w:tblStylePr w:type="firstCol">
      <w:rPr>
        <w:b/>
        <w:bCs/>
      </w:rPr>
    </w:tblStylePr>
    <w:tblStylePr w:type="lastCol">
      <w:rPr>
        <w:b/>
        <w:bCs/>
      </w:rPr>
      <w:tblPr/>
      <w:tcPr>
        <w:tcBorders>
          <w:top w:val="single" w:sz="8" w:space="0" w:color="100249" w:themeColor="accent4"/>
          <w:bottom w:val="single" w:sz="8" w:space="0" w:color="100249" w:themeColor="accent4"/>
        </w:tcBorders>
      </w:tcPr>
    </w:tblStylePr>
    <w:tblStylePr w:type="band1Vert">
      <w:tblPr/>
      <w:tcPr>
        <w:shd w:val="clear" w:color="auto" w:fill="AA96FC" w:themeFill="accent4" w:themeFillTint="3F"/>
      </w:tcPr>
    </w:tblStylePr>
    <w:tblStylePr w:type="band1Horz">
      <w:tblPr/>
      <w:tcPr>
        <w:shd w:val="clear" w:color="auto" w:fill="AA96FC" w:themeFill="accent4" w:themeFillTint="3F"/>
      </w:tcPr>
    </w:tblStylePr>
  </w:style>
  <w:style w:type="table" w:styleId="MediumList1-Accent5">
    <w:name w:val="Medium List 1 Accent 5"/>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0DA" w:themeColor="accent5"/>
        <w:bottom w:val="single" w:sz="8" w:space="0" w:color="0090DA" w:themeColor="accent5"/>
      </w:tblBorders>
    </w:tblPr>
    <w:tblStylePr w:type="firstRow">
      <w:rPr>
        <w:rFonts w:asciiTheme="majorHAnsi" w:eastAsiaTheme="majorEastAsia" w:hAnsiTheme="majorHAnsi" w:cstheme="majorBidi"/>
      </w:rPr>
      <w:tblPr/>
      <w:tcPr>
        <w:tcBorders>
          <w:top w:val="nil"/>
          <w:bottom w:val="single" w:sz="8" w:space="0" w:color="0090DA" w:themeColor="accent5"/>
        </w:tcBorders>
      </w:tcPr>
    </w:tblStylePr>
    <w:tblStylePr w:type="lastRow">
      <w:rPr>
        <w:b/>
        <w:bCs/>
        <w:color w:val="201547" w:themeColor="text2"/>
      </w:rPr>
      <w:tblPr/>
      <w:tcPr>
        <w:tcBorders>
          <w:top w:val="single" w:sz="8" w:space="0" w:color="0090DA" w:themeColor="accent5"/>
          <w:bottom w:val="single" w:sz="8" w:space="0" w:color="0090DA" w:themeColor="accent5"/>
        </w:tcBorders>
      </w:tcPr>
    </w:tblStylePr>
    <w:tblStylePr w:type="firstCol">
      <w:rPr>
        <w:b/>
        <w:bCs/>
      </w:rPr>
    </w:tblStylePr>
    <w:tblStylePr w:type="lastCol">
      <w:rPr>
        <w:b/>
        <w:bCs/>
      </w:rPr>
      <w:tblPr/>
      <w:tcPr>
        <w:tcBorders>
          <w:top w:val="single" w:sz="8" w:space="0" w:color="0090DA" w:themeColor="accent5"/>
          <w:bottom w:val="single" w:sz="8" w:space="0" w:color="0090DA" w:themeColor="accent5"/>
        </w:tcBorders>
      </w:tcPr>
    </w:tblStylePr>
    <w:tblStylePr w:type="band1Vert">
      <w:tblPr/>
      <w:tcPr>
        <w:shd w:val="clear" w:color="auto" w:fill="B6E6FF" w:themeFill="accent5" w:themeFillTint="3F"/>
      </w:tcPr>
    </w:tblStylePr>
    <w:tblStylePr w:type="band1Horz">
      <w:tblPr/>
      <w:tcPr>
        <w:shd w:val="clear" w:color="auto" w:fill="B6E6FF" w:themeFill="accent5" w:themeFillTint="3F"/>
      </w:tcPr>
    </w:tblStylePr>
  </w:style>
  <w:style w:type="table" w:styleId="MediumList1-Accent6">
    <w:name w:val="Medium List 1 Accent 6"/>
    <w:basedOn w:val="TableNormal"/>
    <w:uiPriority w:val="65"/>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E35205" w:themeColor="accent6"/>
        <w:bottom w:val="single" w:sz="8" w:space="0" w:color="E35205" w:themeColor="accent6"/>
      </w:tblBorders>
    </w:tblPr>
    <w:tblStylePr w:type="firstRow">
      <w:rPr>
        <w:rFonts w:asciiTheme="majorHAnsi" w:eastAsiaTheme="majorEastAsia" w:hAnsiTheme="majorHAnsi" w:cstheme="majorBidi"/>
      </w:rPr>
      <w:tblPr/>
      <w:tcPr>
        <w:tcBorders>
          <w:top w:val="nil"/>
          <w:bottom w:val="single" w:sz="8" w:space="0" w:color="E35205" w:themeColor="accent6"/>
        </w:tcBorders>
      </w:tcPr>
    </w:tblStylePr>
    <w:tblStylePr w:type="lastRow">
      <w:rPr>
        <w:b/>
        <w:bCs/>
        <w:color w:val="201547" w:themeColor="text2"/>
      </w:rPr>
      <w:tblPr/>
      <w:tcPr>
        <w:tcBorders>
          <w:top w:val="single" w:sz="8" w:space="0" w:color="E35205" w:themeColor="accent6"/>
          <w:bottom w:val="single" w:sz="8" w:space="0" w:color="E35205" w:themeColor="accent6"/>
        </w:tcBorders>
      </w:tcPr>
    </w:tblStylePr>
    <w:tblStylePr w:type="firstCol">
      <w:rPr>
        <w:b/>
        <w:bCs/>
      </w:rPr>
    </w:tblStylePr>
    <w:tblStylePr w:type="lastCol">
      <w:rPr>
        <w:b/>
        <w:bCs/>
      </w:rPr>
      <w:tblPr/>
      <w:tcPr>
        <w:tcBorders>
          <w:top w:val="single" w:sz="8" w:space="0" w:color="E35205" w:themeColor="accent6"/>
          <w:bottom w:val="single" w:sz="8" w:space="0" w:color="E35205" w:themeColor="accent6"/>
        </w:tcBorders>
      </w:tcPr>
    </w:tblStylePr>
    <w:tblStylePr w:type="band1Vert">
      <w:tblPr/>
      <w:tcPr>
        <w:shd w:val="clear" w:color="auto" w:fill="FDD2BB" w:themeFill="accent6" w:themeFillTint="3F"/>
      </w:tcPr>
    </w:tblStylePr>
    <w:tblStylePr w:type="band1Horz">
      <w:tblPr/>
      <w:tcPr>
        <w:shd w:val="clear" w:color="auto" w:fill="FDD2BB" w:themeFill="accent6" w:themeFillTint="3F"/>
      </w:tcPr>
    </w:tblStylePr>
  </w:style>
  <w:style w:type="table" w:styleId="MediumList2">
    <w:name w:val="Medium Lis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62BB46" w:themeColor="accent3"/>
        <w:left w:val="single" w:sz="8" w:space="0" w:color="62BB46" w:themeColor="accent3"/>
        <w:bottom w:val="single" w:sz="8" w:space="0" w:color="62BB46" w:themeColor="accent3"/>
        <w:right w:val="single" w:sz="8" w:space="0" w:color="62BB46" w:themeColor="accent3"/>
      </w:tblBorders>
    </w:tblPr>
    <w:tblStylePr w:type="firstRow">
      <w:rPr>
        <w:sz w:val="24"/>
        <w:szCs w:val="24"/>
      </w:rPr>
      <w:tblPr/>
      <w:tcPr>
        <w:tcBorders>
          <w:top w:val="nil"/>
          <w:left w:val="nil"/>
          <w:bottom w:val="single" w:sz="24" w:space="0" w:color="62BB46" w:themeColor="accent3"/>
          <w:right w:val="nil"/>
          <w:insideH w:val="nil"/>
          <w:insideV w:val="nil"/>
        </w:tcBorders>
        <w:shd w:val="clear" w:color="auto" w:fill="FFFFFF" w:themeFill="background1"/>
      </w:tcPr>
    </w:tblStylePr>
    <w:tblStylePr w:type="lastRow">
      <w:tblPr/>
      <w:tcPr>
        <w:tcBorders>
          <w:top w:val="single" w:sz="8" w:space="0" w:color="62BB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B46" w:themeColor="accent3"/>
          <w:insideH w:val="nil"/>
          <w:insideV w:val="nil"/>
        </w:tcBorders>
        <w:shd w:val="clear" w:color="auto" w:fill="FFFFFF" w:themeFill="background1"/>
      </w:tcPr>
    </w:tblStylePr>
    <w:tblStylePr w:type="lastCol">
      <w:tblPr/>
      <w:tcPr>
        <w:tcBorders>
          <w:top w:val="nil"/>
          <w:left w:val="single" w:sz="8" w:space="0" w:color="62BB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ED1" w:themeFill="accent3" w:themeFillTint="3F"/>
      </w:tcPr>
    </w:tblStylePr>
    <w:tblStylePr w:type="band1Horz">
      <w:tblPr/>
      <w:tcPr>
        <w:tcBorders>
          <w:top w:val="nil"/>
          <w:bottom w:val="nil"/>
          <w:insideH w:val="nil"/>
          <w:insideV w:val="nil"/>
        </w:tcBorders>
        <w:shd w:val="clear" w:color="auto" w:fill="D8EE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100249" w:themeColor="accent4"/>
        <w:left w:val="single" w:sz="8" w:space="0" w:color="100249" w:themeColor="accent4"/>
        <w:bottom w:val="single" w:sz="8" w:space="0" w:color="100249" w:themeColor="accent4"/>
        <w:right w:val="single" w:sz="8" w:space="0" w:color="100249" w:themeColor="accent4"/>
      </w:tblBorders>
    </w:tblPr>
    <w:tblStylePr w:type="firstRow">
      <w:rPr>
        <w:sz w:val="24"/>
        <w:szCs w:val="24"/>
      </w:rPr>
      <w:tblPr/>
      <w:tcPr>
        <w:tcBorders>
          <w:top w:val="nil"/>
          <w:left w:val="nil"/>
          <w:bottom w:val="single" w:sz="24" w:space="0" w:color="100249" w:themeColor="accent4"/>
          <w:right w:val="nil"/>
          <w:insideH w:val="nil"/>
          <w:insideV w:val="nil"/>
        </w:tcBorders>
        <w:shd w:val="clear" w:color="auto" w:fill="FFFFFF" w:themeFill="background1"/>
      </w:tcPr>
    </w:tblStylePr>
    <w:tblStylePr w:type="lastRow">
      <w:tblPr/>
      <w:tcPr>
        <w:tcBorders>
          <w:top w:val="single" w:sz="8" w:space="0" w:color="10024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0249" w:themeColor="accent4"/>
          <w:insideH w:val="nil"/>
          <w:insideV w:val="nil"/>
        </w:tcBorders>
        <w:shd w:val="clear" w:color="auto" w:fill="FFFFFF" w:themeFill="background1"/>
      </w:tcPr>
    </w:tblStylePr>
    <w:tblStylePr w:type="lastCol">
      <w:tblPr/>
      <w:tcPr>
        <w:tcBorders>
          <w:top w:val="nil"/>
          <w:left w:val="single" w:sz="8" w:space="0" w:color="10024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96FC" w:themeFill="accent4" w:themeFillTint="3F"/>
      </w:tcPr>
    </w:tblStylePr>
    <w:tblStylePr w:type="band1Horz">
      <w:tblPr/>
      <w:tcPr>
        <w:tcBorders>
          <w:top w:val="nil"/>
          <w:bottom w:val="nil"/>
          <w:insideH w:val="nil"/>
          <w:insideV w:val="nil"/>
        </w:tcBorders>
        <w:shd w:val="clear" w:color="auto" w:fill="AA96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0DA" w:themeColor="accent5"/>
        <w:left w:val="single" w:sz="8" w:space="0" w:color="0090DA" w:themeColor="accent5"/>
        <w:bottom w:val="single" w:sz="8" w:space="0" w:color="0090DA" w:themeColor="accent5"/>
        <w:right w:val="single" w:sz="8" w:space="0" w:color="0090DA" w:themeColor="accent5"/>
      </w:tblBorders>
    </w:tblPr>
    <w:tblStylePr w:type="firstRow">
      <w:rPr>
        <w:sz w:val="24"/>
        <w:szCs w:val="24"/>
      </w:rPr>
      <w:tblPr/>
      <w:tcPr>
        <w:tcBorders>
          <w:top w:val="nil"/>
          <w:left w:val="nil"/>
          <w:bottom w:val="single" w:sz="24" w:space="0" w:color="0090DA" w:themeColor="accent5"/>
          <w:right w:val="nil"/>
          <w:insideH w:val="nil"/>
          <w:insideV w:val="nil"/>
        </w:tcBorders>
        <w:shd w:val="clear" w:color="auto" w:fill="FFFFFF" w:themeFill="background1"/>
      </w:tcPr>
    </w:tblStylePr>
    <w:tblStylePr w:type="lastRow">
      <w:tblPr/>
      <w:tcPr>
        <w:tcBorders>
          <w:top w:val="single" w:sz="8" w:space="0" w:color="0090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DA" w:themeColor="accent5"/>
          <w:insideH w:val="nil"/>
          <w:insideV w:val="nil"/>
        </w:tcBorders>
        <w:shd w:val="clear" w:color="auto" w:fill="FFFFFF" w:themeFill="background1"/>
      </w:tcPr>
    </w:tblStylePr>
    <w:tblStylePr w:type="lastCol">
      <w:tblPr/>
      <w:tcPr>
        <w:tcBorders>
          <w:top w:val="nil"/>
          <w:left w:val="single" w:sz="8" w:space="0" w:color="0090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6FF" w:themeFill="accent5" w:themeFillTint="3F"/>
      </w:tcPr>
    </w:tblStylePr>
    <w:tblStylePr w:type="band1Horz">
      <w:tblPr/>
      <w:tcPr>
        <w:tcBorders>
          <w:top w:val="nil"/>
          <w:bottom w:val="nil"/>
          <w:insideH w:val="nil"/>
          <w:insideV w:val="nil"/>
        </w:tcBorders>
        <w:shd w:val="clear" w:color="auto" w:fill="B6E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locked/>
    <w:rsid w:val="003C1E5E"/>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E35205" w:themeColor="accent6"/>
        <w:left w:val="single" w:sz="8" w:space="0" w:color="E35205" w:themeColor="accent6"/>
        <w:bottom w:val="single" w:sz="8" w:space="0" w:color="E35205" w:themeColor="accent6"/>
        <w:right w:val="single" w:sz="8" w:space="0" w:color="E35205" w:themeColor="accent6"/>
      </w:tblBorders>
    </w:tblPr>
    <w:tblStylePr w:type="firstRow">
      <w:rPr>
        <w:sz w:val="24"/>
        <w:szCs w:val="24"/>
      </w:rPr>
      <w:tblPr/>
      <w:tcPr>
        <w:tcBorders>
          <w:top w:val="nil"/>
          <w:left w:val="nil"/>
          <w:bottom w:val="single" w:sz="24" w:space="0" w:color="E35205" w:themeColor="accent6"/>
          <w:right w:val="nil"/>
          <w:insideH w:val="nil"/>
          <w:insideV w:val="nil"/>
        </w:tcBorders>
        <w:shd w:val="clear" w:color="auto" w:fill="FFFFFF" w:themeFill="background1"/>
      </w:tcPr>
    </w:tblStylePr>
    <w:tblStylePr w:type="lastRow">
      <w:tblPr/>
      <w:tcPr>
        <w:tcBorders>
          <w:top w:val="single" w:sz="8" w:space="0" w:color="E3520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6"/>
          <w:insideH w:val="nil"/>
          <w:insideV w:val="nil"/>
        </w:tcBorders>
        <w:shd w:val="clear" w:color="auto" w:fill="FFFFFF" w:themeFill="background1"/>
      </w:tcPr>
    </w:tblStylePr>
    <w:tblStylePr w:type="lastCol">
      <w:tblPr/>
      <w:tcPr>
        <w:tcBorders>
          <w:top w:val="nil"/>
          <w:left w:val="single" w:sz="8" w:space="0" w:color="E3520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6" w:themeFillTint="3F"/>
      </w:tcPr>
    </w:tblStylePr>
    <w:tblStylePr w:type="band1Horz">
      <w:tblPr/>
      <w:tcPr>
        <w:tcBorders>
          <w:top w:val="nil"/>
          <w:bottom w:val="nil"/>
          <w:insideH w:val="nil"/>
          <w:insideV w:val="nil"/>
        </w:tcBorders>
        <w:shd w:val="clear" w:color="auto" w:fill="FDD2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single" w:sz="8" w:space="0" w:color="89CC74" w:themeColor="accent3" w:themeTint="BF"/>
      </w:tblBorders>
    </w:tblPr>
    <w:tblStylePr w:type="firstRow">
      <w:pPr>
        <w:spacing w:before="0" w:after="0" w:line="240" w:lineRule="auto"/>
      </w:pPr>
      <w:rPr>
        <w:b/>
        <w:bCs/>
        <w:color w:val="FFFFFF" w:themeColor="background1"/>
      </w:rPr>
      <w:tblPr/>
      <w:tcPr>
        <w:tcBorders>
          <w:top w:val="single" w:sz="8"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shd w:val="clear" w:color="auto" w:fill="62BB46" w:themeFill="accent3"/>
      </w:tcPr>
    </w:tblStylePr>
    <w:tblStylePr w:type="lastRow">
      <w:pPr>
        <w:spacing w:before="0" w:after="0" w:line="240" w:lineRule="auto"/>
      </w:pPr>
      <w:rPr>
        <w:b/>
        <w:bCs/>
      </w:rPr>
      <w:tblPr/>
      <w:tcPr>
        <w:tcBorders>
          <w:top w:val="double" w:sz="6" w:space="0" w:color="89CC74" w:themeColor="accent3" w:themeTint="BF"/>
          <w:left w:val="single" w:sz="8" w:space="0" w:color="89CC74" w:themeColor="accent3" w:themeTint="BF"/>
          <w:bottom w:val="single" w:sz="8" w:space="0" w:color="89CC74" w:themeColor="accent3" w:themeTint="BF"/>
          <w:right w:val="single" w:sz="8" w:space="0" w:color="89CC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ED1" w:themeFill="accent3" w:themeFillTint="3F"/>
      </w:tcPr>
    </w:tblStylePr>
    <w:tblStylePr w:type="band1Horz">
      <w:tblPr/>
      <w:tcPr>
        <w:tcBorders>
          <w:insideH w:val="nil"/>
          <w:insideV w:val="nil"/>
        </w:tcBorders>
        <w:shd w:val="clear" w:color="auto" w:fill="D8EED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single" w:sz="8" w:space="0" w:color="2705B3" w:themeColor="accent4" w:themeTint="BF"/>
      </w:tblBorders>
    </w:tblPr>
    <w:tblStylePr w:type="firstRow">
      <w:pPr>
        <w:spacing w:before="0" w:after="0" w:line="240" w:lineRule="auto"/>
      </w:pPr>
      <w:rPr>
        <w:b/>
        <w:bCs/>
        <w:color w:val="FFFFFF" w:themeColor="background1"/>
      </w:rPr>
      <w:tblPr/>
      <w:tcPr>
        <w:tcBorders>
          <w:top w:val="single" w:sz="8"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shd w:val="clear" w:color="auto" w:fill="100249" w:themeFill="accent4"/>
      </w:tcPr>
    </w:tblStylePr>
    <w:tblStylePr w:type="lastRow">
      <w:pPr>
        <w:spacing w:before="0" w:after="0" w:line="240" w:lineRule="auto"/>
      </w:pPr>
      <w:rPr>
        <w:b/>
        <w:bCs/>
      </w:rPr>
      <w:tblPr/>
      <w:tcPr>
        <w:tcBorders>
          <w:top w:val="double" w:sz="6" w:space="0" w:color="2705B3" w:themeColor="accent4" w:themeTint="BF"/>
          <w:left w:val="single" w:sz="8" w:space="0" w:color="2705B3" w:themeColor="accent4" w:themeTint="BF"/>
          <w:bottom w:val="single" w:sz="8" w:space="0" w:color="2705B3" w:themeColor="accent4" w:themeTint="BF"/>
          <w:right w:val="single" w:sz="8" w:space="0" w:color="2705B3"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96FC" w:themeFill="accent4" w:themeFillTint="3F"/>
      </w:tcPr>
    </w:tblStylePr>
    <w:tblStylePr w:type="band1Horz">
      <w:tblPr/>
      <w:tcPr>
        <w:tcBorders>
          <w:insideH w:val="nil"/>
          <w:insideV w:val="nil"/>
        </w:tcBorders>
        <w:shd w:val="clear" w:color="auto" w:fill="AA96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single" w:sz="8" w:space="0" w:color="24B4FF" w:themeColor="accent5" w:themeTint="BF"/>
      </w:tblBorders>
    </w:tblPr>
    <w:tblStylePr w:type="firstRow">
      <w:pPr>
        <w:spacing w:before="0" w:after="0" w:line="240" w:lineRule="auto"/>
      </w:pPr>
      <w:rPr>
        <w:b/>
        <w:bCs/>
        <w:color w:val="FFFFFF" w:themeColor="background1"/>
      </w:rPr>
      <w:tblPr/>
      <w:tcPr>
        <w:tcBorders>
          <w:top w:val="single" w:sz="8"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shd w:val="clear" w:color="auto" w:fill="0090DA" w:themeFill="accent5"/>
      </w:tcPr>
    </w:tblStylePr>
    <w:tblStylePr w:type="lastRow">
      <w:pPr>
        <w:spacing w:before="0" w:after="0" w:line="240" w:lineRule="auto"/>
      </w:pPr>
      <w:rPr>
        <w:b/>
        <w:bCs/>
      </w:rPr>
      <w:tblPr/>
      <w:tcPr>
        <w:tcBorders>
          <w:top w:val="double" w:sz="6" w:space="0" w:color="24B4FF" w:themeColor="accent5" w:themeTint="BF"/>
          <w:left w:val="single" w:sz="8" w:space="0" w:color="24B4FF" w:themeColor="accent5" w:themeTint="BF"/>
          <w:bottom w:val="single" w:sz="8" w:space="0" w:color="24B4FF" w:themeColor="accent5" w:themeTint="BF"/>
          <w:right w:val="single" w:sz="8" w:space="0" w:color="24B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E6FF" w:themeFill="accent5" w:themeFillTint="3F"/>
      </w:tcPr>
    </w:tblStylePr>
    <w:tblStylePr w:type="band1Horz">
      <w:tblPr/>
      <w:tcPr>
        <w:tcBorders>
          <w:insideH w:val="nil"/>
          <w:insideV w:val="nil"/>
        </w:tcBorders>
        <w:shd w:val="clear" w:color="auto" w:fill="B6E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single" w:sz="8" w:space="0" w:color="FA7733" w:themeColor="accent6" w:themeTint="BF"/>
      </w:tblBorders>
    </w:tblPr>
    <w:tblStylePr w:type="firstRow">
      <w:pPr>
        <w:spacing w:before="0" w:after="0" w:line="240" w:lineRule="auto"/>
      </w:pPr>
      <w:rPr>
        <w:b/>
        <w:bCs/>
        <w:color w:val="FFFFFF" w:themeColor="background1"/>
      </w:rPr>
      <w:tblPr/>
      <w:tcPr>
        <w:tcBorders>
          <w:top w:val="single" w:sz="8"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shd w:val="clear" w:color="auto" w:fill="E35205" w:themeFill="accent6"/>
      </w:tcPr>
    </w:tblStylePr>
    <w:tblStylePr w:type="lastRow">
      <w:pPr>
        <w:spacing w:before="0" w:after="0" w:line="240" w:lineRule="auto"/>
      </w:pPr>
      <w:rPr>
        <w:b/>
        <w:bCs/>
      </w:rPr>
      <w:tblPr/>
      <w:tcPr>
        <w:tcBorders>
          <w:top w:val="double" w:sz="6" w:space="0" w:color="FA7733" w:themeColor="accent6" w:themeTint="BF"/>
          <w:left w:val="single" w:sz="8" w:space="0" w:color="FA7733" w:themeColor="accent6" w:themeTint="BF"/>
          <w:bottom w:val="single" w:sz="8" w:space="0" w:color="FA7733" w:themeColor="accent6" w:themeTint="BF"/>
          <w:right w:val="single" w:sz="8" w:space="0" w:color="FA773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6" w:themeFillTint="3F"/>
      </w:tcPr>
    </w:tblStylePr>
    <w:tblStylePr w:type="band1Horz">
      <w:tblPr/>
      <w:tcPr>
        <w:tcBorders>
          <w:insideH w:val="nil"/>
          <w:insideV w:val="nil"/>
        </w:tcBorders>
        <w:shd w:val="clear" w:color="auto" w:fill="FDD2B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B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B46" w:themeFill="accent3"/>
      </w:tcPr>
    </w:tblStylePr>
    <w:tblStylePr w:type="lastCol">
      <w:rPr>
        <w:b/>
        <w:bCs/>
        <w:color w:val="FFFFFF" w:themeColor="background1"/>
      </w:rPr>
      <w:tblPr/>
      <w:tcPr>
        <w:tcBorders>
          <w:left w:val="nil"/>
          <w:right w:val="nil"/>
          <w:insideH w:val="nil"/>
          <w:insideV w:val="nil"/>
        </w:tcBorders>
        <w:shd w:val="clear" w:color="auto" w:fill="62BB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024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0249" w:themeFill="accent4"/>
      </w:tcPr>
    </w:tblStylePr>
    <w:tblStylePr w:type="lastCol">
      <w:rPr>
        <w:b/>
        <w:bCs/>
        <w:color w:val="FFFFFF" w:themeColor="background1"/>
      </w:rPr>
      <w:tblPr/>
      <w:tcPr>
        <w:tcBorders>
          <w:left w:val="nil"/>
          <w:right w:val="nil"/>
          <w:insideH w:val="nil"/>
          <w:insideV w:val="nil"/>
        </w:tcBorders>
        <w:shd w:val="clear" w:color="auto" w:fill="10024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DA" w:themeFill="accent5"/>
      </w:tcPr>
    </w:tblStylePr>
    <w:tblStylePr w:type="lastCol">
      <w:rPr>
        <w:b/>
        <w:bCs/>
        <w:color w:val="FFFFFF" w:themeColor="background1"/>
      </w:rPr>
      <w:tblPr/>
      <w:tcPr>
        <w:tcBorders>
          <w:left w:val="nil"/>
          <w:right w:val="nil"/>
          <w:insideH w:val="nil"/>
          <w:insideV w:val="nil"/>
        </w:tcBorders>
        <w:shd w:val="clear" w:color="auto" w:fill="0090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6"/>
      </w:tcPr>
    </w:tblStylePr>
    <w:tblStylePr w:type="lastCol">
      <w:rPr>
        <w:b/>
        <w:bCs/>
        <w:color w:val="FFFFFF" w:themeColor="background1"/>
      </w:rPr>
      <w:tblPr/>
      <w:tcPr>
        <w:tcBorders>
          <w:left w:val="nil"/>
          <w:right w:val="nil"/>
          <w:insideH w:val="nil"/>
          <w:insideV w:val="nil"/>
        </w:tcBorders>
        <w:shd w:val="clear" w:color="auto" w:fill="E3520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3C1E5E"/>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3C1E5E"/>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locked/>
    <w:rsid w:val="003C1E5E"/>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3C1E5E"/>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locked/>
    <w:rsid w:val="003C1E5E"/>
    <w:rPr>
      <w:color w:val="605E5C"/>
      <w:shd w:val="clear" w:color="auto" w:fill="E1DFDD"/>
    </w:rPr>
  </w:style>
  <w:style w:type="paragraph" w:customStyle="1" w:styleId="BodycopyBodycontent">
    <w:name w:val="Body copy (Body content)"/>
    <w:basedOn w:val="Normal"/>
    <w:next w:val="Normal"/>
    <w:uiPriority w:val="99"/>
    <w:rsid w:val="003C1E5E"/>
    <w:pPr>
      <w:widowControl w:val="0"/>
      <w:tabs>
        <w:tab w:val="left" w:pos="227"/>
        <w:tab w:val="right" w:pos="5920"/>
      </w:tabs>
      <w:suppressAutoHyphens/>
      <w:autoSpaceDE w:val="0"/>
      <w:autoSpaceDN w:val="0"/>
      <w:adjustRightInd w:val="0"/>
      <w:spacing w:before="0" w:after="113" w:line="260" w:lineRule="atLeast"/>
      <w:textAlignment w:val="center"/>
    </w:pPr>
    <w:rPr>
      <w:rFonts w:ascii="Calibri" w:eastAsia="Cambria" w:hAnsi="Calibri" w:cs="Calibri"/>
      <w:color w:val="000000"/>
      <w:sz w:val="22"/>
      <w:szCs w:val="22"/>
      <w:lang w:val="en-GB"/>
    </w:rPr>
  </w:style>
  <w:style w:type="table" w:styleId="TableColumns3">
    <w:name w:val="Table Columns 3"/>
    <w:basedOn w:val="TableNormal"/>
    <w:locked/>
    <w:rsid w:val="003C1E5E"/>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locked/>
    <w:rsid w:val="003C1E5E"/>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locked/>
    <w:rsid w:val="003C1E5E"/>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locked/>
    <w:rsid w:val="003C1E5E"/>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locked/>
    <w:rsid w:val="003C1E5E"/>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3C1E5E"/>
    <w:pPr>
      <w:suppressAutoHyphens/>
      <w:spacing w:before="0" w:after="240" w:line="276" w:lineRule="auto"/>
      <w:ind w:left="-284"/>
    </w:pPr>
    <w:rPr>
      <w:rFonts w:eastAsia="Cambria"/>
      <w:color w:val="0A2C56"/>
      <w:sz w:val="22"/>
      <w:szCs w:val="24"/>
      <w:lang w:val="en-US"/>
    </w:rPr>
  </w:style>
  <w:style w:type="paragraph" w:customStyle="1" w:styleId="GreenLightPlanContentstext">
    <w:name w:val="Green Light Plan Contents text"/>
    <w:basedOn w:val="Normal"/>
    <w:qFormat/>
    <w:rsid w:val="003C1E5E"/>
    <w:pPr>
      <w:widowControl w:val="0"/>
      <w:tabs>
        <w:tab w:val="left" w:pos="567"/>
        <w:tab w:val="right" w:pos="5670"/>
        <w:tab w:val="right" w:pos="9800"/>
      </w:tabs>
      <w:autoSpaceDE w:val="0"/>
      <w:autoSpaceDN w:val="0"/>
      <w:adjustRightInd w:val="0"/>
      <w:spacing w:before="0" w:after="120" w:line="360" w:lineRule="auto"/>
      <w:ind w:left="284" w:right="1985"/>
      <w:textAlignment w:val="center"/>
    </w:pPr>
    <w:rPr>
      <w:rFonts w:ascii="Arial Bold" w:eastAsia="Cambria" w:hAnsi="Arial Bold" w:cs="MinionPro-Regular"/>
      <w:color w:val="007A6D"/>
      <w:kern w:val="22"/>
      <w:sz w:val="22"/>
      <w:szCs w:val="24"/>
      <w:lang w:val="en-GB"/>
    </w:rPr>
  </w:style>
  <w:style w:type="paragraph" w:customStyle="1" w:styleId="GreenLightPlanNumbersList">
    <w:name w:val="Green Light Plan Numbers List"/>
    <w:basedOn w:val="Normal"/>
    <w:qFormat/>
    <w:rsid w:val="003C1E5E"/>
    <w:pPr>
      <w:widowControl w:val="0"/>
      <w:numPr>
        <w:numId w:val="17"/>
      </w:numPr>
      <w:suppressAutoHyphens/>
      <w:autoSpaceDE w:val="0"/>
      <w:autoSpaceDN w:val="0"/>
      <w:adjustRightInd w:val="0"/>
      <w:spacing w:before="0" w:after="120" w:line="260" w:lineRule="atLeast"/>
      <w:textAlignment w:val="center"/>
    </w:pPr>
    <w:rPr>
      <w:rFonts w:eastAsia="Cambria" w:cs="ArialMT"/>
      <w:color w:val="2D2D07"/>
      <w:sz w:val="22"/>
      <w:szCs w:val="22"/>
      <w:lang w:val="en-GB"/>
    </w:rPr>
  </w:style>
  <w:style w:type="paragraph" w:customStyle="1" w:styleId="Style2">
    <w:name w:val="Style2"/>
    <w:basedOn w:val="Normal"/>
    <w:qFormat/>
    <w:rsid w:val="003C1E5E"/>
    <w:pPr>
      <w:widowControl w:val="0"/>
      <w:autoSpaceDE w:val="0"/>
      <w:autoSpaceDN w:val="0"/>
      <w:adjustRightInd w:val="0"/>
      <w:spacing w:before="0" w:after="0"/>
      <w:ind w:left="607"/>
    </w:pPr>
    <w:rPr>
      <w:rFonts w:ascii="Arial Bold" w:hAnsi="Arial Bold"/>
      <w:caps/>
      <w:noProof/>
      <w:color w:val="auto"/>
      <w:sz w:val="22"/>
      <w:szCs w:val="22"/>
      <w:lang w:val="en-US"/>
    </w:rPr>
  </w:style>
  <w:style w:type="paragraph" w:customStyle="1" w:styleId="Style3">
    <w:name w:val="Style3"/>
    <w:basedOn w:val="Normal"/>
    <w:qFormat/>
    <w:rsid w:val="003C1E5E"/>
    <w:pPr>
      <w:widowControl w:val="0"/>
      <w:autoSpaceDE w:val="0"/>
      <w:autoSpaceDN w:val="0"/>
      <w:adjustRightInd w:val="0"/>
      <w:spacing w:before="0" w:after="0"/>
      <w:ind w:left="2583"/>
    </w:pPr>
    <w:rPr>
      <w:rFonts w:ascii="Calibri" w:hAnsi="Calibri"/>
      <w:caps/>
      <w:noProof/>
      <w:color w:val="auto"/>
      <w:sz w:val="22"/>
      <w:szCs w:val="22"/>
      <w:lang w:val="en-US"/>
    </w:rPr>
  </w:style>
  <w:style w:type="paragraph" w:customStyle="1" w:styleId="CallidenTableTextHeading">
    <w:name w:val="Calliden Table Text Heading"/>
    <w:basedOn w:val="Normal"/>
    <w:qFormat/>
    <w:rsid w:val="003C1E5E"/>
    <w:pPr>
      <w:spacing w:before="60" w:after="60"/>
    </w:pPr>
    <w:rPr>
      <w:rFonts w:ascii="Arial Bold" w:eastAsia="ヒラギノ角ゴ Pro W3" w:hAnsi="Arial Bold"/>
      <w:b/>
      <w:color w:val="000000"/>
      <w:spacing w:val="-8"/>
      <w:sz w:val="22"/>
      <w:szCs w:val="24"/>
      <w:lang w:val="en-US"/>
    </w:rPr>
  </w:style>
  <w:style w:type="paragraph" w:customStyle="1" w:styleId="Procurementdotpoints">
    <w:name w:val="Procurement dot points"/>
    <w:basedOn w:val="Normal"/>
    <w:rsid w:val="003C1E5E"/>
    <w:pPr>
      <w:numPr>
        <w:numId w:val="18"/>
      </w:numPr>
      <w:spacing w:after="120"/>
    </w:pPr>
    <w:rPr>
      <w:rFonts w:eastAsia="ヒラギノ角ゴ Pro W3"/>
      <w:color w:val="auto"/>
      <w:spacing w:val="-4"/>
      <w:sz w:val="22"/>
      <w:szCs w:val="24"/>
      <w:lang w:val="en-US"/>
    </w:rPr>
  </w:style>
  <w:style w:type="paragraph" w:customStyle="1" w:styleId="Procurementheading2red">
    <w:name w:val="Procurement heading 2 red"/>
    <w:basedOn w:val="Normal"/>
    <w:qFormat/>
    <w:rsid w:val="003C1E5E"/>
    <w:pPr>
      <w:widowControl w:val="0"/>
      <w:tabs>
        <w:tab w:val="left" w:pos="660"/>
      </w:tabs>
      <w:suppressAutoHyphens/>
      <w:autoSpaceDE w:val="0"/>
      <w:autoSpaceDN w:val="0"/>
      <w:adjustRightInd w:val="0"/>
      <w:spacing w:before="0" w:after="360" w:line="288" w:lineRule="auto"/>
      <w:textAlignment w:val="center"/>
      <w:outlineLvl w:val="0"/>
    </w:pPr>
    <w:rPr>
      <w:rFonts w:eastAsia="Cambria" w:cs="DIN-Medium"/>
      <w:noProof/>
      <w:color w:val="F40026"/>
      <w:sz w:val="32"/>
      <w:szCs w:val="28"/>
      <w:u w:color="FF0000"/>
      <w:lang w:val="en-GB"/>
    </w:rPr>
  </w:style>
  <w:style w:type="paragraph" w:customStyle="1" w:styleId="Procurementbodytext">
    <w:name w:val="Procurement body text"/>
    <w:basedOn w:val="Normal"/>
    <w:qFormat/>
    <w:rsid w:val="003C1E5E"/>
    <w:pPr>
      <w:widowControl w:val="0"/>
      <w:tabs>
        <w:tab w:val="left" w:pos="851"/>
      </w:tabs>
      <w:suppressAutoHyphens/>
      <w:autoSpaceDE w:val="0"/>
      <w:autoSpaceDN w:val="0"/>
      <w:adjustRightInd w:val="0"/>
      <w:spacing w:before="0" w:after="113" w:line="288" w:lineRule="auto"/>
      <w:textAlignment w:val="center"/>
    </w:pPr>
    <w:rPr>
      <w:rFonts w:eastAsia="Cambria" w:cs="HelveticaNeueLTStd-Lt"/>
      <w:color w:val="000000"/>
      <w:sz w:val="22"/>
      <w:szCs w:val="22"/>
      <w:lang w:val="en-GB"/>
    </w:rPr>
  </w:style>
  <w:style w:type="paragraph" w:customStyle="1" w:styleId="ProcurementHeading6red">
    <w:name w:val="Procurement Heading 6 red"/>
    <w:basedOn w:val="Procurementbodytext"/>
    <w:qFormat/>
    <w:rsid w:val="003C1E5E"/>
    <w:pPr>
      <w:spacing w:after="120" w:line="240" w:lineRule="auto"/>
      <w:ind w:left="799" w:hanging="799"/>
    </w:pPr>
    <w:rPr>
      <w:color w:val="FF0000"/>
    </w:rPr>
  </w:style>
  <w:style w:type="paragraph" w:customStyle="1" w:styleId="ProcurementHeading1red">
    <w:name w:val="Procurement Heading 1 red"/>
    <w:basedOn w:val="Normal"/>
    <w:qFormat/>
    <w:rsid w:val="003C1E5E"/>
    <w:pPr>
      <w:widowControl w:val="0"/>
      <w:autoSpaceDE w:val="0"/>
      <w:autoSpaceDN w:val="0"/>
      <w:adjustRightInd w:val="0"/>
      <w:spacing w:before="100" w:beforeAutospacing="1" w:after="720"/>
      <w:ind w:left="641" w:hanging="641"/>
      <w:textAlignment w:val="center"/>
    </w:pPr>
    <w:rPr>
      <w:rFonts w:eastAsia="Cambria" w:cs="DIN-Medium"/>
      <w:color w:val="F40026"/>
      <w:sz w:val="52"/>
      <w:szCs w:val="56"/>
      <w:lang w:val="en-GB"/>
    </w:rPr>
  </w:style>
  <w:style w:type="paragraph" w:customStyle="1" w:styleId="ProcurementCoverTitle">
    <w:name w:val="Procurement Cover Title"/>
    <w:basedOn w:val="Normal"/>
    <w:qFormat/>
    <w:rsid w:val="003C1E5E"/>
    <w:pPr>
      <w:widowControl w:val="0"/>
      <w:autoSpaceDE w:val="0"/>
      <w:autoSpaceDN w:val="0"/>
      <w:adjustRightInd w:val="0"/>
      <w:spacing w:before="0" w:after="0"/>
      <w:jc w:val="right"/>
      <w:textAlignment w:val="center"/>
    </w:pPr>
    <w:rPr>
      <w:rFonts w:eastAsia="Cambria" w:cs="DIN-Medium"/>
      <w:color w:val="F40026"/>
      <w:sz w:val="58"/>
      <w:szCs w:val="58"/>
      <w:lang w:val="en-GB"/>
    </w:rPr>
  </w:style>
  <w:style w:type="paragraph" w:customStyle="1" w:styleId="Procurementheading3red">
    <w:name w:val="Procurement heading 3 red"/>
    <w:basedOn w:val="Normal"/>
    <w:qFormat/>
    <w:rsid w:val="003C1E5E"/>
    <w:pPr>
      <w:widowControl w:val="0"/>
      <w:suppressAutoHyphens/>
      <w:autoSpaceDE w:val="0"/>
      <w:autoSpaceDN w:val="0"/>
      <w:adjustRightInd w:val="0"/>
      <w:spacing w:before="113" w:after="113" w:line="288" w:lineRule="auto"/>
      <w:ind w:left="800" w:hanging="800"/>
      <w:textAlignment w:val="center"/>
      <w:outlineLvl w:val="0"/>
    </w:pPr>
    <w:rPr>
      <w:rFonts w:eastAsia="Cambria" w:cs="DIN-Medium"/>
      <w:b/>
      <w:color w:val="000000"/>
      <w:spacing w:val="-2"/>
      <w:sz w:val="28"/>
      <w:szCs w:val="24"/>
      <w:lang w:val="en-GB"/>
    </w:rPr>
  </w:style>
  <w:style w:type="paragraph" w:customStyle="1" w:styleId="Procurementheading4">
    <w:name w:val="Procurement heading 4"/>
    <w:basedOn w:val="Normal"/>
    <w:qFormat/>
    <w:rsid w:val="003C1E5E"/>
    <w:pPr>
      <w:widowControl w:val="0"/>
      <w:suppressAutoHyphens/>
      <w:autoSpaceDE w:val="0"/>
      <w:autoSpaceDN w:val="0"/>
      <w:adjustRightInd w:val="0"/>
      <w:spacing w:before="113" w:after="113" w:line="288" w:lineRule="auto"/>
      <w:ind w:left="800" w:hanging="800"/>
      <w:textAlignment w:val="center"/>
    </w:pPr>
    <w:rPr>
      <w:rFonts w:eastAsia="Cambria" w:cs="DIN-Regular"/>
      <w:color w:val="FF0000"/>
      <w:spacing w:val="-2"/>
      <w:sz w:val="24"/>
      <w:szCs w:val="22"/>
      <w:lang w:val="en-GB"/>
    </w:rPr>
  </w:style>
  <w:style w:type="paragraph" w:customStyle="1" w:styleId="ProcurementHeading5">
    <w:name w:val="Procurement Heading 5"/>
    <w:basedOn w:val="Procurementbodytext"/>
    <w:qFormat/>
    <w:rsid w:val="003C1E5E"/>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3C1E5E"/>
    <w:pPr>
      <w:spacing w:before="120" w:after="120"/>
    </w:pPr>
    <w:rPr>
      <w:b/>
      <w:color w:val="FFFFFF"/>
    </w:rPr>
  </w:style>
  <w:style w:type="paragraph" w:customStyle="1" w:styleId="ProcurementTableordiagramheading">
    <w:name w:val="Procurement Table or diagram heading"/>
    <w:basedOn w:val="Procurementheading2red"/>
    <w:qFormat/>
    <w:rsid w:val="003C1E5E"/>
    <w:pPr>
      <w:spacing w:after="120"/>
    </w:pPr>
    <w:rPr>
      <w:sz w:val="24"/>
    </w:rPr>
  </w:style>
  <w:style w:type="paragraph" w:customStyle="1" w:styleId="ProcurementTextforboxes">
    <w:name w:val="Procurement Text for boxes"/>
    <w:basedOn w:val="Procurementbodytext"/>
    <w:qFormat/>
    <w:rsid w:val="003C1E5E"/>
    <w:rPr>
      <w:color w:val="D71F30"/>
    </w:rPr>
  </w:style>
  <w:style w:type="paragraph" w:customStyle="1" w:styleId="NoParagraphStyle">
    <w:name w:val="[No Paragraph Style]"/>
    <w:rsid w:val="003C1E5E"/>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3C1E5E"/>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3C1E5E"/>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3C1E5E"/>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3C1E5E"/>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3C1E5E"/>
    <w:pPr>
      <w:spacing w:after="227"/>
    </w:pPr>
  </w:style>
  <w:style w:type="paragraph" w:customStyle="1" w:styleId="Body2">
    <w:name w:val="_Body2"/>
    <w:basedOn w:val="Normal"/>
    <w:uiPriority w:val="99"/>
    <w:rsid w:val="003C1E5E"/>
    <w:pPr>
      <w:widowControl w:val="0"/>
      <w:autoSpaceDE w:val="0"/>
      <w:autoSpaceDN w:val="0"/>
      <w:adjustRightInd w:val="0"/>
      <w:spacing w:before="0" w:after="113" w:line="240" w:lineRule="atLeast"/>
      <w:textAlignment w:val="center"/>
    </w:pPr>
    <w:rPr>
      <w:rFonts w:ascii="Calibri" w:eastAsia="Cambria" w:hAnsi="Calibri" w:cs="Calibri"/>
      <w:color w:val="000000"/>
      <w:sz w:val="22"/>
      <w:szCs w:val="22"/>
      <w:lang w:val="en-US"/>
    </w:rPr>
  </w:style>
  <w:style w:type="paragraph" w:customStyle="1" w:styleId="HA">
    <w:name w:val="_HA"/>
    <w:basedOn w:val="NoParagraphStyle"/>
    <w:next w:val="Normal"/>
    <w:uiPriority w:val="99"/>
    <w:rsid w:val="003C1E5E"/>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3C1E5E"/>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3C1E5E"/>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3C1E5E"/>
    <w:rPr>
      <w:sz w:val="20"/>
      <w:szCs w:val="20"/>
    </w:rPr>
  </w:style>
  <w:style w:type="paragraph" w:customStyle="1" w:styleId="TablebodyLTables">
    <w:name w:val="Table body L (Tables)"/>
    <w:basedOn w:val="NoParagraphStyle"/>
    <w:uiPriority w:val="99"/>
    <w:rsid w:val="003C1E5E"/>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3C1E5E"/>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3C1E5E"/>
    <w:rPr>
      <w:lang w:val="en-GB"/>
    </w:rPr>
  </w:style>
  <w:style w:type="paragraph" w:customStyle="1" w:styleId="TablebulletL1Tables">
    <w:name w:val="Table bullet_L1 (Tables)"/>
    <w:basedOn w:val="BasicParagraph"/>
    <w:uiPriority w:val="99"/>
    <w:rsid w:val="003C1E5E"/>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3C1E5E"/>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3C1E5E"/>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3C1E5E"/>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3C1E5E"/>
    <w:pPr>
      <w:ind w:left="510"/>
    </w:pPr>
  </w:style>
  <w:style w:type="paragraph" w:customStyle="1" w:styleId="ColorfulList-Accent11">
    <w:name w:val="Colorful List - Accent 11"/>
    <w:basedOn w:val="Normal"/>
    <w:uiPriority w:val="99"/>
    <w:rsid w:val="003C1E5E"/>
    <w:pPr>
      <w:widowControl w:val="0"/>
      <w:autoSpaceDE w:val="0"/>
      <w:autoSpaceDN w:val="0"/>
      <w:adjustRightInd w:val="0"/>
      <w:spacing w:before="0" w:after="0" w:line="288" w:lineRule="auto"/>
      <w:textAlignment w:val="center"/>
    </w:pPr>
    <w:rPr>
      <w:rFonts w:ascii="ArialNarrow" w:eastAsia="Cambria" w:hAnsi="ArialNarrow" w:cs="ArialNarrow"/>
      <w:color w:val="000000"/>
      <w:sz w:val="22"/>
      <w:szCs w:val="22"/>
      <w:lang w:val="en-US"/>
    </w:rPr>
  </w:style>
  <w:style w:type="character" w:customStyle="1" w:styleId="EndnoteReference1">
    <w:name w:val="Endnote Reference1"/>
    <w:uiPriority w:val="99"/>
    <w:rsid w:val="003C1E5E"/>
    <w:rPr>
      <w:w w:val="100"/>
      <w:vertAlign w:val="superscript"/>
    </w:rPr>
  </w:style>
  <w:style w:type="character" w:customStyle="1" w:styleId="WordImportedListStyle9StylesforWordRTFImportedLists">
    <w:name w:val="Word Imported List Style9 (Styles for Word/RTF Imported Lists)"/>
    <w:uiPriority w:val="99"/>
    <w:rsid w:val="003C1E5E"/>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3C1E5E"/>
    <w:rPr>
      <w:rFonts w:ascii="Wingdings" w:hAnsi="Wingdings" w:cs="Wingdings"/>
      <w:w w:val="100"/>
      <w:lang w:val="en-US"/>
    </w:rPr>
  </w:style>
  <w:style w:type="paragraph" w:customStyle="1" w:styleId="Imprintcopy">
    <w:name w:val="Imprint copy"/>
    <w:basedOn w:val="BasicParagraph"/>
    <w:uiPriority w:val="99"/>
    <w:rsid w:val="003C1E5E"/>
    <w:pPr>
      <w:spacing w:before="57" w:line="200" w:lineRule="atLeast"/>
    </w:pPr>
    <w:rPr>
      <w:rFonts w:ascii="Calibri" w:hAnsi="Calibri" w:cs="Calibri"/>
      <w:sz w:val="16"/>
      <w:szCs w:val="16"/>
    </w:rPr>
  </w:style>
  <w:style w:type="paragraph" w:customStyle="1" w:styleId="zFooter">
    <w:name w:val="_zFooter"/>
    <w:uiPriority w:val="99"/>
    <w:rsid w:val="003C1E5E"/>
    <w:pPr>
      <w:tabs>
        <w:tab w:val="right" w:pos="9639"/>
      </w:tabs>
      <w:spacing w:after="0" w:line="240" w:lineRule="auto"/>
      <w:jc w:val="center"/>
    </w:pPr>
    <w:rPr>
      <w:rFonts w:ascii="Calibri" w:eastAsia="Times New Roman" w:hAnsi="Calibri" w:cs="Times New Roman"/>
      <w:sz w:val="20"/>
      <w:szCs w:val="24"/>
    </w:rPr>
  </w:style>
  <w:style w:type="character" w:customStyle="1" w:styleId="zRptPgNum">
    <w:name w:val="_zRptPgNum"/>
    <w:uiPriority w:val="99"/>
    <w:rsid w:val="003C1E5E"/>
    <w:rPr>
      <w:rFonts w:ascii="Calibri" w:hAnsi="Calibri"/>
      <w:color w:val="228591"/>
      <w:sz w:val="16"/>
    </w:rPr>
  </w:style>
  <w:style w:type="paragraph" w:styleId="EndnoteText">
    <w:name w:val="endnote text"/>
    <w:basedOn w:val="Normal"/>
    <w:link w:val="EndnoteTextChar"/>
    <w:semiHidden/>
    <w:unhideWhenUsed/>
    <w:locked/>
    <w:rsid w:val="003C1E5E"/>
    <w:pPr>
      <w:spacing w:before="0" w:after="0"/>
    </w:pPr>
    <w:rPr>
      <w:rFonts w:asciiTheme="minorHAnsi" w:hAnsiTheme="minorHAnsi" w:cs="Arial"/>
      <w:color w:val="000000" w:themeColor="text1"/>
      <w:sz w:val="20"/>
      <w:lang w:eastAsia="en-AU"/>
    </w:rPr>
  </w:style>
  <w:style w:type="character" w:customStyle="1" w:styleId="EndnoteTextChar">
    <w:name w:val="Endnote Text Char"/>
    <w:basedOn w:val="DefaultParagraphFont"/>
    <w:link w:val="EndnoteText"/>
    <w:semiHidden/>
    <w:rsid w:val="003C1E5E"/>
    <w:rPr>
      <w:rFonts w:eastAsia="Times New Roman" w:cs="Arial"/>
      <w:color w:val="000000" w:themeColor="text1"/>
      <w:sz w:val="20"/>
      <w:szCs w:val="20"/>
      <w:lang w:eastAsia="en-AU"/>
    </w:rPr>
  </w:style>
  <w:style w:type="character" w:styleId="EndnoteReference">
    <w:name w:val="endnote reference"/>
    <w:basedOn w:val="DefaultParagraphFont"/>
    <w:semiHidden/>
    <w:unhideWhenUsed/>
    <w:locked/>
    <w:rsid w:val="003C1E5E"/>
    <w:rPr>
      <w:vertAlign w:val="superscript"/>
    </w:rPr>
  </w:style>
  <w:style w:type="paragraph" w:customStyle="1" w:styleId="Pa3">
    <w:name w:val="Pa3"/>
    <w:basedOn w:val="Normal"/>
    <w:next w:val="Normal"/>
    <w:uiPriority w:val="99"/>
    <w:rsid w:val="003C1E5E"/>
    <w:pPr>
      <w:autoSpaceDE w:val="0"/>
      <w:autoSpaceDN w:val="0"/>
      <w:adjustRightInd w:val="0"/>
      <w:spacing w:before="0" w:after="0" w:line="741" w:lineRule="atLeast"/>
    </w:pPr>
    <w:rPr>
      <w:rFonts w:ascii="HelveticaNeueLT Pro 75 Bd" w:eastAsiaTheme="minorHAnsi" w:hAnsi="HelveticaNeueLT Pro 75 Bd"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450158">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ngage.vic.gov.au/local-government-act-2020" TargetMode="External"/><Relationship Id="rId26"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ocalgovernment.vic.gov.au" TargetMode="External"/><Relationship Id="rId25" Type="http://schemas.openxmlformats.org/officeDocument/2006/relationships/hyperlink" Target="https://www.localgovernment.vic.gov.au/strengthening-councils/sector-guidance-planning-and-reporting"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cid:image005.png@01D6AC41.DD3702F0" TargetMode="External"/><Relationship Id="rId29" Type="http://schemas.openxmlformats.org/officeDocument/2006/relationships/hyperlink" Target="https://www.localgovernment.vic.gov.au/strengthening-councils/sector-guidance-planning-and-report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asb.gov.au/pronouncements/accounting-standards/" TargetMode="External"/><Relationship Id="rId32" Type="http://schemas.openxmlformats.org/officeDocument/2006/relationships/hyperlink" Target="https://www.audit.vic.gov.au/report/results-2020-21-audits-local-governmen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localgovernment.vic.gov.au/strengthening-councils/sector-guidance-planning-and-reporting"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dtf.vic.gov.au/model-report/2020-21-mode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0.png"/><Relationship Id="rId27" Type="http://schemas.openxmlformats.org/officeDocument/2006/relationships/hyperlink" Target="https://www.localgovernment.vic.gov.au/strengthening-councils/sector-guidance-planning-and-reporting" TargetMode="External"/><Relationship Id="rId30" Type="http://schemas.openxmlformats.org/officeDocument/2006/relationships/hyperlink" Target="https://www.localgovernment.vic.gov.au/strengthening-councils/sector-guidance-planning-and-reporting"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9CABB160704F899A7777A7B83D51EA"/>
        <w:category>
          <w:name w:val="General"/>
          <w:gallery w:val="placeholder"/>
        </w:category>
        <w:types>
          <w:type w:val="bbPlcHdr"/>
        </w:types>
        <w:behaviors>
          <w:behavior w:val="content"/>
        </w:behaviors>
        <w:guid w:val="{D11A988A-08E0-4A47-9705-41B1F4D69FE9}"/>
      </w:docPartPr>
      <w:docPartBody>
        <w:p w:rsidR="0028502C" w:rsidRDefault="0051240D">
          <w:pPr>
            <w:pStyle w:val="689CABB160704F899A7777A7B83D51EA"/>
          </w:pPr>
          <w:r w:rsidRPr="00DF7534">
            <w:rPr>
              <w:rStyle w:val="TitleChar"/>
              <w:rFonts w:eastAsiaTheme="minorEastAsia"/>
              <w:color w:val="FFFFFF" w:themeColor="background1"/>
              <w:lang w:eastAsia="en-US"/>
            </w:rPr>
            <w:t>Place heading here</w:t>
          </w:r>
        </w:p>
      </w:docPartBody>
    </w:docPart>
    <w:docPart>
      <w:docPartPr>
        <w:name w:val="A11BCFD98E62477F863292940A73BC0B"/>
        <w:category>
          <w:name w:val="General"/>
          <w:gallery w:val="placeholder"/>
        </w:category>
        <w:types>
          <w:type w:val="bbPlcHdr"/>
        </w:types>
        <w:behaviors>
          <w:behavior w:val="content"/>
        </w:behaviors>
        <w:guid w:val="{448E8F79-E294-4C49-BD8E-FE3602BAAD9C}"/>
      </w:docPartPr>
      <w:docPartBody>
        <w:p w:rsidR="0028502C" w:rsidRDefault="0051240D">
          <w:pPr>
            <w:pStyle w:val="A11BCFD98E62477F863292940A73BC0B"/>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2C"/>
    <w:rsid w:val="0017691A"/>
    <w:rsid w:val="0028502C"/>
    <w:rsid w:val="0033558A"/>
    <w:rsid w:val="003D118D"/>
    <w:rsid w:val="00420C9D"/>
    <w:rsid w:val="004F7F1B"/>
    <w:rsid w:val="0051240D"/>
    <w:rsid w:val="005F6D33"/>
    <w:rsid w:val="00965FE6"/>
    <w:rsid w:val="00C659D7"/>
    <w:rsid w:val="00F353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689CABB160704F899A7777A7B83D51EA">
    <w:name w:val="689CABB160704F899A7777A7B83D51EA"/>
  </w:style>
  <w:style w:type="paragraph" w:customStyle="1" w:styleId="A11BCFD98E62477F863292940A73BC0B">
    <w:name w:val="A11BCFD98E62477F863292940A73BC0B"/>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49" ma:contentTypeDescription="" ma:contentTypeScope="" ma:versionID="f103380babc9534ca0d382118246c315">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107241a5af462ef549f366fb34142eac"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E228E-C707-481B-8FCC-06DF3E15CA5C}">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DC2DE868-E7B9-44AF-8A85-471664677734}">
  <ds:schemaRefs>
    <ds:schemaRef ds:uri="http://schemas.microsoft.com/sharepoint/v3/contenttype/forms"/>
  </ds:schemaRefs>
</ds:datastoreItem>
</file>

<file path=customXml/itemProps3.xml><?xml version="1.0" encoding="utf-8"?>
<ds:datastoreItem xmlns:ds="http://schemas.openxmlformats.org/officeDocument/2006/customXml" ds:itemID="{972CC994-93B9-44AE-A627-2DBD2789B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CA4C31-4D78-495E-8FC8-D92F419B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Report-A4-Portrait-with-image.dotx</Template>
  <TotalTime>0</TotalTime>
  <Pages>17</Pages>
  <Words>3580</Words>
  <Characters>20410</Characters>
  <Application>Microsoft Office Word</Application>
  <DocSecurity>2</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23943</CharactersWithSpaces>
  <SharedDoc>false</SharedDoc>
  <HLinks>
    <vt:vector size="222" baseType="variant">
      <vt:variant>
        <vt:i4>5832708</vt:i4>
      </vt:variant>
      <vt:variant>
        <vt:i4>165</vt:i4>
      </vt:variant>
      <vt:variant>
        <vt:i4>0</vt:i4>
      </vt:variant>
      <vt:variant>
        <vt:i4>5</vt:i4>
      </vt:variant>
      <vt:variant>
        <vt:lpwstr>https://www.audit.vic.gov.au/sites/default/files/2019-11/20191127-Local-Government-report.pdf</vt:lpwstr>
      </vt:variant>
      <vt:variant>
        <vt:lpwstr/>
      </vt:variant>
      <vt:variant>
        <vt:i4>1441875</vt:i4>
      </vt:variant>
      <vt:variant>
        <vt:i4>162</vt:i4>
      </vt:variant>
      <vt:variant>
        <vt:i4>0</vt:i4>
      </vt:variant>
      <vt:variant>
        <vt:i4>5</vt:i4>
      </vt:variant>
      <vt:variant>
        <vt:lpwstr>https://www.dtf.vic.gov.au/model-report/2018-19-model-report</vt:lpwstr>
      </vt:variant>
      <vt:variant>
        <vt:lpwstr/>
      </vt:variant>
      <vt:variant>
        <vt:i4>524307</vt:i4>
      </vt:variant>
      <vt:variant>
        <vt:i4>159</vt:i4>
      </vt:variant>
      <vt:variant>
        <vt:i4>0</vt:i4>
      </vt:variant>
      <vt:variant>
        <vt:i4>5</vt:i4>
      </vt:variant>
      <vt:variant>
        <vt:lpwstr>https://www.localgovernment.vic.gov.au/strengthening-councils/sector-guidance-planning-and-reporting</vt:lpwstr>
      </vt:variant>
      <vt:variant>
        <vt:lpwstr/>
      </vt:variant>
      <vt:variant>
        <vt:i4>524307</vt:i4>
      </vt:variant>
      <vt:variant>
        <vt:i4>156</vt:i4>
      </vt:variant>
      <vt:variant>
        <vt:i4>0</vt:i4>
      </vt:variant>
      <vt:variant>
        <vt:i4>5</vt:i4>
      </vt:variant>
      <vt:variant>
        <vt:lpwstr>https://www.localgovernment.vic.gov.au/strengthening-councils/sector-guidance-planning-and-reporting</vt:lpwstr>
      </vt:variant>
      <vt:variant>
        <vt:lpwstr/>
      </vt:variant>
      <vt:variant>
        <vt:i4>524307</vt:i4>
      </vt:variant>
      <vt:variant>
        <vt:i4>153</vt:i4>
      </vt:variant>
      <vt:variant>
        <vt:i4>0</vt:i4>
      </vt:variant>
      <vt:variant>
        <vt:i4>5</vt:i4>
      </vt:variant>
      <vt:variant>
        <vt:lpwstr>https://www.localgovernment.vic.gov.au/strengthening-councils/sector-guidance-planning-and-reporting</vt:lpwstr>
      </vt:variant>
      <vt:variant>
        <vt:lpwstr/>
      </vt:variant>
      <vt:variant>
        <vt:i4>524307</vt:i4>
      </vt:variant>
      <vt:variant>
        <vt:i4>150</vt:i4>
      </vt:variant>
      <vt:variant>
        <vt:i4>0</vt:i4>
      </vt:variant>
      <vt:variant>
        <vt:i4>5</vt:i4>
      </vt:variant>
      <vt:variant>
        <vt:lpwstr>https://www.localgovernment.vic.gov.au/strengthening-councils/sector-guidance-planning-and-reporting</vt:lpwstr>
      </vt:variant>
      <vt:variant>
        <vt:lpwstr/>
      </vt:variant>
      <vt:variant>
        <vt:i4>524307</vt:i4>
      </vt:variant>
      <vt:variant>
        <vt:i4>147</vt:i4>
      </vt:variant>
      <vt:variant>
        <vt:i4>0</vt:i4>
      </vt:variant>
      <vt:variant>
        <vt:i4>5</vt:i4>
      </vt:variant>
      <vt:variant>
        <vt:lpwstr>https://www.localgovernment.vic.gov.au/strengthening-councils/sector-guidance-planning-and-reporting</vt:lpwstr>
      </vt:variant>
      <vt:variant>
        <vt:lpwstr/>
      </vt:variant>
      <vt:variant>
        <vt:i4>524307</vt:i4>
      </vt:variant>
      <vt:variant>
        <vt:i4>144</vt:i4>
      </vt:variant>
      <vt:variant>
        <vt:i4>0</vt:i4>
      </vt:variant>
      <vt:variant>
        <vt:i4>5</vt:i4>
      </vt:variant>
      <vt:variant>
        <vt:lpwstr>https://www.localgovernment.vic.gov.au/strengthening-councils/sector-guidance-planning-and-reporting</vt:lpwstr>
      </vt:variant>
      <vt:variant>
        <vt:lpwstr/>
      </vt:variant>
      <vt:variant>
        <vt:i4>1572880</vt:i4>
      </vt:variant>
      <vt:variant>
        <vt:i4>141</vt:i4>
      </vt:variant>
      <vt:variant>
        <vt:i4>0</vt:i4>
      </vt:variant>
      <vt:variant>
        <vt:i4>5</vt:i4>
      </vt:variant>
      <vt:variant>
        <vt:lpwstr>http://www.aasb.gov.au/pronouncements/current-standards.aspx</vt:lpwstr>
      </vt:variant>
      <vt:variant>
        <vt:lpwstr/>
      </vt:variant>
      <vt:variant>
        <vt:i4>524307</vt:i4>
      </vt:variant>
      <vt:variant>
        <vt:i4>138</vt:i4>
      </vt:variant>
      <vt:variant>
        <vt:i4>0</vt:i4>
      </vt:variant>
      <vt:variant>
        <vt:i4>5</vt:i4>
      </vt:variant>
      <vt:variant>
        <vt:lpwstr>https://www.localgovernment.vic.gov.au/strengthening-councils/sector-guidance-planning-and-reporting</vt:lpwstr>
      </vt:variant>
      <vt:variant>
        <vt:lpwstr/>
      </vt:variant>
      <vt:variant>
        <vt:i4>524307</vt:i4>
      </vt:variant>
      <vt:variant>
        <vt:i4>135</vt:i4>
      </vt:variant>
      <vt:variant>
        <vt:i4>0</vt:i4>
      </vt:variant>
      <vt:variant>
        <vt:i4>5</vt:i4>
      </vt:variant>
      <vt:variant>
        <vt:lpwstr>https://www.localgovernment.vic.gov.au/strengthening-councils/sector-guidance-planning-and-reporting</vt:lpwstr>
      </vt:variant>
      <vt:variant>
        <vt:lpwstr/>
      </vt:variant>
      <vt:variant>
        <vt:i4>1441875</vt:i4>
      </vt:variant>
      <vt:variant>
        <vt:i4>132</vt:i4>
      </vt:variant>
      <vt:variant>
        <vt:i4>0</vt:i4>
      </vt:variant>
      <vt:variant>
        <vt:i4>5</vt:i4>
      </vt:variant>
      <vt:variant>
        <vt:lpwstr>https://www.dtf.vic.gov.au/model-report/2018-19-model-report</vt:lpwstr>
      </vt:variant>
      <vt:variant>
        <vt:lpwstr/>
      </vt:variant>
      <vt:variant>
        <vt:i4>5832781</vt:i4>
      </vt:variant>
      <vt:variant>
        <vt:i4>129</vt:i4>
      </vt:variant>
      <vt:variant>
        <vt:i4>0</vt:i4>
      </vt:variant>
      <vt:variant>
        <vt:i4>5</vt:i4>
      </vt:variant>
      <vt:variant>
        <vt:lpwstr>https://www.localgovernment.vic.gov.au/strengthening-councils/procurement/financial-and-asset-management</vt:lpwstr>
      </vt:variant>
      <vt:variant>
        <vt:lpwstr/>
      </vt:variant>
      <vt:variant>
        <vt:i4>5832781</vt:i4>
      </vt:variant>
      <vt:variant>
        <vt:i4>126</vt:i4>
      </vt:variant>
      <vt:variant>
        <vt:i4>0</vt:i4>
      </vt:variant>
      <vt:variant>
        <vt:i4>5</vt:i4>
      </vt:variant>
      <vt:variant>
        <vt:lpwstr>https://www.localgovernment.vic.gov.au/strengthening-councils/procurement/financial-and-asset-management</vt:lpwstr>
      </vt:variant>
      <vt:variant>
        <vt:lpwstr/>
      </vt:variant>
      <vt:variant>
        <vt:i4>524307</vt:i4>
      </vt:variant>
      <vt:variant>
        <vt:i4>123</vt:i4>
      </vt:variant>
      <vt:variant>
        <vt:i4>0</vt:i4>
      </vt:variant>
      <vt:variant>
        <vt:i4>5</vt:i4>
      </vt:variant>
      <vt:variant>
        <vt:lpwstr>https://www.localgovernment.vic.gov.au/strengthening-councils/sector-guidance-planning-and-reporting</vt:lpwstr>
      </vt:variant>
      <vt:variant>
        <vt:lpwstr/>
      </vt:variant>
      <vt:variant>
        <vt:i4>524307</vt:i4>
      </vt:variant>
      <vt:variant>
        <vt:i4>120</vt:i4>
      </vt:variant>
      <vt:variant>
        <vt:i4>0</vt:i4>
      </vt:variant>
      <vt:variant>
        <vt:i4>5</vt:i4>
      </vt:variant>
      <vt:variant>
        <vt:lpwstr>https://www.localgovernment.vic.gov.au/strengthening-councils/sector-guidance-planning-and-reporting</vt:lpwstr>
      </vt:variant>
      <vt:variant>
        <vt:lpwstr/>
      </vt:variant>
      <vt:variant>
        <vt:i4>1441875</vt:i4>
      </vt:variant>
      <vt:variant>
        <vt:i4>117</vt:i4>
      </vt:variant>
      <vt:variant>
        <vt:i4>0</vt:i4>
      </vt:variant>
      <vt:variant>
        <vt:i4>5</vt:i4>
      </vt:variant>
      <vt:variant>
        <vt:lpwstr>https://www.dtf.vic.gov.au/model-report/2018-19-model-report</vt:lpwstr>
      </vt:variant>
      <vt:variant>
        <vt:lpwstr/>
      </vt:variant>
      <vt:variant>
        <vt:i4>7471144</vt:i4>
      </vt:variant>
      <vt:variant>
        <vt:i4>114</vt:i4>
      </vt:variant>
      <vt:variant>
        <vt:i4>0</vt:i4>
      </vt:variant>
      <vt:variant>
        <vt:i4>5</vt:i4>
      </vt:variant>
      <vt:variant>
        <vt:lpwstr>https://engage.vic.gov.au/local-government-act-2020</vt:lpwstr>
      </vt:variant>
      <vt:variant>
        <vt:lpwstr/>
      </vt:variant>
      <vt:variant>
        <vt:i4>7798883</vt:i4>
      </vt:variant>
      <vt:variant>
        <vt:i4>111</vt:i4>
      </vt:variant>
      <vt:variant>
        <vt:i4>0</vt:i4>
      </vt:variant>
      <vt:variant>
        <vt:i4>5</vt:i4>
      </vt:variant>
      <vt:variant>
        <vt:lpwstr>http://www.localgovernment.vic.gov.au/</vt:lpwstr>
      </vt:variant>
      <vt:variant>
        <vt:lpwstr/>
      </vt:variant>
      <vt:variant>
        <vt:i4>1572923</vt:i4>
      </vt:variant>
      <vt:variant>
        <vt:i4>104</vt:i4>
      </vt:variant>
      <vt:variant>
        <vt:i4>0</vt:i4>
      </vt:variant>
      <vt:variant>
        <vt:i4>5</vt:i4>
      </vt:variant>
      <vt:variant>
        <vt:lpwstr/>
      </vt:variant>
      <vt:variant>
        <vt:lpwstr>_Toc57815138</vt:lpwstr>
      </vt:variant>
      <vt:variant>
        <vt:i4>1507387</vt:i4>
      </vt:variant>
      <vt:variant>
        <vt:i4>98</vt:i4>
      </vt:variant>
      <vt:variant>
        <vt:i4>0</vt:i4>
      </vt:variant>
      <vt:variant>
        <vt:i4>5</vt:i4>
      </vt:variant>
      <vt:variant>
        <vt:lpwstr/>
      </vt:variant>
      <vt:variant>
        <vt:lpwstr>_Toc57815137</vt:lpwstr>
      </vt:variant>
      <vt:variant>
        <vt:i4>1441851</vt:i4>
      </vt:variant>
      <vt:variant>
        <vt:i4>92</vt:i4>
      </vt:variant>
      <vt:variant>
        <vt:i4>0</vt:i4>
      </vt:variant>
      <vt:variant>
        <vt:i4>5</vt:i4>
      </vt:variant>
      <vt:variant>
        <vt:lpwstr/>
      </vt:variant>
      <vt:variant>
        <vt:lpwstr>_Toc57815136</vt:lpwstr>
      </vt:variant>
      <vt:variant>
        <vt:i4>1376315</vt:i4>
      </vt:variant>
      <vt:variant>
        <vt:i4>86</vt:i4>
      </vt:variant>
      <vt:variant>
        <vt:i4>0</vt:i4>
      </vt:variant>
      <vt:variant>
        <vt:i4>5</vt:i4>
      </vt:variant>
      <vt:variant>
        <vt:lpwstr/>
      </vt:variant>
      <vt:variant>
        <vt:lpwstr>_Toc57815135</vt:lpwstr>
      </vt:variant>
      <vt:variant>
        <vt:i4>1310779</vt:i4>
      </vt:variant>
      <vt:variant>
        <vt:i4>80</vt:i4>
      </vt:variant>
      <vt:variant>
        <vt:i4>0</vt:i4>
      </vt:variant>
      <vt:variant>
        <vt:i4>5</vt:i4>
      </vt:variant>
      <vt:variant>
        <vt:lpwstr/>
      </vt:variant>
      <vt:variant>
        <vt:lpwstr>_Toc57815134</vt:lpwstr>
      </vt:variant>
      <vt:variant>
        <vt:i4>1245243</vt:i4>
      </vt:variant>
      <vt:variant>
        <vt:i4>74</vt:i4>
      </vt:variant>
      <vt:variant>
        <vt:i4>0</vt:i4>
      </vt:variant>
      <vt:variant>
        <vt:i4>5</vt:i4>
      </vt:variant>
      <vt:variant>
        <vt:lpwstr/>
      </vt:variant>
      <vt:variant>
        <vt:lpwstr>_Toc57815133</vt:lpwstr>
      </vt:variant>
      <vt:variant>
        <vt:i4>1179707</vt:i4>
      </vt:variant>
      <vt:variant>
        <vt:i4>68</vt:i4>
      </vt:variant>
      <vt:variant>
        <vt:i4>0</vt:i4>
      </vt:variant>
      <vt:variant>
        <vt:i4>5</vt:i4>
      </vt:variant>
      <vt:variant>
        <vt:lpwstr/>
      </vt:variant>
      <vt:variant>
        <vt:lpwstr>_Toc57815132</vt:lpwstr>
      </vt:variant>
      <vt:variant>
        <vt:i4>1114171</vt:i4>
      </vt:variant>
      <vt:variant>
        <vt:i4>62</vt:i4>
      </vt:variant>
      <vt:variant>
        <vt:i4>0</vt:i4>
      </vt:variant>
      <vt:variant>
        <vt:i4>5</vt:i4>
      </vt:variant>
      <vt:variant>
        <vt:lpwstr/>
      </vt:variant>
      <vt:variant>
        <vt:lpwstr>_Toc57815131</vt:lpwstr>
      </vt:variant>
      <vt:variant>
        <vt:i4>1048635</vt:i4>
      </vt:variant>
      <vt:variant>
        <vt:i4>56</vt:i4>
      </vt:variant>
      <vt:variant>
        <vt:i4>0</vt:i4>
      </vt:variant>
      <vt:variant>
        <vt:i4>5</vt:i4>
      </vt:variant>
      <vt:variant>
        <vt:lpwstr/>
      </vt:variant>
      <vt:variant>
        <vt:lpwstr>_Toc57815130</vt:lpwstr>
      </vt:variant>
      <vt:variant>
        <vt:i4>1638458</vt:i4>
      </vt:variant>
      <vt:variant>
        <vt:i4>50</vt:i4>
      </vt:variant>
      <vt:variant>
        <vt:i4>0</vt:i4>
      </vt:variant>
      <vt:variant>
        <vt:i4>5</vt:i4>
      </vt:variant>
      <vt:variant>
        <vt:lpwstr/>
      </vt:variant>
      <vt:variant>
        <vt:lpwstr>_Toc57815129</vt:lpwstr>
      </vt:variant>
      <vt:variant>
        <vt:i4>1572922</vt:i4>
      </vt:variant>
      <vt:variant>
        <vt:i4>44</vt:i4>
      </vt:variant>
      <vt:variant>
        <vt:i4>0</vt:i4>
      </vt:variant>
      <vt:variant>
        <vt:i4>5</vt:i4>
      </vt:variant>
      <vt:variant>
        <vt:lpwstr/>
      </vt:variant>
      <vt:variant>
        <vt:lpwstr>_Toc57815128</vt:lpwstr>
      </vt:variant>
      <vt:variant>
        <vt:i4>1507386</vt:i4>
      </vt:variant>
      <vt:variant>
        <vt:i4>38</vt:i4>
      </vt:variant>
      <vt:variant>
        <vt:i4>0</vt:i4>
      </vt:variant>
      <vt:variant>
        <vt:i4>5</vt:i4>
      </vt:variant>
      <vt:variant>
        <vt:lpwstr/>
      </vt:variant>
      <vt:variant>
        <vt:lpwstr>_Toc57815127</vt:lpwstr>
      </vt:variant>
      <vt:variant>
        <vt:i4>1441850</vt:i4>
      </vt:variant>
      <vt:variant>
        <vt:i4>32</vt:i4>
      </vt:variant>
      <vt:variant>
        <vt:i4>0</vt:i4>
      </vt:variant>
      <vt:variant>
        <vt:i4>5</vt:i4>
      </vt:variant>
      <vt:variant>
        <vt:lpwstr/>
      </vt:variant>
      <vt:variant>
        <vt:lpwstr>_Toc57815126</vt:lpwstr>
      </vt:variant>
      <vt:variant>
        <vt:i4>1376314</vt:i4>
      </vt:variant>
      <vt:variant>
        <vt:i4>26</vt:i4>
      </vt:variant>
      <vt:variant>
        <vt:i4>0</vt:i4>
      </vt:variant>
      <vt:variant>
        <vt:i4>5</vt:i4>
      </vt:variant>
      <vt:variant>
        <vt:lpwstr/>
      </vt:variant>
      <vt:variant>
        <vt:lpwstr>_Toc57815125</vt:lpwstr>
      </vt:variant>
      <vt:variant>
        <vt:i4>1310778</vt:i4>
      </vt:variant>
      <vt:variant>
        <vt:i4>20</vt:i4>
      </vt:variant>
      <vt:variant>
        <vt:i4>0</vt:i4>
      </vt:variant>
      <vt:variant>
        <vt:i4>5</vt:i4>
      </vt:variant>
      <vt:variant>
        <vt:lpwstr/>
      </vt:variant>
      <vt:variant>
        <vt:lpwstr>_Toc57815124</vt:lpwstr>
      </vt:variant>
      <vt:variant>
        <vt:i4>1245242</vt:i4>
      </vt:variant>
      <vt:variant>
        <vt:i4>14</vt:i4>
      </vt:variant>
      <vt:variant>
        <vt:i4>0</vt:i4>
      </vt:variant>
      <vt:variant>
        <vt:i4>5</vt:i4>
      </vt:variant>
      <vt:variant>
        <vt:lpwstr/>
      </vt:variant>
      <vt:variant>
        <vt:lpwstr>_Toc57815123</vt:lpwstr>
      </vt:variant>
      <vt:variant>
        <vt:i4>1179706</vt:i4>
      </vt:variant>
      <vt:variant>
        <vt:i4>8</vt:i4>
      </vt:variant>
      <vt:variant>
        <vt:i4>0</vt:i4>
      </vt:variant>
      <vt:variant>
        <vt:i4>5</vt:i4>
      </vt:variant>
      <vt:variant>
        <vt:lpwstr/>
      </vt:variant>
      <vt:variant>
        <vt:lpwstr>_Toc57815122</vt:lpwstr>
      </vt:variant>
      <vt:variant>
        <vt:i4>1114170</vt:i4>
      </vt:variant>
      <vt:variant>
        <vt:i4>2</vt:i4>
      </vt:variant>
      <vt:variant>
        <vt:i4>0</vt:i4>
      </vt:variant>
      <vt:variant>
        <vt:i4>5</vt:i4>
      </vt:variant>
      <vt:variant>
        <vt:lpwstr/>
      </vt:variant>
      <vt:variant>
        <vt:lpwstr>_Toc57815121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2022-01-30T23:22:00Z</dcterms:created>
  <dcterms:modified xsi:type="dcterms:W3CDTF">2022-02-22T10:32:00Z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0x010100831AB7F96AEF13458F043989706E7E3E00031367038B5C4246BE55A60A950250D8</vt:lpwstr>
  </property>
</Properties>
</file>