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60" w:rsidRPr="0073355D" w:rsidRDefault="00F75A60" w:rsidP="00F75A60">
      <w:pPr>
        <w:autoSpaceDE w:val="0"/>
        <w:autoSpaceDN w:val="0"/>
        <w:adjustRightInd w:val="0"/>
        <w:spacing w:after="0" w:line="240" w:lineRule="auto"/>
        <w:rPr>
          <w:rFonts w:cs="Calibri"/>
          <w:b/>
          <w:sz w:val="32"/>
          <w:szCs w:val="32"/>
        </w:rPr>
      </w:pPr>
      <w:r w:rsidRPr="0073355D">
        <w:rPr>
          <w:rFonts w:cs="Calibri"/>
          <w:b/>
          <w:sz w:val="32"/>
          <w:szCs w:val="32"/>
        </w:rPr>
        <w:t>Collaborating Councils</w:t>
      </w:r>
    </w:p>
    <w:p w:rsidR="00F75A60" w:rsidRPr="0073355D" w:rsidRDefault="00F75A60" w:rsidP="00F75A60">
      <w:pPr>
        <w:autoSpaceDE w:val="0"/>
        <w:autoSpaceDN w:val="0"/>
        <w:adjustRightInd w:val="0"/>
        <w:spacing w:after="0" w:line="240" w:lineRule="auto"/>
        <w:rPr>
          <w:rFonts w:cs="Calibri"/>
          <w:b/>
          <w:sz w:val="28"/>
          <w:szCs w:val="28"/>
        </w:rPr>
      </w:pPr>
      <w:r>
        <w:rPr>
          <w:rFonts w:cs="Calibri"/>
          <w:b/>
          <w:sz w:val="28"/>
          <w:szCs w:val="28"/>
        </w:rPr>
        <w:t>Procurement Unit Co-location Trial 2016</w:t>
      </w:r>
    </w:p>
    <w:p w:rsidR="00F75A60" w:rsidRPr="0073355D" w:rsidRDefault="00F75A60" w:rsidP="00F75A60">
      <w:pPr>
        <w:autoSpaceDE w:val="0"/>
        <w:autoSpaceDN w:val="0"/>
        <w:adjustRightInd w:val="0"/>
        <w:spacing w:after="0" w:line="240" w:lineRule="auto"/>
        <w:rPr>
          <w:rFonts w:cs="Calibri"/>
          <w:b/>
          <w:sz w:val="24"/>
          <w:szCs w:val="24"/>
        </w:rPr>
      </w:pPr>
    </w:p>
    <w:p w:rsidR="00F75A60" w:rsidRPr="0073355D" w:rsidRDefault="00F75A60" w:rsidP="00F75A60">
      <w:pPr>
        <w:autoSpaceDE w:val="0"/>
        <w:autoSpaceDN w:val="0"/>
        <w:adjustRightInd w:val="0"/>
        <w:spacing w:after="0" w:line="240" w:lineRule="auto"/>
        <w:rPr>
          <w:rFonts w:cs="Calibri"/>
          <w:b/>
          <w:sz w:val="24"/>
          <w:szCs w:val="24"/>
        </w:rPr>
      </w:pPr>
      <w:r w:rsidRPr="0073355D">
        <w:rPr>
          <w:rFonts w:cs="Calibri"/>
          <w:b/>
          <w:sz w:val="24"/>
          <w:szCs w:val="24"/>
        </w:rPr>
        <w:t>Improving the way local councils buy goods and services to support their communities increases capacity and performance and provides better value for residents and ratepayers.</w:t>
      </w:r>
    </w:p>
    <w:p w:rsidR="00F75A60" w:rsidRDefault="00F75A60" w:rsidP="00F75A60">
      <w:pPr>
        <w:pStyle w:val="Default"/>
        <w:spacing w:line="241" w:lineRule="atLeast"/>
        <w:rPr>
          <w:rStyle w:val="A1"/>
          <w:rFonts w:cstheme="minorBidi"/>
          <w:b/>
          <w:color w:val="auto"/>
          <w:sz w:val="28"/>
          <w:szCs w:val="28"/>
        </w:rPr>
      </w:pPr>
    </w:p>
    <w:p w:rsidR="00F75A60" w:rsidRPr="00F75A60" w:rsidRDefault="00F75A60" w:rsidP="00F75A60">
      <w:pPr>
        <w:pStyle w:val="Default"/>
        <w:spacing w:before="80" w:after="280" w:line="241" w:lineRule="atLeast"/>
        <w:rPr>
          <w:rFonts w:cstheme="minorBidi"/>
          <w:b/>
          <w:color w:val="auto"/>
          <w:sz w:val="28"/>
          <w:szCs w:val="28"/>
        </w:rPr>
      </w:pPr>
      <w:r w:rsidRPr="00F75A60">
        <w:rPr>
          <w:rStyle w:val="A1"/>
          <w:rFonts w:cstheme="minorBidi"/>
          <w:b/>
          <w:color w:val="auto"/>
          <w:sz w:val="28"/>
          <w:szCs w:val="28"/>
        </w:rPr>
        <w:t>Participating councils</w:t>
      </w:r>
    </w:p>
    <w:p w:rsidR="00F75A60" w:rsidRDefault="00F75A60" w:rsidP="00F75A60">
      <w:pPr>
        <w:pStyle w:val="Default"/>
        <w:numPr>
          <w:ilvl w:val="0"/>
          <w:numId w:val="2"/>
        </w:numPr>
        <w:tabs>
          <w:tab w:val="left" w:pos="284"/>
        </w:tabs>
        <w:spacing w:after="91"/>
        <w:rPr>
          <w:color w:val="auto"/>
          <w:sz w:val="22"/>
          <w:szCs w:val="22"/>
        </w:rPr>
      </w:pPr>
      <w:r>
        <w:rPr>
          <w:b/>
          <w:bCs/>
          <w:color w:val="auto"/>
          <w:sz w:val="22"/>
          <w:szCs w:val="22"/>
        </w:rPr>
        <w:t xml:space="preserve">Central Goldfields Shire Council </w:t>
      </w:r>
    </w:p>
    <w:p w:rsidR="00F75A60" w:rsidRDefault="00F75A60" w:rsidP="00F75A60">
      <w:pPr>
        <w:pStyle w:val="Default"/>
        <w:numPr>
          <w:ilvl w:val="0"/>
          <w:numId w:val="2"/>
        </w:numPr>
        <w:tabs>
          <w:tab w:val="left" w:pos="284"/>
        </w:tabs>
        <w:rPr>
          <w:color w:val="auto"/>
          <w:sz w:val="22"/>
          <w:szCs w:val="22"/>
        </w:rPr>
      </w:pPr>
      <w:r>
        <w:rPr>
          <w:b/>
          <w:bCs/>
          <w:color w:val="auto"/>
          <w:sz w:val="22"/>
          <w:szCs w:val="22"/>
        </w:rPr>
        <w:t>Greater Bendigo City Council</w:t>
      </w:r>
    </w:p>
    <w:p w:rsidR="00F75A60" w:rsidRDefault="00F75A60" w:rsidP="00F75A60">
      <w:pPr>
        <w:pStyle w:val="Default"/>
        <w:rPr>
          <w:color w:val="auto"/>
          <w:sz w:val="22"/>
          <w:szCs w:val="22"/>
        </w:rPr>
      </w:pPr>
    </w:p>
    <w:p w:rsidR="00F75A60" w:rsidRDefault="00F75A60" w:rsidP="00F75A60">
      <w:pPr>
        <w:pStyle w:val="Default"/>
        <w:spacing w:before="160" w:after="100" w:line="221" w:lineRule="atLeast"/>
        <w:rPr>
          <w:color w:val="auto"/>
          <w:sz w:val="28"/>
          <w:szCs w:val="28"/>
        </w:rPr>
      </w:pPr>
      <w:r>
        <w:rPr>
          <w:rStyle w:val="A4"/>
          <w:color w:val="auto"/>
        </w:rPr>
        <w:t>Process</w:t>
      </w:r>
    </w:p>
    <w:p w:rsidR="00F75A60" w:rsidRDefault="00F75A60" w:rsidP="00F75A60">
      <w:pPr>
        <w:pStyle w:val="Pa3"/>
        <w:spacing w:after="160"/>
        <w:rPr>
          <w:rFonts w:cs="Calibri"/>
          <w:sz w:val="22"/>
          <w:szCs w:val="22"/>
        </w:rPr>
      </w:pPr>
      <w:r>
        <w:rPr>
          <w:rFonts w:cs="Calibri"/>
          <w:sz w:val="22"/>
          <w:szCs w:val="22"/>
        </w:rPr>
        <w:t xml:space="preserve">These councils are trialling a six-month co-location project to provide a platform for a shared procurement service before potentially proceeding to a permanent arrangement. </w:t>
      </w:r>
    </w:p>
    <w:p w:rsidR="00F75A60" w:rsidRDefault="00F75A60" w:rsidP="00F75A60">
      <w:pPr>
        <w:pStyle w:val="Pa3"/>
        <w:spacing w:after="160"/>
        <w:rPr>
          <w:rFonts w:cs="Calibri"/>
          <w:sz w:val="22"/>
          <w:szCs w:val="22"/>
        </w:rPr>
      </w:pPr>
      <w:r>
        <w:rPr>
          <w:rFonts w:cs="Calibri"/>
          <w:sz w:val="22"/>
          <w:szCs w:val="22"/>
        </w:rPr>
        <w:t>To ensure the success of the trial both councils have entered into a Memorandum of Understanding to highlight the shared understanding of the principles for undertaking this trial and to outline the process to be followed.</w:t>
      </w:r>
    </w:p>
    <w:p w:rsidR="00F75A60" w:rsidRDefault="00F75A60" w:rsidP="00F75A60">
      <w:pPr>
        <w:pStyle w:val="Pa3"/>
        <w:spacing w:after="160"/>
        <w:rPr>
          <w:rFonts w:cs="Calibri"/>
          <w:sz w:val="22"/>
          <w:szCs w:val="22"/>
        </w:rPr>
      </w:pPr>
      <w:r>
        <w:rPr>
          <w:rFonts w:cs="Calibri"/>
          <w:sz w:val="22"/>
          <w:szCs w:val="22"/>
        </w:rPr>
        <w:t>As part of the trial project, Central Goldfield Shire’s procurement manager will spend several days a week in the Greater Bendigo City Council’s offices to work alongside that council’s contract and project coordination unit.</w:t>
      </w:r>
    </w:p>
    <w:p w:rsidR="00F75A60" w:rsidRDefault="00F75A60" w:rsidP="00F75A60">
      <w:pPr>
        <w:pStyle w:val="Pa3"/>
        <w:spacing w:after="160"/>
        <w:rPr>
          <w:rFonts w:cs="Calibri"/>
          <w:sz w:val="22"/>
          <w:szCs w:val="22"/>
        </w:rPr>
      </w:pPr>
      <w:r>
        <w:rPr>
          <w:rFonts w:cs="Calibri"/>
          <w:sz w:val="22"/>
          <w:szCs w:val="22"/>
        </w:rPr>
        <w:t>The project is being completed in two stages.</w:t>
      </w:r>
    </w:p>
    <w:p w:rsidR="00F75A60" w:rsidRDefault="00F75A60" w:rsidP="00F75A60">
      <w:pPr>
        <w:pStyle w:val="Pa3"/>
        <w:spacing w:after="160"/>
        <w:rPr>
          <w:rFonts w:cs="Calibri"/>
          <w:sz w:val="22"/>
          <w:szCs w:val="22"/>
        </w:rPr>
      </w:pPr>
      <w:r>
        <w:rPr>
          <w:rFonts w:cs="Calibri"/>
          <w:b/>
          <w:bCs/>
          <w:sz w:val="22"/>
          <w:szCs w:val="22"/>
        </w:rPr>
        <w:t>Stage 1: Co-located services</w:t>
      </w:r>
    </w:p>
    <w:p w:rsidR="00F75A60" w:rsidRDefault="00F75A60" w:rsidP="00F75A60">
      <w:pPr>
        <w:pStyle w:val="Pa3"/>
        <w:spacing w:after="160"/>
        <w:rPr>
          <w:rFonts w:cs="Calibri"/>
          <w:sz w:val="22"/>
          <w:szCs w:val="22"/>
        </w:rPr>
      </w:pPr>
      <w:r>
        <w:rPr>
          <w:rFonts w:cs="Calibri"/>
          <w:sz w:val="22"/>
          <w:szCs w:val="22"/>
        </w:rPr>
        <w:t xml:space="preserve">It was determined that the co-location would be the simplest, most cost effective method to verify whether a shared unit could deliver the required level of service to both partners while measuring benefits achieved. The following procurement services will be delivered from a shared services unit: </w:t>
      </w:r>
    </w:p>
    <w:p w:rsidR="00F75A60" w:rsidRDefault="00F75A60" w:rsidP="00F75A60">
      <w:pPr>
        <w:pStyle w:val="Pa7"/>
        <w:spacing w:after="40"/>
        <w:rPr>
          <w:rFonts w:cs="Calibri"/>
          <w:sz w:val="22"/>
          <w:szCs w:val="22"/>
        </w:rPr>
      </w:pPr>
      <w:r>
        <w:rPr>
          <w:rFonts w:cs="Calibri"/>
          <w:sz w:val="22"/>
          <w:szCs w:val="22"/>
        </w:rPr>
        <w:t>• advice on procurement, project management and contract management</w:t>
      </w:r>
    </w:p>
    <w:p w:rsidR="00F75A60" w:rsidRDefault="00F75A60" w:rsidP="00F75A60">
      <w:pPr>
        <w:pStyle w:val="Pa7"/>
        <w:spacing w:after="40"/>
        <w:rPr>
          <w:rFonts w:cs="Calibri"/>
          <w:sz w:val="22"/>
          <w:szCs w:val="22"/>
        </w:rPr>
      </w:pPr>
      <w:r>
        <w:rPr>
          <w:rFonts w:cs="Calibri"/>
          <w:sz w:val="22"/>
          <w:szCs w:val="22"/>
        </w:rPr>
        <w:t>• end-to-end major procurement processes</w:t>
      </w:r>
    </w:p>
    <w:p w:rsidR="00F75A60" w:rsidRDefault="00F75A60" w:rsidP="00F75A60">
      <w:pPr>
        <w:pStyle w:val="Pa7"/>
        <w:spacing w:after="40"/>
        <w:rPr>
          <w:rFonts w:cs="Calibri"/>
          <w:sz w:val="22"/>
          <w:szCs w:val="22"/>
        </w:rPr>
      </w:pPr>
      <w:r>
        <w:rPr>
          <w:rFonts w:cs="Calibri"/>
          <w:sz w:val="22"/>
          <w:szCs w:val="22"/>
        </w:rPr>
        <w:t>• contract management</w:t>
      </w:r>
    </w:p>
    <w:p w:rsidR="00F75A60" w:rsidRDefault="00F75A60" w:rsidP="00F75A60">
      <w:pPr>
        <w:pStyle w:val="Pa7"/>
        <w:spacing w:after="40"/>
        <w:rPr>
          <w:rFonts w:cs="Calibri"/>
          <w:sz w:val="22"/>
          <w:szCs w:val="22"/>
        </w:rPr>
      </w:pPr>
      <w:r>
        <w:rPr>
          <w:rFonts w:cs="Calibri"/>
          <w:sz w:val="22"/>
          <w:szCs w:val="22"/>
        </w:rPr>
        <w:t>• supplier management</w:t>
      </w:r>
    </w:p>
    <w:p w:rsidR="00F75A60" w:rsidRDefault="00F75A60" w:rsidP="00F75A60">
      <w:pPr>
        <w:pStyle w:val="Pa8"/>
        <w:spacing w:after="160"/>
        <w:rPr>
          <w:rFonts w:cs="Calibri"/>
          <w:sz w:val="22"/>
          <w:szCs w:val="22"/>
        </w:rPr>
      </w:pPr>
      <w:r>
        <w:rPr>
          <w:rFonts w:cs="Calibri"/>
          <w:sz w:val="22"/>
          <w:szCs w:val="22"/>
        </w:rPr>
        <w:t>• document management.</w:t>
      </w:r>
    </w:p>
    <w:p w:rsidR="00F75A60" w:rsidRDefault="00F75A60" w:rsidP="00F75A60">
      <w:pPr>
        <w:pStyle w:val="Pa3"/>
        <w:tabs>
          <w:tab w:val="left" w:pos="3261"/>
        </w:tabs>
        <w:spacing w:after="160"/>
        <w:rPr>
          <w:rFonts w:cs="Calibri"/>
          <w:sz w:val="22"/>
          <w:szCs w:val="22"/>
        </w:rPr>
      </w:pPr>
      <w:r>
        <w:rPr>
          <w:rFonts w:cs="Calibri"/>
          <w:sz w:val="22"/>
          <w:szCs w:val="22"/>
        </w:rPr>
        <w:t>On completion of the six-month trial, both participating councils will review the success of the co-location and will determine whether to develop a business case for stage two.</w:t>
      </w:r>
      <w:r>
        <w:rPr>
          <w:rFonts w:cs="Calibri"/>
          <w:sz w:val="22"/>
          <w:szCs w:val="22"/>
        </w:rPr>
        <w:t xml:space="preserve">    </w:t>
      </w:r>
    </w:p>
    <w:p w:rsidR="00F75A60" w:rsidRPr="00F75A60" w:rsidRDefault="00F75A60" w:rsidP="00F75A60">
      <w:pPr>
        <w:pStyle w:val="Pa3"/>
        <w:tabs>
          <w:tab w:val="left" w:pos="3261"/>
        </w:tabs>
        <w:spacing w:after="160"/>
        <w:rPr>
          <w:b/>
          <w:sz w:val="22"/>
          <w:szCs w:val="22"/>
        </w:rPr>
      </w:pPr>
      <w:r w:rsidRPr="00F75A60">
        <w:rPr>
          <w:rFonts w:cs="Calibri"/>
          <w:b/>
          <w:sz w:val="22"/>
          <w:szCs w:val="22"/>
        </w:rPr>
        <w:t>Stage 2</w:t>
      </w:r>
      <w:r w:rsidRPr="00F75A60">
        <w:rPr>
          <w:b/>
          <w:bCs/>
          <w:sz w:val="22"/>
          <w:szCs w:val="22"/>
        </w:rPr>
        <w:t>: “True” shared services</w:t>
      </w:r>
    </w:p>
    <w:p w:rsidR="00F75A60" w:rsidRDefault="00F75A60" w:rsidP="00F75A60">
      <w:pPr>
        <w:pStyle w:val="Pa3"/>
        <w:spacing w:after="160"/>
        <w:rPr>
          <w:rFonts w:cs="Calibri"/>
          <w:sz w:val="22"/>
          <w:szCs w:val="22"/>
        </w:rPr>
      </w:pPr>
      <w:r>
        <w:rPr>
          <w:rFonts w:cs="Calibri"/>
          <w:sz w:val="22"/>
          <w:szCs w:val="22"/>
        </w:rPr>
        <w:t>The second stage advances the shared services concept to a single council or council owned entity providing the required services to multiple councils under an agreed funding model. Progress to this stage would require committed collaborative engagement from the councils involved and would depend on evidence of success of the co-location trial.</w:t>
      </w:r>
    </w:p>
    <w:p w:rsidR="00F75A60" w:rsidRDefault="00F75A60" w:rsidP="00F75A60">
      <w:pPr>
        <w:pStyle w:val="Pa13"/>
        <w:spacing w:after="100"/>
        <w:rPr>
          <w:rFonts w:cs="Calibri"/>
          <w:sz w:val="28"/>
          <w:szCs w:val="28"/>
        </w:rPr>
      </w:pPr>
      <w:r>
        <w:rPr>
          <w:rStyle w:val="A4"/>
        </w:rPr>
        <w:t>Benefits</w:t>
      </w:r>
    </w:p>
    <w:p w:rsidR="00F75A60" w:rsidRDefault="00F75A60" w:rsidP="00F75A60">
      <w:pPr>
        <w:pStyle w:val="Pa3"/>
        <w:spacing w:after="160"/>
        <w:rPr>
          <w:rFonts w:cs="Calibri"/>
          <w:sz w:val="22"/>
          <w:szCs w:val="22"/>
        </w:rPr>
      </w:pPr>
      <w:r>
        <w:rPr>
          <w:rFonts w:cs="Calibri"/>
          <w:sz w:val="22"/>
          <w:szCs w:val="22"/>
        </w:rPr>
        <w:t>The participating councils expect long-term benefits will include, but not be limited to:</w:t>
      </w:r>
    </w:p>
    <w:p w:rsidR="00F75A60" w:rsidRDefault="00F75A60" w:rsidP="00F75A60">
      <w:pPr>
        <w:pStyle w:val="Default"/>
      </w:pPr>
    </w:p>
    <w:p w:rsidR="00F75A60" w:rsidRDefault="00F75A60" w:rsidP="00F75A60">
      <w:pPr>
        <w:pStyle w:val="Default"/>
      </w:pPr>
    </w:p>
    <w:p w:rsidR="00F75A60" w:rsidRDefault="00F75A60" w:rsidP="00F75A60">
      <w:pPr>
        <w:pStyle w:val="Default"/>
      </w:pPr>
    </w:p>
    <w:p w:rsidR="00F75A60" w:rsidRDefault="00F75A60" w:rsidP="00F75A60">
      <w:pPr>
        <w:pStyle w:val="Default"/>
      </w:pPr>
    </w:p>
    <w:p w:rsidR="00F75A60" w:rsidRPr="00F75A60" w:rsidRDefault="00F75A60" w:rsidP="00F75A60">
      <w:pPr>
        <w:pStyle w:val="Default"/>
      </w:pPr>
    </w:p>
    <w:p w:rsidR="00F75A60" w:rsidRDefault="00F75A60" w:rsidP="00F75A60">
      <w:pPr>
        <w:pStyle w:val="Pa7"/>
        <w:spacing w:after="40"/>
        <w:ind w:left="320" w:hanging="320"/>
        <w:rPr>
          <w:rFonts w:cs="Calibri"/>
          <w:sz w:val="22"/>
          <w:szCs w:val="22"/>
        </w:rPr>
      </w:pPr>
      <w:r>
        <w:rPr>
          <w:rFonts w:cs="Calibri"/>
          <w:sz w:val="22"/>
          <w:szCs w:val="22"/>
        </w:rPr>
        <w:lastRenderedPageBreak/>
        <w:t xml:space="preserve">• improving procurement processes </w:t>
      </w:r>
    </w:p>
    <w:p w:rsidR="00F75A60" w:rsidRDefault="00F75A60" w:rsidP="00F75A60">
      <w:pPr>
        <w:pStyle w:val="Pa7"/>
        <w:spacing w:after="40"/>
        <w:ind w:left="320" w:hanging="320"/>
        <w:rPr>
          <w:rFonts w:cs="Calibri"/>
          <w:sz w:val="22"/>
          <w:szCs w:val="22"/>
        </w:rPr>
      </w:pPr>
      <w:r>
        <w:rPr>
          <w:rFonts w:cs="Calibri"/>
          <w:sz w:val="22"/>
          <w:szCs w:val="22"/>
        </w:rPr>
        <w:t xml:space="preserve">• saving costs </w:t>
      </w:r>
    </w:p>
    <w:p w:rsidR="00F75A60" w:rsidRDefault="00F75A60" w:rsidP="00F75A60">
      <w:pPr>
        <w:pStyle w:val="Pa7"/>
        <w:spacing w:after="40"/>
        <w:ind w:left="320" w:hanging="320"/>
        <w:rPr>
          <w:rFonts w:cs="Calibri"/>
          <w:sz w:val="22"/>
          <w:szCs w:val="22"/>
        </w:rPr>
      </w:pPr>
      <w:r>
        <w:rPr>
          <w:rFonts w:cs="Calibri"/>
          <w:sz w:val="22"/>
          <w:szCs w:val="22"/>
        </w:rPr>
        <w:t xml:space="preserve">• increasing efficiencies </w:t>
      </w:r>
    </w:p>
    <w:p w:rsidR="00F75A60" w:rsidRDefault="00F75A60" w:rsidP="00F75A60">
      <w:pPr>
        <w:pStyle w:val="Pa7"/>
        <w:spacing w:after="40"/>
        <w:ind w:left="320" w:hanging="320"/>
        <w:rPr>
          <w:rFonts w:cs="Calibri"/>
          <w:sz w:val="22"/>
          <w:szCs w:val="22"/>
        </w:rPr>
      </w:pPr>
      <w:r>
        <w:rPr>
          <w:rFonts w:cs="Calibri"/>
          <w:sz w:val="22"/>
          <w:szCs w:val="22"/>
        </w:rPr>
        <w:t>• improving service delivery</w:t>
      </w:r>
    </w:p>
    <w:p w:rsidR="00F75A60" w:rsidRDefault="00F75A60" w:rsidP="00F75A60">
      <w:pPr>
        <w:pStyle w:val="Pa7"/>
        <w:spacing w:after="40"/>
        <w:ind w:left="320" w:hanging="320"/>
        <w:rPr>
          <w:rFonts w:cs="Calibri"/>
          <w:sz w:val="22"/>
          <w:szCs w:val="22"/>
        </w:rPr>
      </w:pPr>
      <w:r>
        <w:rPr>
          <w:rFonts w:cs="Calibri"/>
          <w:sz w:val="22"/>
          <w:szCs w:val="22"/>
        </w:rPr>
        <w:t xml:space="preserve">• raising quality standards </w:t>
      </w:r>
    </w:p>
    <w:p w:rsidR="00F75A60" w:rsidRDefault="00F75A60" w:rsidP="00F75A60">
      <w:pPr>
        <w:pStyle w:val="Pa7"/>
        <w:spacing w:after="40"/>
        <w:ind w:left="320" w:hanging="320"/>
        <w:rPr>
          <w:rFonts w:cs="Calibri"/>
          <w:sz w:val="22"/>
          <w:szCs w:val="22"/>
        </w:rPr>
      </w:pPr>
      <w:r>
        <w:rPr>
          <w:rFonts w:cs="Calibri"/>
          <w:sz w:val="22"/>
          <w:szCs w:val="22"/>
        </w:rPr>
        <w:t>• improving responsiveness to the community</w:t>
      </w:r>
    </w:p>
    <w:p w:rsidR="00F75A60" w:rsidRDefault="00F75A60" w:rsidP="00F75A60">
      <w:pPr>
        <w:pStyle w:val="Pa7"/>
        <w:spacing w:after="40"/>
        <w:ind w:left="320" w:hanging="320"/>
        <w:rPr>
          <w:rFonts w:cs="Calibri"/>
          <w:sz w:val="22"/>
          <w:szCs w:val="22"/>
        </w:rPr>
      </w:pPr>
      <w:r>
        <w:rPr>
          <w:rFonts w:cs="Calibri"/>
          <w:sz w:val="22"/>
          <w:szCs w:val="22"/>
        </w:rPr>
        <w:t>• achieving better outcomes for the community</w:t>
      </w:r>
    </w:p>
    <w:p w:rsidR="00F75A60" w:rsidRDefault="00F75A60" w:rsidP="00F75A60">
      <w:pPr>
        <w:pStyle w:val="Pa7"/>
        <w:spacing w:after="40"/>
        <w:ind w:left="320" w:hanging="320"/>
        <w:rPr>
          <w:rFonts w:cs="Calibri"/>
          <w:sz w:val="22"/>
          <w:szCs w:val="22"/>
        </w:rPr>
      </w:pPr>
      <w:r>
        <w:rPr>
          <w:rFonts w:cs="Calibri"/>
          <w:sz w:val="22"/>
          <w:szCs w:val="22"/>
        </w:rPr>
        <w:t>• improving access to skills and expertise</w:t>
      </w:r>
    </w:p>
    <w:p w:rsidR="00F75A60" w:rsidRDefault="00F75A60" w:rsidP="00F75A60">
      <w:pPr>
        <w:pStyle w:val="Pa7"/>
        <w:spacing w:after="40"/>
        <w:ind w:left="320" w:hanging="320"/>
        <w:rPr>
          <w:rFonts w:cs="Calibri"/>
          <w:sz w:val="22"/>
          <w:szCs w:val="22"/>
        </w:rPr>
      </w:pPr>
      <w:r>
        <w:rPr>
          <w:rFonts w:cs="Calibri"/>
          <w:sz w:val="22"/>
          <w:szCs w:val="22"/>
        </w:rPr>
        <w:t xml:space="preserve">• delivering services not otherwise available </w:t>
      </w:r>
    </w:p>
    <w:p w:rsidR="00F75A60" w:rsidRDefault="00F75A60" w:rsidP="00F75A60">
      <w:pPr>
        <w:pStyle w:val="Pa8"/>
        <w:spacing w:after="160"/>
        <w:ind w:left="320" w:hanging="320"/>
        <w:rPr>
          <w:rFonts w:cs="Calibri"/>
          <w:sz w:val="22"/>
          <w:szCs w:val="22"/>
        </w:rPr>
      </w:pPr>
      <w:r>
        <w:rPr>
          <w:rFonts w:cs="Calibri"/>
          <w:sz w:val="22"/>
          <w:szCs w:val="22"/>
        </w:rPr>
        <w:t>• building organisational capability/capacity.</w:t>
      </w:r>
    </w:p>
    <w:p w:rsidR="00F75A60" w:rsidRDefault="00F75A60" w:rsidP="00F75A60">
      <w:pPr>
        <w:pStyle w:val="Pa8"/>
        <w:spacing w:after="160"/>
        <w:ind w:left="320" w:hanging="320"/>
        <w:rPr>
          <w:rFonts w:cs="Calibri"/>
          <w:sz w:val="22"/>
          <w:szCs w:val="22"/>
        </w:rPr>
      </w:pPr>
    </w:p>
    <w:p w:rsidR="00F75A60" w:rsidRDefault="00F75A60" w:rsidP="00F75A60">
      <w:pPr>
        <w:pStyle w:val="Pa8"/>
        <w:spacing w:after="160"/>
        <w:ind w:left="320" w:hanging="320"/>
        <w:rPr>
          <w:rFonts w:cs="Calibri"/>
          <w:sz w:val="22"/>
          <w:szCs w:val="22"/>
        </w:rPr>
      </w:pPr>
      <w:r>
        <w:rPr>
          <w:rFonts w:cs="Calibri"/>
          <w:sz w:val="22"/>
          <w:szCs w:val="22"/>
        </w:rPr>
        <w:t>Suppliers are also expected to benefit from:</w:t>
      </w:r>
    </w:p>
    <w:p w:rsidR="00F75A60" w:rsidRDefault="00F75A60" w:rsidP="00F75A60">
      <w:pPr>
        <w:pStyle w:val="Pa7"/>
        <w:spacing w:after="40"/>
        <w:ind w:left="320" w:hanging="320"/>
        <w:rPr>
          <w:rFonts w:cs="Calibri"/>
          <w:sz w:val="22"/>
          <w:szCs w:val="22"/>
        </w:rPr>
      </w:pPr>
      <w:r>
        <w:rPr>
          <w:rFonts w:cs="Calibri"/>
          <w:sz w:val="22"/>
          <w:szCs w:val="22"/>
        </w:rPr>
        <w:t xml:space="preserve">• a consistent approach </w:t>
      </w:r>
    </w:p>
    <w:p w:rsidR="00F75A60" w:rsidRDefault="00F75A60" w:rsidP="00F75A60">
      <w:pPr>
        <w:pStyle w:val="Pa7"/>
        <w:spacing w:after="40"/>
        <w:ind w:left="142" w:hanging="142"/>
        <w:rPr>
          <w:rFonts w:cs="Calibri"/>
          <w:sz w:val="22"/>
          <w:szCs w:val="22"/>
        </w:rPr>
      </w:pPr>
      <w:r>
        <w:rPr>
          <w:rFonts w:cs="Calibri"/>
          <w:sz w:val="22"/>
          <w:szCs w:val="22"/>
        </w:rPr>
        <w:t>• less duplication of effort, for example, a single occupational health and safety prequalification process</w:t>
      </w:r>
    </w:p>
    <w:p w:rsidR="00F75A60" w:rsidRDefault="00F75A60" w:rsidP="00F75A60">
      <w:pPr>
        <w:pStyle w:val="Pa8"/>
        <w:spacing w:after="160"/>
        <w:ind w:left="320" w:hanging="320"/>
        <w:rPr>
          <w:rFonts w:cs="Calibri"/>
          <w:sz w:val="22"/>
          <w:szCs w:val="22"/>
        </w:rPr>
      </w:pPr>
      <w:r>
        <w:rPr>
          <w:rFonts w:cs="Calibri"/>
          <w:sz w:val="22"/>
          <w:szCs w:val="22"/>
        </w:rPr>
        <w:t>• more opportunities for business in the local region.</w:t>
      </w:r>
    </w:p>
    <w:p w:rsidR="00F75A60" w:rsidRPr="00F75A60" w:rsidRDefault="00F75A60" w:rsidP="00F75A60">
      <w:pPr>
        <w:pStyle w:val="Default"/>
      </w:pPr>
      <w:r>
        <w:rPr>
          <w:sz w:val="22"/>
          <w:szCs w:val="22"/>
        </w:rPr>
        <w:t>The trial, if successful, would be open to other councils in the region to link in with the two original councils to jointly share procurement services. This would bring greater consistency in procurement service delivery and documentation within the region. Other councils across the state would also be able to replicate this shared service model</w:t>
      </w:r>
    </w:p>
    <w:p w:rsidR="00F75A60" w:rsidRPr="00F75A60" w:rsidRDefault="00F75A60" w:rsidP="00F75A60">
      <w:pPr>
        <w:pStyle w:val="Default"/>
      </w:pPr>
    </w:p>
    <w:p w:rsidR="00F75A60" w:rsidRPr="0073355D" w:rsidRDefault="00F75A60" w:rsidP="00F75A60">
      <w:pPr>
        <w:autoSpaceDE w:val="0"/>
        <w:autoSpaceDN w:val="0"/>
        <w:adjustRightInd w:val="0"/>
        <w:spacing w:after="0" w:line="240" w:lineRule="auto"/>
        <w:rPr>
          <w:rFonts w:cs="Calibri"/>
          <w:b/>
        </w:rPr>
      </w:pPr>
      <w:r w:rsidRPr="0073355D">
        <w:rPr>
          <w:rFonts w:cs="Calibri"/>
          <w:b/>
        </w:rPr>
        <w:t>Read about the success and benefits of collaborative procurement at Local Government Victoria’s website</w:t>
      </w:r>
    </w:p>
    <w:p w:rsidR="00F75A60" w:rsidRPr="0073355D" w:rsidRDefault="00F75A60" w:rsidP="00F75A60">
      <w:pPr>
        <w:autoSpaceDE w:val="0"/>
        <w:autoSpaceDN w:val="0"/>
        <w:adjustRightInd w:val="0"/>
        <w:spacing w:after="0" w:line="240" w:lineRule="auto"/>
        <w:rPr>
          <w:rFonts w:cs="Calibri"/>
          <w:b/>
        </w:rPr>
      </w:pPr>
      <w:r w:rsidRPr="0073355D">
        <w:rPr>
          <w:rFonts w:cs="Calibri"/>
          <w:b/>
        </w:rPr>
        <w:t>www.delwp.vic.gov.au/local-government/strengthening-councils/collaborating-councils.</w:t>
      </w:r>
    </w:p>
    <w:p w:rsidR="00F75A60" w:rsidRPr="0073355D" w:rsidRDefault="00F75A60" w:rsidP="00F75A60">
      <w:pPr>
        <w:autoSpaceDE w:val="0"/>
        <w:autoSpaceDN w:val="0"/>
        <w:adjustRightInd w:val="0"/>
        <w:spacing w:after="0" w:line="240" w:lineRule="auto"/>
        <w:rPr>
          <w:rFonts w:cs="Calibri"/>
          <w:b/>
        </w:rPr>
      </w:pPr>
      <w:r w:rsidRPr="0073355D">
        <w:rPr>
          <w:rFonts w:cs="Calibri"/>
          <w:b/>
        </w:rPr>
        <w:t>For more information regarding this project contact Local Government Victoria on (03) 9948 8537.</w:t>
      </w:r>
    </w:p>
    <w:p w:rsidR="00F75A60" w:rsidRPr="0073355D" w:rsidRDefault="00F75A60" w:rsidP="00F75A60">
      <w:pPr>
        <w:pBdr>
          <w:bottom w:val="single" w:sz="6" w:space="1" w:color="auto"/>
        </w:pBdr>
        <w:autoSpaceDE w:val="0"/>
        <w:autoSpaceDN w:val="0"/>
        <w:adjustRightInd w:val="0"/>
        <w:spacing w:after="0" w:line="240" w:lineRule="auto"/>
        <w:rPr>
          <w:rFonts w:ascii="Calibri" w:hAnsi="Calibri" w:cs="Calibri"/>
          <w:sz w:val="8"/>
          <w:szCs w:val="8"/>
        </w:rPr>
      </w:pPr>
    </w:p>
    <w:p w:rsidR="00F75A60" w:rsidRPr="0073355D" w:rsidRDefault="00F75A60" w:rsidP="00F75A60">
      <w:pPr>
        <w:autoSpaceDE w:val="0"/>
        <w:autoSpaceDN w:val="0"/>
        <w:adjustRightInd w:val="0"/>
        <w:spacing w:after="0" w:line="240" w:lineRule="auto"/>
        <w:rPr>
          <w:rFonts w:ascii="Calibri" w:hAnsi="Calibri" w:cs="Calibri"/>
          <w:sz w:val="8"/>
          <w:szCs w:val="8"/>
        </w:rPr>
      </w:pPr>
    </w:p>
    <w:p w:rsidR="00F75A60" w:rsidRDefault="00F75A60" w:rsidP="00F75A60">
      <w:pPr>
        <w:autoSpaceDE w:val="0"/>
        <w:autoSpaceDN w:val="0"/>
        <w:adjustRightInd w:val="0"/>
        <w:spacing w:after="0" w:line="240" w:lineRule="auto"/>
        <w:rPr>
          <w:rFonts w:ascii="Calibri" w:hAnsi="Calibri" w:cs="Calibri"/>
        </w:rPr>
      </w:pPr>
      <w:r>
        <w:rPr>
          <w:rFonts w:ascii="Calibri" w:hAnsi="Calibri" w:cs="Calibri"/>
          <w:sz w:val="16"/>
          <w:szCs w:val="16"/>
        </w:rPr>
        <w:t>© The State of Victoria Department of Environment, Land, Water and Planning 2016</w:t>
      </w:r>
    </w:p>
    <w:p w:rsidR="00F75A60" w:rsidRDefault="00F75A60" w:rsidP="00F75A60">
      <w:pPr>
        <w:autoSpaceDE w:val="0"/>
        <w:autoSpaceDN w:val="0"/>
        <w:adjustRightInd w:val="0"/>
        <w:spacing w:after="0" w:line="240" w:lineRule="auto"/>
        <w:rPr>
          <w:rFonts w:ascii="Calibri" w:hAnsi="Calibri" w:cs="Calibri"/>
          <w:sz w:val="16"/>
          <w:szCs w:val="16"/>
        </w:rPr>
      </w:pPr>
      <w:r>
        <w:rPr>
          <w:rFonts w:ascii="Calibri" w:hAnsi="Calibri" w:cs="Calibri"/>
          <w:sz w:val="16"/>
          <w:szCs w:val="16"/>
        </w:rPr>
        <w:t>This work is licensed under a Creative Commons Attribution 4.0 International licence</w:t>
      </w:r>
    </w:p>
    <w:p w:rsidR="00F75A60" w:rsidRDefault="00F75A60" w:rsidP="00F75A60">
      <w:pPr>
        <w:autoSpaceDE w:val="0"/>
        <w:autoSpaceDN w:val="0"/>
        <w:adjustRightInd w:val="0"/>
        <w:spacing w:after="0" w:line="240" w:lineRule="auto"/>
        <w:rPr>
          <w:rFonts w:ascii="Calibri" w:hAnsi="Calibri" w:cs="Calibri"/>
        </w:rPr>
      </w:pPr>
      <w:r>
        <w:rPr>
          <w:rFonts w:ascii="Calibri" w:hAnsi="Calibri" w:cs="Calibri"/>
          <w:sz w:val="16"/>
          <w:szCs w:val="16"/>
        </w:rPr>
        <w:t xml:space="preserve">To view a copy of this licence, visit </w:t>
      </w:r>
      <w:hyperlink r:id="rId6" w:history="1">
        <w:r w:rsidRPr="00101EDF">
          <w:rPr>
            <w:rStyle w:val="Hyperlink"/>
            <w:rFonts w:ascii="Calibri" w:hAnsi="Calibri"/>
            <w:sz w:val="16"/>
            <w:szCs w:val="16"/>
          </w:rPr>
          <w:t>http://creativecommons.org/licenses/by/4.0/</w:t>
        </w:r>
      </w:hyperlink>
    </w:p>
    <w:p w:rsidR="00F75A60" w:rsidRPr="0073355D" w:rsidRDefault="00F75A60" w:rsidP="00F75A60">
      <w:pPr>
        <w:autoSpaceDE w:val="0"/>
        <w:autoSpaceDN w:val="0"/>
        <w:adjustRightInd w:val="0"/>
        <w:spacing w:after="0" w:line="240" w:lineRule="auto"/>
        <w:rPr>
          <w:rFonts w:ascii="Calibri" w:hAnsi="Calibri" w:cs="Calibri"/>
          <w:sz w:val="18"/>
          <w:szCs w:val="18"/>
        </w:rPr>
      </w:pPr>
      <w:hyperlink r:id="rId7" w:history="1">
        <w:r w:rsidRPr="0073355D">
          <w:rPr>
            <w:rStyle w:val="Hyperlink"/>
            <w:rFonts w:ascii="Calibri" w:hAnsi="Calibri"/>
            <w:sz w:val="18"/>
            <w:szCs w:val="18"/>
          </w:rPr>
          <w:t>www.delwp.vic.gov.au</w:t>
        </w:r>
      </w:hyperlink>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Pr>
          <w:rFonts w:ascii="Calibri" w:hAnsi="Calibri" w:cs="Calibri"/>
          <w:color w:val="404040"/>
          <w:sz w:val="18"/>
          <w:szCs w:val="18"/>
        </w:rPr>
        <w:tab/>
      </w:r>
      <w:r>
        <w:rPr>
          <w:rFonts w:ascii="Calibri" w:hAnsi="Calibri" w:cs="Calibri"/>
          <w:color w:val="404040"/>
          <w:sz w:val="18"/>
          <w:szCs w:val="18"/>
        </w:rPr>
        <w:tab/>
      </w:r>
      <w:r w:rsidRPr="0073355D">
        <w:rPr>
          <w:rFonts w:ascii="Calibri" w:hAnsi="Calibri" w:cs="Calibri"/>
          <w:color w:val="404040"/>
          <w:sz w:val="18"/>
          <w:szCs w:val="18"/>
        </w:rPr>
        <w:t>[</w:t>
      </w:r>
      <w:proofErr w:type="spellStart"/>
      <w:r w:rsidRPr="0073355D">
        <w:rPr>
          <w:rFonts w:ascii="Calibri" w:hAnsi="Calibri" w:cs="Calibri"/>
          <w:color w:val="404040"/>
          <w:sz w:val="18"/>
          <w:szCs w:val="18"/>
        </w:rPr>
        <w:t>VicGov</w:t>
      </w:r>
      <w:proofErr w:type="spellEnd"/>
      <w:r w:rsidRPr="0073355D">
        <w:rPr>
          <w:rFonts w:ascii="Calibri" w:hAnsi="Calibri" w:cs="Calibri"/>
          <w:color w:val="404040"/>
          <w:sz w:val="18"/>
          <w:szCs w:val="18"/>
        </w:rPr>
        <w:t xml:space="preserve"> logo]</w:t>
      </w:r>
    </w:p>
    <w:p w:rsidR="00F75A60" w:rsidRDefault="00F75A60" w:rsidP="00F75A60">
      <w:pPr>
        <w:pStyle w:val="Default"/>
      </w:pPr>
    </w:p>
    <w:p w:rsidR="00F75A60" w:rsidRPr="00F75A60" w:rsidRDefault="00F75A60" w:rsidP="00F75A60">
      <w:pPr>
        <w:pStyle w:val="Default"/>
      </w:pPr>
    </w:p>
    <w:p w:rsidR="00F75A60" w:rsidRDefault="00F75A60">
      <w:bookmarkStart w:id="0" w:name="_GoBack"/>
      <w:bookmarkEnd w:id="0"/>
    </w:p>
    <w:sectPr w:rsidR="00F75A60" w:rsidSect="00F75A60">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4514D"/>
    <w:multiLevelType w:val="hybridMultilevel"/>
    <w:tmpl w:val="146196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54335C"/>
    <w:multiLevelType w:val="hybridMultilevel"/>
    <w:tmpl w:val="2130813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60"/>
    <w:rsid w:val="00F75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5A60"/>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F75A60"/>
    <w:rPr>
      <w:rFonts w:cs="Calibri"/>
      <w:color w:val="000000"/>
      <w:sz w:val="40"/>
      <w:szCs w:val="40"/>
    </w:rPr>
  </w:style>
  <w:style w:type="character" w:customStyle="1" w:styleId="A4">
    <w:name w:val="A4"/>
    <w:uiPriority w:val="99"/>
    <w:rsid w:val="00F75A60"/>
    <w:rPr>
      <w:rFonts w:cs="Calibri"/>
      <w:b/>
      <w:bCs/>
      <w:color w:val="000000"/>
      <w:sz w:val="28"/>
      <w:szCs w:val="28"/>
    </w:rPr>
  </w:style>
  <w:style w:type="paragraph" w:customStyle="1" w:styleId="Pa3">
    <w:name w:val="Pa3"/>
    <w:basedOn w:val="Default"/>
    <w:next w:val="Default"/>
    <w:uiPriority w:val="99"/>
    <w:rsid w:val="00F75A60"/>
    <w:pPr>
      <w:spacing w:line="221" w:lineRule="atLeast"/>
    </w:pPr>
    <w:rPr>
      <w:rFonts w:cstheme="minorBidi"/>
      <w:color w:val="auto"/>
    </w:rPr>
  </w:style>
  <w:style w:type="paragraph" w:customStyle="1" w:styleId="Pa7">
    <w:name w:val="Pa7"/>
    <w:basedOn w:val="Default"/>
    <w:next w:val="Default"/>
    <w:uiPriority w:val="99"/>
    <w:rsid w:val="00F75A60"/>
    <w:pPr>
      <w:spacing w:line="221" w:lineRule="atLeast"/>
    </w:pPr>
    <w:rPr>
      <w:rFonts w:cstheme="minorBidi"/>
      <w:color w:val="auto"/>
    </w:rPr>
  </w:style>
  <w:style w:type="paragraph" w:customStyle="1" w:styleId="Pa8">
    <w:name w:val="Pa8"/>
    <w:basedOn w:val="Default"/>
    <w:next w:val="Default"/>
    <w:uiPriority w:val="99"/>
    <w:rsid w:val="00F75A60"/>
    <w:pPr>
      <w:spacing w:line="221" w:lineRule="atLeast"/>
    </w:pPr>
    <w:rPr>
      <w:rFonts w:cstheme="minorBidi"/>
      <w:color w:val="auto"/>
    </w:rPr>
  </w:style>
  <w:style w:type="paragraph" w:customStyle="1" w:styleId="Pa13">
    <w:name w:val="Pa13"/>
    <w:basedOn w:val="Default"/>
    <w:next w:val="Default"/>
    <w:uiPriority w:val="99"/>
    <w:rsid w:val="00F75A60"/>
    <w:pPr>
      <w:spacing w:line="221" w:lineRule="atLeast"/>
    </w:pPr>
    <w:rPr>
      <w:rFonts w:cstheme="minorBidi"/>
      <w:color w:val="auto"/>
    </w:rPr>
  </w:style>
  <w:style w:type="character" w:styleId="Hyperlink">
    <w:name w:val="Hyperlink"/>
    <w:basedOn w:val="DefaultParagraphFont"/>
    <w:uiPriority w:val="99"/>
    <w:unhideWhenUsed/>
    <w:rsid w:val="00F75A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5A60"/>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F75A60"/>
    <w:rPr>
      <w:rFonts w:cs="Calibri"/>
      <w:color w:val="000000"/>
      <w:sz w:val="40"/>
      <w:szCs w:val="40"/>
    </w:rPr>
  </w:style>
  <w:style w:type="character" w:customStyle="1" w:styleId="A4">
    <w:name w:val="A4"/>
    <w:uiPriority w:val="99"/>
    <w:rsid w:val="00F75A60"/>
    <w:rPr>
      <w:rFonts w:cs="Calibri"/>
      <w:b/>
      <w:bCs/>
      <w:color w:val="000000"/>
      <w:sz w:val="28"/>
      <w:szCs w:val="28"/>
    </w:rPr>
  </w:style>
  <w:style w:type="paragraph" w:customStyle="1" w:styleId="Pa3">
    <w:name w:val="Pa3"/>
    <w:basedOn w:val="Default"/>
    <w:next w:val="Default"/>
    <w:uiPriority w:val="99"/>
    <w:rsid w:val="00F75A60"/>
    <w:pPr>
      <w:spacing w:line="221" w:lineRule="atLeast"/>
    </w:pPr>
    <w:rPr>
      <w:rFonts w:cstheme="minorBidi"/>
      <w:color w:val="auto"/>
    </w:rPr>
  </w:style>
  <w:style w:type="paragraph" w:customStyle="1" w:styleId="Pa7">
    <w:name w:val="Pa7"/>
    <w:basedOn w:val="Default"/>
    <w:next w:val="Default"/>
    <w:uiPriority w:val="99"/>
    <w:rsid w:val="00F75A60"/>
    <w:pPr>
      <w:spacing w:line="221" w:lineRule="atLeast"/>
    </w:pPr>
    <w:rPr>
      <w:rFonts w:cstheme="minorBidi"/>
      <w:color w:val="auto"/>
    </w:rPr>
  </w:style>
  <w:style w:type="paragraph" w:customStyle="1" w:styleId="Pa8">
    <w:name w:val="Pa8"/>
    <w:basedOn w:val="Default"/>
    <w:next w:val="Default"/>
    <w:uiPriority w:val="99"/>
    <w:rsid w:val="00F75A60"/>
    <w:pPr>
      <w:spacing w:line="221" w:lineRule="atLeast"/>
    </w:pPr>
    <w:rPr>
      <w:rFonts w:cstheme="minorBidi"/>
      <w:color w:val="auto"/>
    </w:rPr>
  </w:style>
  <w:style w:type="paragraph" w:customStyle="1" w:styleId="Pa13">
    <w:name w:val="Pa13"/>
    <w:basedOn w:val="Default"/>
    <w:next w:val="Default"/>
    <w:uiPriority w:val="99"/>
    <w:rsid w:val="00F75A60"/>
    <w:pPr>
      <w:spacing w:line="221" w:lineRule="atLeast"/>
    </w:pPr>
    <w:rPr>
      <w:rFonts w:cstheme="minorBidi"/>
      <w:color w:val="auto"/>
    </w:rPr>
  </w:style>
  <w:style w:type="character" w:styleId="Hyperlink">
    <w:name w:val="Hyperlink"/>
    <w:basedOn w:val="DefaultParagraphFont"/>
    <w:uiPriority w:val="99"/>
    <w:unhideWhenUsed/>
    <w:rsid w:val="00F75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lwp.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3150</Characters>
  <Application>Microsoft Office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Keeble</dc:creator>
  <cp:keywords/>
  <dc:description/>
  <cp:lastModifiedBy>Julia Keeble</cp:lastModifiedBy>
  <cp:revision>1</cp:revision>
  <dcterms:created xsi:type="dcterms:W3CDTF">2016-06-28T23:27:00Z</dcterms:created>
  <dcterms:modified xsi:type="dcterms:W3CDTF">2016-06-28T23:33:00Z</dcterms:modified>
</cp:coreProperties>
</file>