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BAF1735" w14:textId="77777777" w:rsidR="00F14225" w:rsidRDefault="00F14225" w:rsidP="00DC58AF">
      <w:pPr>
        <w:pStyle w:val="Date"/>
        <w:rPr>
          <w:rFonts w:asciiTheme="majorHAnsi" w:hAnsiTheme="majorHAnsi"/>
          <w:spacing w:val="-1"/>
          <w:sz w:val="40"/>
          <w:szCs w:val="40"/>
        </w:rPr>
      </w:pPr>
    </w:p>
    <w:p w14:paraId="2B747A9B" w14:textId="77777777" w:rsidR="00F14225" w:rsidRDefault="00F14225" w:rsidP="00DC58AF">
      <w:pPr>
        <w:pStyle w:val="Date"/>
        <w:rPr>
          <w:rFonts w:asciiTheme="majorHAnsi" w:hAnsiTheme="majorHAnsi"/>
          <w:spacing w:val="-1"/>
          <w:sz w:val="40"/>
          <w:szCs w:val="40"/>
        </w:rPr>
      </w:pPr>
    </w:p>
    <w:p w14:paraId="749A5240" w14:textId="77777777" w:rsidR="00F14225" w:rsidRDefault="00F14225" w:rsidP="00DC58AF">
      <w:pPr>
        <w:pStyle w:val="Date"/>
        <w:rPr>
          <w:rFonts w:asciiTheme="majorHAnsi" w:hAnsiTheme="majorHAnsi"/>
          <w:spacing w:val="-1"/>
          <w:sz w:val="40"/>
          <w:szCs w:val="40"/>
        </w:rPr>
      </w:pPr>
    </w:p>
    <w:p w14:paraId="74550933" w14:textId="77777777" w:rsidR="00F14225" w:rsidRDefault="00F14225" w:rsidP="00DC58AF">
      <w:pPr>
        <w:pStyle w:val="Date"/>
        <w:rPr>
          <w:rFonts w:asciiTheme="majorHAnsi" w:hAnsiTheme="majorHAnsi"/>
          <w:spacing w:val="-1"/>
          <w:sz w:val="40"/>
          <w:szCs w:val="40"/>
        </w:rPr>
      </w:pPr>
      <w:r w:rsidRPr="00F14225">
        <w:rPr>
          <w:rFonts w:asciiTheme="majorHAnsi" w:hAnsiTheme="majorHAnsi"/>
          <w:spacing w:val="-1"/>
          <w:sz w:val="40"/>
          <w:szCs w:val="40"/>
        </w:rPr>
        <w:t xml:space="preserve">Local Government </w:t>
      </w:r>
    </w:p>
    <w:p w14:paraId="7485C077" w14:textId="77777777" w:rsidR="00F14225" w:rsidRDefault="00F14225" w:rsidP="00DC58AF">
      <w:pPr>
        <w:pStyle w:val="Date"/>
        <w:rPr>
          <w:rFonts w:asciiTheme="majorHAnsi" w:hAnsiTheme="majorHAnsi"/>
          <w:spacing w:val="-1"/>
          <w:sz w:val="40"/>
          <w:szCs w:val="40"/>
        </w:rPr>
      </w:pPr>
      <w:r w:rsidRPr="00F14225">
        <w:rPr>
          <w:rFonts w:asciiTheme="majorHAnsi" w:hAnsiTheme="majorHAnsi"/>
          <w:spacing w:val="-1"/>
          <w:sz w:val="40"/>
          <w:szCs w:val="40"/>
        </w:rPr>
        <w:t>Better Practice Guide</w:t>
      </w:r>
    </w:p>
    <w:p w14:paraId="1DF60883" w14:textId="77777777" w:rsidR="00F14225" w:rsidRDefault="00F14225" w:rsidP="00DC58AF">
      <w:pPr>
        <w:pStyle w:val="Date"/>
        <w:rPr>
          <w:rFonts w:asciiTheme="majorHAnsi" w:hAnsiTheme="majorHAnsi"/>
          <w:spacing w:val="-1"/>
          <w:sz w:val="40"/>
          <w:szCs w:val="40"/>
        </w:rPr>
      </w:pPr>
    </w:p>
    <w:p w14:paraId="547EDC71" w14:textId="5A3DBAEE" w:rsidR="000948B0" w:rsidRPr="00DC58AF" w:rsidRDefault="00630438" w:rsidP="00F14225">
      <w:pPr>
        <w:pStyle w:val="Date"/>
        <w:ind w:right="2261"/>
      </w:pPr>
      <w:r>
        <w:rPr>
          <w:rFonts w:asciiTheme="majorHAnsi" w:hAnsiTheme="majorHAnsi"/>
          <w:spacing w:val="-1"/>
          <w:sz w:val="40"/>
          <w:szCs w:val="40"/>
        </w:rPr>
        <w:t>Financial Plan</w:t>
      </w:r>
      <w:r w:rsidR="00F14225">
        <w:rPr>
          <w:rFonts w:asciiTheme="majorHAnsi" w:hAnsiTheme="majorHAnsi"/>
          <w:spacing w:val="-1"/>
          <w:sz w:val="40"/>
          <w:szCs w:val="40"/>
        </w:rPr>
        <w:t xml:space="preserve"> </w:t>
      </w:r>
    </w:p>
    <w:p w14:paraId="1010987E" w14:textId="623E7DA8" w:rsidR="00EC0832" w:rsidRDefault="00EC0832" w:rsidP="00DC58AF">
      <w:pPr>
        <w:pStyle w:val="Date"/>
        <w:rPr>
          <w:lang w:eastAsia="en-AU"/>
        </w:rPr>
        <w:sectPr w:rsidR="00EC0832" w:rsidSect="001603D1">
          <w:headerReference w:type="default" r:id="rId12"/>
          <w:footerReference w:type="even" r:id="rId13"/>
          <w:footerReference w:type="default" r:id="rId14"/>
          <w:headerReference w:type="first" r:id="rId15"/>
          <w:type w:val="continuous"/>
          <w:pgSz w:w="11900" w:h="16840" w:code="8"/>
          <w:pgMar w:top="1134" w:right="1701" w:bottom="851" w:left="1134" w:header="454" w:footer="624" w:gutter="0"/>
          <w:cols w:space="340"/>
          <w:titlePg/>
          <w:docGrid w:linePitch="360"/>
        </w:sectPr>
      </w:pPr>
    </w:p>
    <w:p w14:paraId="040B9357" w14:textId="3390ADA1" w:rsidR="000948B0" w:rsidRPr="00EC0832" w:rsidRDefault="000948B0" w:rsidP="002F6A6E">
      <w:pPr>
        <w:rPr>
          <w:color w:val="FFFFFF" w:themeColor="background1"/>
          <w:lang w:eastAsia="en-AU"/>
        </w:rPr>
      </w:pPr>
    </w:p>
    <w:sdt>
      <w:sdtPr>
        <w:rPr>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23B95F76" w:rsidR="005B7AA4" w:rsidRPr="00F14225" w:rsidRDefault="00EC2E51" w:rsidP="002F6A6E">
          <w:pPr>
            <w:pStyle w:val="TOCHeading"/>
            <w:rPr>
              <w:sz w:val="36"/>
              <w:szCs w:val="40"/>
            </w:rPr>
          </w:pPr>
          <w:r w:rsidRPr="00F14225">
            <w:rPr>
              <w:sz w:val="36"/>
              <w:szCs w:val="40"/>
            </w:rPr>
            <w:t>T</w:t>
          </w:r>
          <w:r w:rsidR="00F14225" w:rsidRPr="00F14225">
            <w:rPr>
              <w:sz w:val="36"/>
              <w:szCs w:val="40"/>
            </w:rPr>
            <w:t>able of Contents</w:t>
          </w:r>
        </w:p>
        <w:p w14:paraId="7E470463" w14:textId="07AA49CE" w:rsidR="0048008A" w:rsidRDefault="00EC1E93">
          <w:pPr>
            <w:pStyle w:val="TOC1"/>
            <w:rPr>
              <w:rFonts w:asciiTheme="minorHAnsi" w:eastAsiaTheme="minorEastAsia" w:hAnsiTheme="minorHAnsi" w:cstheme="minorBidi"/>
              <w:bCs w:val="0"/>
              <w:color w:val="auto"/>
              <w:kern w:val="2"/>
              <w:sz w:val="24"/>
              <w:szCs w:val="24"/>
              <w:lang w:eastAsia="en-AU"/>
              <w14:ligatures w14:val="standardContextual"/>
            </w:rPr>
          </w:pPr>
          <w:r>
            <w:fldChar w:fldCharType="begin"/>
          </w:r>
          <w:r>
            <w:instrText xml:space="preserve"> TOC \o "1-2" \h \z \u </w:instrText>
          </w:r>
          <w:r>
            <w:fldChar w:fldCharType="separate"/>
          </w:r>
          <w:hyperlink w:anchor="_Toc189219373" w:history="1">
            <w:r w:rsidR="0048008A" w:rsidRPr="006E0C2A">
              <w:rPr>
                <w:rStyle w:val="Hyperlink"/>
              </w:rPr>
              <w:t>Acronyms</w:t>
            </w:r>
            <w:r w:rsidR="0048008A">
              <w:rPr>
                <w:webHidden/>
              </w:rPr>
              <w:tab/>
            </w:r>
            <w:r w:rsidR="0048008A">
              <w:rPr>
                <w:webHidden/>
              </w:rPr>
              <w:fldChar w:fldCharType="begin"/>
            </w:r>
            <w:r w:rsidR="0048008A">
              <w:rPr>
                <w:webHidden/>
              </w:rPr>
              <w:instrText xml:space="preserve"> PAGEREF _Toc189219373 \h </w:instrText>
            </w:r>
            <w:r w:rsidR="0048008A">
              <w:rPr>
                <w:webHidden/>
              </w:rPr>
            </w:r>
            <w:r w:rsidR="0048008A">
              <w:rPr>
                <w:webHidden/>
              </w:rPr>
              <w:fldChar w:fldCharType="separate"/>
            </w:r>
            <w:r w:rsidR="00587919">
              <w:rPr>
                <w:webHidden/>
              </w:rPr>
              <w:t>3</w:t>
            </w:r>
            <w:r w:rsidR="0048008A">
              <w:rPr>
                <w:webHidden/>
              </w:rPr>
              <w:fldChar w:fldCharType="end"/>
            </w:r>
          </w:hyperlink>
        </w:p>
        <w:p w14:paraId="058050FD" w14:textId="00A66F14" w:rsidR="0048008A" w:rsidRDefault="0048008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89219374" w:history="1">
            <w:r w:rsidRPr="006E0C2A">
              <w:rPr>
                <w:rStyle w:val="Hyperlink"/>
              </w:rPr>
              <w:t>Integrated Strategic Planning and Reporting Framework</w:t>
            </w:r>
            <w:r>
              <w:rPr>
                <w:webHidden/>
              </w:rPr>
              <w:tab/>
            </w:r>
            <w:r>
              <w:rPr>
                <w:webHidden/>
              </w:rPr>
              <w:fldChar w:fldCharType="begin"/>
            </w:r>
            <w:r>
              <w:rPr>
                <w:webHidden/>
              </w:rPr>
              <w:instrText xml:space="preserve"> PAGEREF _Toc189219374 \h </w:instrText>
            </w:r>
            <w:r>
              <w:rPr>
                <w:webHidden/>
              </w:rPr>
            </w:r>
            <w:r>
              <w:rPr>
                <w:webHidden/>
              </w:rPr>
              <w:fldChar w:fldCharType="separate"/>
            </w:r>
            <w:r w:rsidR="00587919">
              <w:rPr>
                <w:webHidden/>
              </w:rPr>
              <w:t>4</w:t>
            </w:r>
            <w:r>
              <w:rPr>
                <w:webHidden/>
              </w:rPr>
              <w:fldChar w:fldCharType="end"/>
            </w:r>
          </w:hyperlink>
        </w:p>
        <w:p w14:paraId="26AFB9AD" w14:textId="7A41E0AA" w:rsidR="0048008A" w:rsidRDefault="0048008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89219375" w:history="1">
            <w:r w:rsidRPr="006E0C2A">
              <w:rPr>
                <w:rStyle w:val="Hyperlink"/>
              </w:rPr>
              <w:t>Statutory and regulatory requirements</w:t>
            </w:r>
            <w:r>
              <w:rPr>
                <w:webHidden/>
              </w:rPr>
              <w:tab/>
            </w:r>
            <w:r>
              <w:rPr>
                <w:webHidden/>
              </w:rPr>
              <w:fldChar w:fldCharType="begin"/>
            </w:r>
            <w:r>
              <w:rPr>
                <w:webHidden/>
              </w:rPr>
              <w:instrText xml:space="preserve"> PAGEREF _Toc189219375 \h </w:instrText>
            </w:r>
            <w:r>
              <w:rPr>
                <w:webHidden/>
              </w:rPr>
            </w:r>
            <w:r>
              <w:rPr>
                <w:webHidden/>
              </w:rPr>
              <w:fldChar w:fldCharType="separate"/>
            </w:r>
            <w:r w:rsidR="00587919">
              <w:rPr>
                <w:webHidden/>
              </w:rPr>
              <w:t>5</w:t>
            </w:r>
            <w:r>
              <w:rPr>
                <w:webHidden/>
              </w:rPr>
              <w:fldChar w:fldCharType="end"/>
            </w:r>
          </w:hyperlink>
        </w:p>
        <w:p w14:paraId="3E72EB6D" w14:textId="6D4A7EDF" w:rsidR="0048008A" w:rsidRDefault="0048008A">
          <w:pPr>
            <w:pStyle w:val="TOC2"/>
            <w:rPr>
              <w:rFonts w:eastAsiaTheme="minorEastAsia" w:cstheme="minorBidi"/>
              <w:color w:val="auto"/>
              <w:kern w:val="2"/>
              <w:sz w:val="24"/>
              <w:szCs w:val="24"/>
              <w:lang w:eastAsia="en-AU"/>
              <w14:ligatures w14:val="standardContextual"/>
            </w:rPr>
          </w:pPr>
          <w:hyperlink w:anchor="_Toc189219376" w:history="1">
            <w:r w:rsidRPr="006E0C2A">
              <w:rPr>
                <w:rStyle w:val="Hyperlink"/>
              </w:rPr>
              <w:t>Local Government Act 2020</w:t>
            </w:r>
            <w:r>
              <w:rPr>
                <w:webHidden/>
              </w:rPr>
              <w:tab/>
            </w:r>
            <w:r>
              <w:rPr>
                <w:webHidden/>
              </w:rPr>
              <w:fldChar w:fldCharType="begin"/>
            </w:r>
            <w:r>
              <w:rPr>
                <w:webHidden/>
              </w:rPr>
              <w:instrText xml:space="preserve"> PAGEREF _Toc189219376 \h </w:instrText>
            </w:r>
            <w:r>
              <w:rPr>
                <w:webHidden/>
              </w:rPr>
            </w:r>
            <w:r>
              <w:rPr>
                <w:webHidden/>
              </w:rPr>
              <w:fldChar w:fldCharType="separate"/>
            </w:r>
            <w:r w:rsidR="00587919">
              <w:rPr>
                <w:webHidden/>
              </w:rPr>
              <w:t>5</w:t>
            </w:r>
            <w:r>
              <w:rPr>
                <w:webHidden/>
              </w:rPr>
              <w:fldChar w:fldCharType="end"/>
            </w:r>
          </w:hyperlink>
        </w:p>
        <w:p w14:paraId="59BE9CAC" w14:textId="2F9EB96C" w:rsidR="0048008A" w:rsidRDefault="0048008A">
          <w:pPr>
            <w:pStyle w:val="TOC2"/>
            <w:rPr>
              <w:rFonts w:eastAsiaTheme="minorEastAsia" w:cstheme="minorBidi"/>
              <w:color w:val="auto"/>
              <w:kern w:val="2"/>
              <w:sz w:val="24"/>
              <w:szCs w:val="24"/>
              <w:lang w:eastAsia="en-AU"/>
              <w14:ligatures w14:val="standardContextual"/>
            </w:rPr>
          </w:pPr>
          <w:hyperlink w:anchor="_Toc189219377" w:history="1">
            <w:r w:rsidRPr="006E0C2A">
              <w:rPr>
                <w:rStyle w:val="Hyperlink"/>
              </w:rPr>
              <w:t>Local Government (Planning and Reporting) Regulations 2020</w:t>
            </w:r>
            <w:r>
              <w:rPr>
                <w:webHidden/>
              </w:rPr>
              <w:tab/>
            </w:r>
            <w:r>
              <w:rPr>
                <w:webHidden/>
              </w:rPr>
              <w:fldChar w:fldCharType="begin"/>
            </w:r>
            <w:r>
              <w:rPr>
                <w:webHidden/>
              </w:rPr>
              <w:instrText xml:space="preserve"> PAGEREF _Toc189219377 \h </w:instrText>
            </w:r>
            <w:r>
              <w:rPr>
                <w:webHidden/>
              </w:rPr>
            </w:r>
            <w:r>
              <w:rPr>
                <w:webHidden/>
              </w:rPr>
              <w:fldChar w:fldCharType="separate"/>
            </w:r>
            <w:r w:rsidR="00587919">
              <w:rPr>
                <w:webHidden/>
              </w:rPr>
              <w:t>8</w:t>
            </w:r>
            <w:r>
              <w:rPr>
                <w:webHidden/>
              </w:rPr>
              <w:fldChar w:fldCharType="end"/>
            </w:r>
          </w:hyperlink>
        </w:p>
        <w:p w14:paraId="008D57CB" w14:textId="5923FEBE" w:rsidR="0048008A" w:rsidRDefault="0048008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89219378" w:history="1">
            <w:r w:rsidRPr="006E0C2A">
              <w:rPr>
                <w:rStyle w:val="Hyperlink"/>
              </w:rPr>
              <w:t>Long-term financial planning better practice guide</w:t>
            </w:r>
            <w:r>
              <w:rPr>
                <w:webHidden/>
              </w:rPr>
              <w:tab/>
            </w:r>
            <w:r>
              <w:rPr>
                <w:webHidden/>
              </w:rPr>
              <w:fldChar w:fldCharType="begin"/>
            </w:r>
            <w:r>
              <w:rPr>
                <w:webHidden/>
              </w:rPr>
              <w:instrText xml:space="preserve"> PAGEREF _Toc189219378 \h </w:instrText>
            </w:r>
            <w:r>
              <w:rPr>
                <w:webHidden/>
              </w:rPr>
            </w:r>
            <w:r>
              <w:rPr>
                <w:webHidden/>
              </w:rPr>
              <w:fldChar w:fldCharType="separate"/>
            </w:r>
            <w:r w:rsidR="00587919">
              <w:rPr>
                <w:webHidden/>
              </w:rPr>
              <w:t>10</w:t>
            </w:r>
            <w:r>
              <w:rPr>
                <w:webHidden/>
              </w:rPr>
              <w:fldChar w:fldCharType="end"/>
            </w:r>
          </w:hyperlink>
        </w:p>
        <w:p w14:paraId="496DAA09" w14:textId="2F195175" w:rsidR="0048008A" w:rsidRDefault="0048008A">
          <w:pPr>
            <w:pStyle w:val="TOC2"/>
            <w:rPr>
              <w:rFonts w:eastAsiaTheme="minorEastAsia" w:cstheme="minorBidi"/>
              <w:color w:val="auto"/>
              <w:kern w:val="2"/>
              <w:sz w:val="24"/>
              <w:szCs w:val="24"/>
              <w:lang w:eastAsia="en-AU"/>
              <w14:ligatures w14:val="standardContextual"/>
            </w:rPr>
          </w:pPr>
          <w:hyperlink w:anchor="_Toc189219379" w:history="1">
            <w:r w:rsidRPr="006E0C2A">
              <w:rPr>
                <w:rStyle w:val="Hyperlink"/>
              </w:rPr>
              <w:t>Engagement Principles</w:t>
            </w:r>
            <w:r>
              <w:rPr>
                <w:webHidden/>
              </w:rPr>
              <w:tab/>
            </w:r>
            <w:r>
              <w:rPr>
                <w:webHidden/>
              </w:rPr>
              <w:fldChar w:fldCharType="begin"/>
            </w:r>
            <w:r>
              <w:rPr>
                <w:webHidden/>
              </w:rPr>
              <w:instrText xml:space="preserve"> PAGEREF _Toc189219379 \h </w:instrText>
            </w:r>
            <w:r>
              <w:rPr>
                <w:webHidden/>
              </w:rPr>
            </w:r>
            <w:r>
              <w:rPr>
                <w:webHidden/>
              </w:rPr>
              <w:fldChar w:fldCharType="separate"/>
            </w:r>
            <w:r w:rsidR="00587919">
              <w:rPr>
                <w:webHidden/>
              </w:rPr>
              <w:t>12</w:t>
            </w:r>
            <w:r>
              <w:rPr>
                <w:webHidden/>
              </w:rPr>
              <w:fldChar w:fldCharType="end"/>
            </w:r>
          </w:hyperlink>
        </w:p>
        <w:p w14:paraId="0F210A51" w14:textId="0E526334" w:rsidR="0048008A" w:rsidRDefault="0048008A">
          <w:pPr>
            <w:pStyle w:val="TOC2"/>
            <w:rPr>
              <w:rFonts w:eastAsiaTheme="minorEastAsia" w:cstheme="minorBidi"/>
              <w:color w:val="auto"/>
              <w:kern w:val="2"/>
              <w:sz w:val="24"/>
              <w:szCs w:val="24"/>
              <w:lang w:eastAsia="en-AU"/>
              <w14:ligatures w14:val="standardContextual"/>
            </w:rPr>
          </w:pPr>
          <w:hyperlink w:anchor="_Toc189219380" w:history="1">
            <w:r w:rsidRPr="006E0C2A">
              <w:rPr>
                <w:rStyle w:val="Hyperlink"/>
              </w:rPr>
              <w:t>Asset Plan Integration</w:t>
            </w:r>
            <w:r>
              <w:rPr>
                <w:webHidden/>
              </w:rPr>
              <w:tab/>
            </w:r>
            <w:r>
              <w:rPr>
                <w:webHidden/>
              </w:rPr>
              <w:fldChar w:fldCharType="begin"/>
            </w:r>
            <w:r>
              <w:rPr>
                <w:webHidden/>
              </w:rPr>
              <w:instrText xml:space="preserve"> PAGEREF _Toc189219380 \h </w:instrText>
            </w:r>
            <w:r>
              <w:rPr>
                <w:webHidden/>
              </w:rPr>
            </w:r>
            <w:r>
              <w:rPr>
                <w:webHidden/>
              </w:rPr>
              <w:fldChar w:fldCharType="separate"/>
            </w:r>
            <w:r w:rsidR="00587919">
              <w:rPr>
                <w:webHidden/>
              </w:rPr>
              <w:t>12</w:t>
            </w:r>
            <w:r>
              <w:rPr>
                <w:webHidden/>
              </w:rPr>
              <w:fldChar w:fldCharType="end"/>
            </w:r>
          </w:hyperlink>
        </w:p>
        <w:p w14:paraId="01958BB6" w14:textId="6918FF10" w:rsidR="0048008A" w:rsidRDefault="0048008A">
          <w:pPr>
            <w:pStyle w:val="TOC2"/>
            <w:rPr>
              <w:rFonts w:eastAsiaTheme="minorEastAsia" w:cstheme="minorBidi"/>
              <w:color w:val="auto"/>
              <w:kern w:val="2"/>
              <w:sz w:val="24"/>
              <w:szCs w:val="24"/>
              <w:lang w:eastAsia="en-AU"/>
              <w14:ligatures w14:val="standardContextual"/>
            </w:rPr>
          </w:pPr>
          <w:hyperlink w:anchor="_Toc189219381" w:history="1">
            <w:r w:rsidRPr="006E0C2A">
              <w:rPr>
                <w:rStyle w:val="Hyperlink"/>
              </w:rPr>
              <w:t>Revenue and Rating Plan Integration</w:t>
            </w:r>
            <w:r>
              <w:rPr>
                <w:webHidden/>
              </w:rPr>
              <w:tab/>
            </w:r>
            <w:r>
              <w:rPr>
                <w:webHidden/>
              </w:rPr>
              <w:fldChar w:fldCharType="begin"/>
            </w:r>
            <w:r>
              <w:rPr>
                <w:webHidden/>
              </w:rPr>
              <w:instrText xml:space="preserve"> PAGEREF _Toc189219381 \h </w:instrText>
            </w:r>
            <w:r>
              <w:rPr>
                <w:webHidden/>
              </w:rPr>
            </w:r>
            <w:r>
              <w:rPr>
                <w:webHidden/>
              </w:rPr>
              <w:fldChar w:fldCharType="separate"/>
            </w:r>
            <w:r w:rsidR="00587919">
              <w:rPr>
                <w:webHidden/>
              </w:rPr>
              <w:t>13</w:t>
            </w:r>
            <w:r>
              <w:rPr>
                <w:webHidden/>
              </w:rPr>
              <w:fldChar w:fldCharType="end"/>
            </w:r>
          </w:hyperlink>
        </w:p>
        <w:p w14:paraId="611D8721" w14:textId="6F99138F" w:rsidR="0048008A" w:rsidRDefault="0048008A">
          <w:pPr>
            <w:pStyle w:val="TOC2"/>
            <w:rPr>
              <w:rFonts w:eastAsiaTheme="minorEastAsia" w:cstheme="minorBidi"/>
              <w:color w:val="auto"/>
              <w:kern w:val="2"/>
              <w:sz w:val="24"/>
              <w:szCs w:val="24"/>
              <w:lang w:eastAsia="en-AU"/>
              <w14:ligatures w14:val="standardContextual"/>
            </w:rPr>
          </w:pPr>
          <w:hyperlink w:anchor="_Toc189219382" w:history="1">
            <w:r w:rsidRPr="006E0C2A">
              <w:rPr>
                <w:rStyle w:val="Hyperlink"/>
              </w:rPr>
              <w:t>Financial Policy Statements</w:t>
            </w:r>
            <w:r>
              <w:rPr>
                <w:webHidden/>
              </w:rPr>
              <w:tab/>
            </w:r>
            <w:r>
              <w:rPr>
                <w:webHidden/>
              </w:rPr>
              <w:fldChar w:fldCharType="begin"/>
            </w:r>
            <w:r>
              <w:rPr>
                <w:webHidden/>
              </w:rPr>
              <w:instrText xml:space="preserve"> PAGEREF _Toc189219382 \h </w:instrText>
            </w:r>
            <w:r>
              <w:rPr>
                <w:webHidden/>
              </w:rPr>
            </w:r>
            <w:r>
              <w:rPr>
                <w:webHidden/>
              </w:rPr>
              <w:fldChar w:fldCharType="separate"/>
            </w:r>
            <w:r w:rsidR="00587919">
              <w:rPr>
                <w:webHidden/>
              </w:rPr>
              <w:t>13</w:t>
            </w:r>
            <w:r>
              <w:rPr>
                <w:webHidden/>
              </w:rPr>
              <w:fldChar w:fldCharType="end"/>
            </w:r>
          </w:hyperlink>
        </w:p>
        <w:p w14:paraId="44D5D7CD" w14:textId="5ECCB132" w:rsidR="0048008A" w:rsidRDefault="0048008A">
          <w:pPr>
            <w:pStyle w:val="TOC2"/>
            <w:rPr>
              <w:rFonts w:eastAsiaTheme="minorEastAsia" w:cstheme="minorBidi"/>
              <w:color w:val="auto"/>
              <w:kern w:val="2"/>
              <w:sz w:val="24"/>
              <w:szCs w:val="24"/>
              <w:lang w:eastAsia="en-AU"/>
              <w14:ligatures w14:val="standardContextual"/>
            </w:rPr>
          </w:pPr>
          <w:hyperlink w:anchor="_Toc189219383" w:history="1">
            <w:r w:rsidRPr="006E0C2A">
              <w:rPr>
                <w:rStyle w:val="Hyperlink"/>
              </w:rPr>
              <w:t>Strategic Actions</w:t>
            </w:r>
            <w:r>
              <w:rPr>
                <w:webHidden/>
              </w:rPr>
              <w:tab/>
            </w:r>
            <w:r>
              <w:rPr>
                <w:webHidden/>
              </w:rPr>
              <w:fldChar w:fldCharType="begin"/>
            </w:r>
            <w:r>
              <w:rPr>
                <w:webHidden/>
              </w:rPr>
              <w:instrText xml:space="preserve"> PAGEREF _Toc189219383 \h </w:instrText>
            </w:r>
            <w:r>
              <w:rPr>
                <w:webHidden/>
              </w:rPr>
            </w:r>
            <w:r>
              <w:rPr>
                <w:webHidden/>
              </w:rPr>
              <w:fldChar w:fldCharType="separate"/>
            </w:r>
            <w:r w:rsidR="00587919">
              <w:rPr>
                <w:webHidden/>
              </w:rPr>
              <w:t>14</w:t>
            </w:r>
            <w:r>
              <w:rPr>
                <w:webHidden/>
              </w:rPr>
              <w:fldChar w:fldCharType="end"/>
            </w:r>
          </w:hyperlink>
        </w:p>
        <w:p w14:paraId="5AC4BE78" w14:textId="12B40B3D" w:rsidR="0048008A" w:rsidRDefault="0048008A">
          <w:pPr>
            <w:pStyle w:val="TOC2"/>
            <w:rPr>
              <w:rFonts w:eastAsiaTheme="minorEastAsia" w:cstheme="minorBidi"/>
              <w:color w:val="auto"/>
              <w:kern w:val="2"/>
              <w:sz w:val="24"/>
              <w:szCs w:val="24"/>
              <w:lang w:eastAsia="en-AU"/>
              <w14:ligatures w14:val="standardContextual"/>
            </w:rPr>
          </w:pPr>
          <w:hyperlink w:anchor="_Toc189219384" w:history="1">
            <w:r w:rsidRPr="006E0C2A">
              <w:rPr>
                <w:rStyle w:val="Hyperlink"/>
              </w:rPr>
              <w:t>Assumptions to the Comprehensive Income Statement</w:t>
            </w:r>
            <w:r>
              <w:rPr>
                <w:webHidden/>
              </w:rPr>
              <w:tab/>
            </w:r>
            <w:r>
              <w:rPr>
                <w:webHidden/>
              </w:rPr>
              <w:fldChar w:fldCharType="begin"/>
            </w:r>
            <w:r>
              <w:rPr>
                <w:webHidden/>
              </w:rPr>
              <w:instrText xml:space="preserve"> PAGEREF _Toc189219384 \h </w:instrText>
            </w:r>
            <w:r>
              <w:rPr>
                <w:webHidden/>
              </w:rPr>
            </w:r>
            <w:r>
              <w:rPr>
                <w:webHidden/>
              </w:rPr>
              <w:fldChar w:fldCharType="separate"/>
            </w:r>
            <w:r w:rsidR="00587919">
              <w:rPr>
                <w:webHidden/>
              </w:rPr>
              <w:t>14</w:t>
            </w:r>
            <w:r>
              <w:rPr>
                <w:webHidden/>
              </w:rPr>
              <w:fldChar w:fldCharType="end"/>
            </w:r>
          </w:hyperlink>
        </w:p>
        <w:p w14:paraId="48CBEA1E" w14:textId="7F6BC90A" w:rsidR="0048008A" w:rsidRDefault="0048008A">
          <w:pPr>
            <w:pStyle w:val="TOC2"/>
            <w:rPr>
              <w:rFonts w:eastAsiaTheme="minorEastAsia" w:cstheme="minorBidi"/>
              <w:color w:val="auto"/>
              <w:kern w:val="2"/>
              <w:sz w:val="24"/>
              <w:szCs w:val="24"/>
              <w:lang w:eastAsia="en-AU"/>
              <w14:ligatures w14:val="standardContextual"/>
            </w:rPr>
          </w:pPr>
          <w:hyperlink w:anchor="_Toc189219385" w:history="1">
            <w:r w:rsidRPr="006E0C2A">
              <w:rPr>
                <w:rStyle w:val="Hyperlink"/>
              </w:rPr>
              <w:t>Financial Plan Statements</w:t>
            </w:r>
            <w:r>
              <w:rPr>
                <w:webHidden/>
              </w:rPr>
              <w:tab/>
            </w:r>
            <w:r>
              <w:rPr>
                <w:webHidden/>
              </w:rPr>
              <w:fldChar w:fldCharType="begin"/>
            </w:r>
            <w:r>
              <w:rPr>
                <w:webHidden/>
              </w:rPr>
              <w:instrText xml:space="preserve"> PAGEREF _Toc189219385 \h </w:instrText>
            </w:r>
            <w:r>
              <w:rPr>
                <w:webHidden/>
              </w:rPr>
            </w:r>
            <w:r>
              <w:rPr>
                <w:webHidden/>
              </w:rPr>
              <w:fldChar w:fldCharType="separate"/>
            </w:r>
            <w:r w:rsidR="00587919">
              <w:rPr>
                <w:webHidden/>
              </w:rPr>
              <w:t>15</w:t>
            </w:r>
            <w:r>
              <w:rPr>
                <w:webHidden/>
              </w:rPr>
              <w:fldChar w:fldCharType="end"/>
            </w:r>
          </w:hyperlink>
        </w:p>
        <w:p w14:paraId="51E169A6" w14:textId="2CCF51CD" w:rsidR="0048008A" w:rsidRDefault="0048008A">
          <w:pPr>
            <w:pStyle w:val="TOC2"/>
            <w:rPr>
              <w:rFonts w:eastAsiaTheme="minorEastAsia" w:cstheme="minorBidi"/>
              <w:color w:val="auto"/>
              <w:kern w:val="2"/>
              <w:sz w:val="24"/>
              <w:szCs w:val="24"/>
              <w:lang w:eastAsia="en-AU"/>
              <w14:ligatures w14:val="standardContextual"/>
            </w:rPr>
          </w:pPr>
          <w:hyperlink w:anchor="_Toc189219386" w:history="1">
            <w:r w:rsidRPr="006E0C2A">
              <w:rPr>
                <w:rStyle w:val="Hyperlink"/>
              </w:rPr>
              <w:t>Financial Performance Indicators</w:t>
            </w:r>
            <w:r>
              <w:rPr>
                <w:webHidden/>
              </w:rPr>
              <w:tab/>
            </w:r>
            <w:r>
              <w:rPr>
                <w:webHidden/>
              </w:rPr>
              <w:fldChar w:fldCharType="begin"/>
            </w:r>
            <w:r>
              <w:rPr>
                <w:webHidden/>
              </w:rPr>
              <w:instrText xml:space="preserve"> PAGEREF _Toc189219386 \h </w:instrText>
            </w:r>
            <w:r>
              <w:rPr>
                <w:webHidden/>
              </w:rPr>
            </w:r>
            <w:r>
              <w:rPr>
                <w:webHidden/>
              </w:rPr>
              <w:fldChar w:fldCharType="separate"/>
            </w:r>
            <w:r w:rsidR="00587919">
              <w:rPr>
                <w:webHidden/>
              </w:rPr>
              <w:t>15</w:t>
            </w:r>
            <w:r>
              <w:rPr>
                <w:webHidden/>
              </w:rPr>
              <w:fldChar w:fldCharType="end"/>
            </w:r>
          </w:hyperlink>
        </w:p>
        <w:p w14:paraId="4F9EDC98" w14:textId="1AF93698" w:rsidR="0048008A" w:rsidRDefault="0048008A">
          <w:pPr>
            <w:pStyle w:val="TOC2"/>
            <w:rPr>
              <w:rFonts w:eastAsiaTheme="minorEastAsia" w:cstheme="minorBidi"/>
              <w:color w:val="auto"/>
              <w:kern w:val="2"/>
              <w:sz w:val="24"/>
              <w:szCs w:val="24"/>
              <w:lang w:eastAsia="en-AU"/>
              <w14:ligatures w14:val="standardContextual"/>
            </w:rPr>
          </w:pPr>
          <w:hyperlink w:anchor="_Toc189219387" w:history="1">
            <w:r w:rsidRPr="006E0C2A">
              <w:rPr>
                <w:rStyle w:val="Hyperlink"/>
              </w:rPr>
              <w:t>Borrowing Strategy</w:t>
            </w:r>
            <w:r>
              <w:rPr>
                <w:webHidden/>
              </w:rPr>
              <w:tab/>
            </w:r>
            <w:r>
              <w:rPr>
                <w:webHidden/>
              </w:rPr>
              <w:fldChar w:fldCharType="begin"/>
            </w:r>
            <w:r>
              <w:rPr>
                <w:webHidden/>
              </w:rPr>
              <w:instrText xml:space="preserve"> PAGEREF _Toc189219387 \h </w:instrText>
            </w:r>
            <w:r>
              <w:rPr>
                <w:webHidden/>
              </w:rPr>
            </w:r>
            <w:r>
              <w:rPr>
                <w:webHidden/>
              </w:rPr>
              <w:fldChar w:fldCharType="separate"/>
            </w:r>
            <w:r w:rsidR="00587919">
              <w:rPr>
                <w:webHidden/>
              </w:rPr>
              <w:t>17</w:t>
            </w:r>
            <w:r>
              <w:rPr>
                <w:webHidden/>
              </w:rPr>
              <w:fldChar w:fldCharType="end"/>
            </w:r>
          </w:hyperlink>
        </w:p>
        <w:p w14:paraId="1C81A483" w14:textId="33286E60" w:rsidR="0048008A" w:rsidRDefault="0048008A">
          <w:pPr>
            <w:pStyle w:val="TOC2"/>
            <w:rPr>
              <w:rFonts w:eastAsiaTheme="minorEastAsia" w:cstheme="minorBidi"/>
              <w:color w:val="auto"/>
              <w:kern w:val="2"/>
              <w:sz w:val="24"/>
              <w:szCs w:val="24"/>
              <w:lang w:eastAsia="en-AU"/>
              <w14:ligatures w14:val="standardContextual"/>
            </w:rPr>
          </w:pPr>
          <w:hyperlink w:anchor="_Toc189219388" w:history="1">
            <w:r w:rsidRPr="006E0C2A">
              <w:rPr>
                <w:rStyle w:val="Hyperlink"/>
              </w:rPr>
              <w:t>Reserves Strategy</w:t>
            </w:r>
            <w:r>
              <w:rPr>
                <w:webHidden/>
              </w:rPr>
              <w:tab/>
            </w:r>
            <w:r>
              <w:rPr>
                <w:webHidden/>
              </w:rPr>
              <w:fldChar w:fldCharType="begin"/>
            </w:r>
            <w:r>
              <w:rPr>
                <w:webHidden/>
              </w:rPr>
              <w:instrText xml:space="preserve"> PAGEREF _Toc189219388 \h </w:instrText>
            </w:r>
            <w:r>
              <w:rPr>
                <w:webHidden/>
              </w:rPr>
            </w:r>
            <w:r>
              <w:rPr>
                <w:webHidden/>
              </w:rPr>
              <w:fldChar w:fldCharType="separate"/>
            </w:r>
            <w:r w:rsidR="00587919">
              <w:rPr>
                <w:webHidden/>
              </w:rPr>
              <w:t>17</w:t>
            </w:r>
            <w:r>
              <w:rPr>
                <w:webHidden/>
              </w:rPr>
              <w:fldChar w:fldCharType="end"/>
            </w:r>
          </w:hyperlink>
        </w:p>
        <w:p w14:paraId="349101A5" w14:textId="13BB95BC" w:rsidR="0048008A" w:rsidRDefault="0048008A">
          <w:pPr>
            <w:pStyle w:val="TOC2"/>
            <w:rPr>
              <w:rFonts w:eastAsiaTheme="minorEastAsia" w:cstheme="minorBidi"/>
              <w:color w:val="auto"/>
              <w:kern w:val="2"/>
              <w:sz w:val="24"/>
              <w:szCs w:val="24"/>
              <w:lang w:eastAsia="en-AU"/>
              <w14:ligatures w14:val="standardContextual"/>
            </w:rPr>
          </w:pPr>
          <w:hyperlink w:anchor="_Toc189219389" w:history="1">
            <w:r w:rsidRPr="006E0C2A">
              <w:rPr>
                <w:rStyle w:val="Hyperlink"/>
              </w:rPr>
              <w:t>Treasury Management Approach</w:t>
            </w:r>
            <w:r>
              <w:rPr>
                <w:webHidden/>
              </w:rPr>
              <w:tab/>
            </w:r>
            <w:r>
              <w:rPr>
                <w:webHidden/>
              </w:rPr>
              <w:fldChar w:fldCharType="begin"/>
            </w:r>
            <w:r>
              <w:rPr>
                <w:webHidden/>
              </w:rPr>
              <w:instrText xml:space="preserve"> PAGEREF _Toc189219389 \h </w:instrText>
            </w:r>
            <w:r>
              <w:rPr>
                <w:webHidden/>
              </w:rPr>
            </w:r>
            <w:r>
              <w:rPr>
                <w:webHidden/>
              </w:rPr>
              <w:fldChar w:fldCharType="separate"/>
            </w:r>
            <w:r w:rsidR="00587919">
              <w:rPr>
                <w:webHidden/>
              </w:rPr>
              <w:t>18</w:t>
            </w:r>
            <w:r>
              <w:rPr>
                <w:webHidden/>
              </w:rPr>
              <w:fldChar w:fldCharType="end"/>
            </w:r>
          </w:hyperlink>
        </w:p>
        <w:p w14:paraId="39F8D86E" w14:textId="31F04BE3" w:rsidR="0048008A" w:rsidRDefault="0048008A">
          <w:pPr>
            <w:pStyle w:val="TOC2"/>
            <w:rPr>
              <w:rFonts w:eastAsiaTheme="minorEastAsia" w:cstheme="minorBidi"/>
              <w:color w:val="auto"/>
              <w:kern w:val="2"/>
              <w:sz w:val="24"/>
              <w:szCs w:val="24"/>
              <w:lang w:eastAsia="en-AU"/>
              <w14:ligatures w14:val="standardContextual"/>
            </w:rPr>
          </w:pPr>
          <w:hyperlink w:anchor="_Toc189219390" w:history="1">
            <w:r w:rsidRPr="006E0C2A">
              <w:rPr>
                <w:rStyle w:val="Hyperlink"/>
              </w:rPr>
              <w:t>Investment Strategy</w:t>
            </w:r>
            <w:r>
              <w:rPr>
                <w:webHidden/>
              </w:rPr>
              <w:tab/>
            </w:r>
            <w:r>
              <w:rPr>
                <w:webHidden/>
              </w:rPr>
              <w:fldChar w:fldCharType="begin"/>
            </w:r>
            <w:r>
              <w:rPr>
                <w:webHidden/>
              </w:rPr>
              <w:instrText xml:space="preserve"> PAGEREF _Toc189219390 \h </w:instrText>
            </w:r>
            <w:r>
              <w:rPr>
                <w:webHidden/>
              </w:rPr>
            </w:r>
            <w:r>
              <w:rPr>
                <w:webHidden/>
              </w:rPr>
              <w:fldChar w:fldCharType="separate"/>
            </w:r>
            <w:r w:rsidR="00587919">
              <w:rPr>
                <w:webHidden/>
              </w:rPr>
              <w:t>18</w:t>
            </w:r>
            <w:r>
              <w:rPr>
                <w:webHidden/>
              </w:rPr>
              <w:fldChar w:fldCharType="end"/>
            </w:r>
          </w:hyperlink>
        </w:p>
        <w:p w14:paraId="1A93C45D" w14:textId="7DECDB3E" w:rsidR="0048008A" w:rsidRDefault="0048008A">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89219391" w:history="1">
            <w:r w:rsidRPr="006E0C2A">
              <w:rPr>
                <w:rStyle w:val="Hyperlink"/>
                <w:rFonts w:eastAsia="Cambria"/>
              </w:rPr>
              <w:t>References</w:t>
            </w:r>
            <w:r>
              <w:rPr>
                <w:webHidden/>
              </w:rPr>
              <w:tab/>
            </w:r>
            <w:r>
              <w:rPr>
                <w:webHidden/>
              </w:rPr>
              <w:fldChar w:fldCharType="begin"/>
            </w:r>
            <w:r>
              <w:rPr>
                <w:webHidden/>
              </w:rPr>
              <w:instrText xml:space="preserve"> PAGEREF _Toc189219391 \h </w:instrText>
            </w:r>
            <w:r>
              <w:rPr>
                <w:webHidden/>
              </w:rPr>
            </w:r>
            <w:r>
              <w:rPr>
                <w:webHidden/>
              </w:rPr>
              <w:fldChar w:fldCharType="separate"/>
            </w:r>
            <w:r w:rsidR="00587919">
              <w:rPr>
                <w:webHidden/>
              </w:rPr>
              <w:t>20</w:t>
            </w:r>
            <w:r>
              <w:rPr>
                <w:webHidden/>
              </w:rPr>
              <w:fldChar w:fldCharType="end"/>
            </w:r>
          </w:hyperlink>
        </w:p>
        <w:p w14:paraId="3ED05F90" w14:textId="31E0D371" w:rsidR="007A5FF8" w:rsidRDefault="00EC1E93" w:rsidP="009C774C">
          <w:pPr>
            <w:pStyle w:val="TOC1"/>
          </w:pPr>
          <w:r>
            <w:fldChar w:fldCharType="end"/>
          </w:r>
        </w:p>
      </w:sdtContent>
    </w:sdt>
    <w:p w14:paraId="4EDD0BB8" w14:textId="0B8B1635" w:rsidR="00262E24" w:rsidRPr="007A5FF8" w:rsidRDefault="00262E24" w:rsidP="00C11BA5">
      <w:r>
        <w:br w:type="page"/>
      </w:r>
    </w:p>
    <w:p w14:paraId="584C1B33" w14:textId="35300FE5" w:rsidR="00F14225" w:rsidRPr="00F14225" w:rsidRDefault="00F14225" w:rsidP="00F14225">
      <w:pPr>
        <w:pStyle w:val="Heading1"/>
        <w:rPr>
          <w:sz w:val="36"/>
          <w:szCs w:val="36"/>
        </w:rPr>
      </w:pPr>
      <w:bookmarkStart w:id="1" w:name="_Toc189219373"/>
      <w:r w:rsidRPr="00F14225">
        <w:rPr>
          <w:sz w:val="36"/>
          <w:szCs w:val="36"/>
        </w:rPr>
        <w:lastRenderedPageBreak/>
        <w:t>Acronyms</w:t>
      </w:r>
      <w:bookmarkEnd w:id="1"/>
      <w:r w:rsidR="00656D3E" w:rsidRPr="00F14225">
        <w:rPr>
          <w:sz w:val="36"/>
          <w:szCs w:val="36"/>
        </w:rPr>
        <w:t xml:space="preserve"> </w:t>
      </w:r>
    </w:p>
    <w:p w14:paraId="633F9B57" w14:textId="77777777" w:rsidR="00F14225" w:rsidRDefault="00F14225" w:rsidP="00F14225"/>
    <w:p w14:paraId="37612E4D" w14:textId="6CD5DB01" w:rsidR="00F14225" w:rsidRPr="00F127FE" w:rsidRDefault="00F14225" w:rsidP="00F14225">
      <w:r w:rsidRPr="00F127FE">
        <w:t>AAS</w:t>
      </w:r>
      <w:r w:rsidRPr="00F127FE">
        <w:tab/>
      </w:r>
      <w:r w:rsidRPr="00F127FE">
        <w:tab/>
        <w:t>Australian Accounting Standards</w:t>
      </w:r>
    </w:p>
    <w:p w14:paraId="263A02D0" w14:textId="77777777" w:rsidR="00F14225" w:rsidRPr="00F127FE" w:rsidRDefault="00F14225" w:rsidP="00F14225">
      <w:r w:rsidRPr="00F127FE">
        <w:t>BPG</w:t>
      </w:r>
      <w:r w:rsidRPr="00F127FE">
        <w:tab/>
      </w:r>
      <w:r w:rsidRPr="00F127FE">
        <w:tab/>
        <w:t>Better Practice Guide</w:t>
      </w:r>
    </w:p>
    <w:p w14:paraId="1A8A99F1" w14:textId="77777777" w:rsidR="00F14225" w:rsidRPr="00F127FE" w:rsidRDefault="00F14225" w:rsidP="00F14225">
      <w:r w:rsidRPr="00F127FE">
        <w:t>COVID-19</w:t>
      </w:r>
      <w:r w:rsidRPr="00F127FE">
        <w:tab/>
        <w:t>Coronavirus (COVID-19) Pandemic</w:t>
      </w:r>
    </w:p>
    <w:p w14:paraId="524064C0" w14:textId="7A572AD2" w:rsidR="00F14225" w:rsidRPr="00F127FE" w:rsidRDefault="00F14225" w:rsidP="00F14225">
      <w:r w:rsidRPr="00F127FE">
        <w:t>D</w:t>
      </w:r>
      <w:r>
        <w:t>GS</w:t>
      </w:r>
      <w:r w:rsidRPr="00F127FE">
        <w:tab/>
      </w:r>
      <w:r w:rsidRPr="00F127FE">
        <w:tab/>
        <w:t xml:space="preserve">Department of </w:t>
      </w:r>
      <w:r>
        <w:t>Government Services</w:t>
      </w:r>
    </w:p>
    <w:p w14:paraId="0B660E6B" w14:textId="77777777" w:rsidR="00F14225" w:rsidRPr="00F127FE" w:rsidRDefault="00F14225" w:rsidP="00F14225">
      <w:proofErr w:type="spellStart"/>
      <w:r w:rsidRPr="00F127FE">
        <w:t>FinPro</w:t>
      </w:r>
      <w:proofErr w:type="spellEnd"/>
      <w:r w:rsidRPr="00F127FE">
        <w:tab/>
      </w:r>
      <w:r w:rsidRPr="00F127FE">
        <w:tab/>
        <w:t>Local Government Finance Professionals</w:t>
      </w:r>
    </w:p>
    <w:p w14:paraId="6543CB3A" w14:textId="77777777" w:rsidR="00F14225" w:rsidRPr="00F127FE" w:rsidRDefault="00F14225" w:rsidP="00F14225">
      <w:r w:rsidRPr="00F127FE">
        <w:t>FTE</w:t>
      </w:r>
      <w:r w:rsidRPr="00F127FE">
        <w:tab/>
      </w:r>
      <w:r w:rsidRPr="00F127FE">
        <w:tab/>
        <w:t>Full Time Equivalent</w:t>
      </w:r>
    </w:p>
    <w:p w14:paraId="74D85E49" w14:textId="77777777" w:rsidR="00F14225" w:rsidRPr="00F127FE" w:rsidRDefault="00F14225" w:rsidP="00F14225">
      <w:r w:rsidRPr="00F127FE">
        <w:t>FY</w:t>
      </w:r>
      <w:r w:rsidRPr="00F127FE">
        <w:tab/>
      </w:r>
      <w:r w:rsidRPr="00F127FE">
        <w:tab/>
        <w:t>Financial Year</w:t>
      </w:r>
    </w:p>
    <w:p w14:paraId="2BA61E24" w14:textId="77777777" w:rsidR="00F14225" w:rsidRPr="00F127FE" w:rsidRDefault="00F14225" w:rsidP="00F14225">
      <w:r w:rsidRPr="00F127FE">
        <w:t>FGRS</w:t>
      </w:r>
      <w:r w:rsidRPr="00F127FE">
        <w:tab/>
      </w:r>
      <w:r w:rsidRPr="00F127FE">
        <w:tab/>
        <w:t>Fair Go Rates System</w:t>
      </w:r>
    </w:p>
    <w:p w14:paraId="1EDF1C3A" w14:textId="77777777" w:rsidR="00F14225" w:rsidRPr="00F127FE" w:rsidRDefault="00F14225" w:rsidP="00F14225">
      <w:r w:rsidRPr="00F127FE">
        <w:t>ISPRF</w:t>
      </w:r>
      <w:r w:rsidRPr="00F127FE">
        <w:tab/>
      </w:r>
      <w:r w:rsidRPr="00F127FE">
        <w:tab/>
        <w:t>Integrated Strategic Planning and Reporting Framework</w:t>
      </w:r>
    </w:p>
    <w:p w14:paraId="704AAC0B" w14:textId="5D448501" w:rsidR="00F14225" w:rsidRPr="00F127FE" w:rsidRDefault="00F14225" w:rsidP="00F14225">
      <w:r w:rsidRPr="00F127FE">
        <w:t>LGMFR</w:t>
      </w:r>
      <w:r w:rsidRPr="00F127FE">
        <w:tab/>
        <w:t>Local Government Model Financial Report</w:t>
      </w:r>
    </w:p>
    <w:p w14:paraId="7BB70D11" w14:textId="28AF6C2E" w:rsidR="00F14225" w:rsidRPr="00F127FE" w:rsidRDefault="00F14225" w:rsidP="00F14225">
      <w:r w:rsidRPr="00F127FE">
        <w:t>LGPRF</w:t>
      </w:r>
      <w:r w:rsidRPr="00F127FE">
        <w:tab/>
        <w:t>Local Government Performance Reporting Framework</w:t>
      </w:r>
    </w:p>
    <w:p w14:paraId="387D34BF" w14:textId="77777777" w:rsidR="00F14225" w:rsidRPr="00F127FE" w:rsidRDefault="00F14225" w:rsidP="00F14225">
      <w:r w:rsidRPr="00F127FE">
        <w:t>LGV</w:t>
      </w:r>
      <w:r w:rsidRPr="00F127FE">
        <w:tab/>
      </w:r>
      <w:r w:rsidRPr="00F127FE">
        <w:tab/>
        <w:t>Local Government Victoria</w:t>
      </w:r>
    </w:p>
    <w:p w14:paraId="365D48B2" w14:textId="77777777" w:rsidR="00F14225" w:rsidRDefault="00F14225" w:rsidP="00F14225">
      <w:r w:rsidRPr="00F127FE">
        <w:t>VAGO</w:t>
      </w:r>
      <w:r w:rsidRPr="00F127FE">
        <w:tab/>
      </w:r>
      <w:r w:rsidRPr="00F127FE">
        <w:tab/>
        <w:t>Victorian Auditor</w:t>
      </w:r>
      <w:r w:rsidRPr="00F127FE">
        <w:rPr>
          <w:rFonts w:ascii="Cambria Math" w:hAnsi="Cambria Math" w:cs="Cambria Math"/>
        </w:rPr>
        <w:t>‐</w:t>
      </w:r>
      <w:r w:rsidRPr="00F127FE">
        <w:t>General’s Office</w:t>
      </w:r>
    </w:p>
    <w:p w14:paraId="27B9C0C0" w14:textId="2F68E599" w:rsidR="00F14225" w:rsidRDefault="00F14225">
      <w:pPr>
        <w:snapToGrid/>
        <w:spacing w:after="0" w:line="240" w:lineRule="auto"/>
        <w:rPr>
          <w:rFonts w:asciiTheme="majorHAnsi" w:hAnsiTheme="majorHAnsi"/>
          <w:color w:val="005F9E" w:themeColor="accent1"/>
          <w:spacing w:val="-1"/>
          <w:sz w:val="34"/>
          <w:szCs w:val="28"/>
        </w:rPr>
      </w:pPr>
      <w:r>
        <w:br w:type="page"/>
      </w:r>
    </w:p>
    <w:p w14:paraId="60228BE8" w14:textId="4BC91E37" w:rsidR="00630438" w:rsidRDefault="00630438" w:rsidP="00630438">
      <w:pPr>
        <w:pStyle w:val="Heading1"/>
        <w:rPr>
          <w:rFonts w:ascii="Arial" w:eastAsia="Times New Roman" w:hAnsi="Arial" w:cs="Times New Roman"/>
          <w:color w:val="00B5AF" w:themeColor="accent4"/>
          <w:sz w:val="36"/>
          <w:szCs w:val="32"/>
        </w:rPr>
      </w:pPr>
      <w:bookmarkStart w:id="2" w:name="_Toc95736455"/>
      <w:bookmarkStart w:id="3" w:name="_Toc189219374"/>
      <w:r>
        <w:lastRenderedPageBreak/>
        <w:t>Integrated Strategic Planning and Reporting Framework</w:t>
      </w:r>
      <w:bookmarkEnd w:id="2"/>
      <w:bookmarkEnd w:id="3"/>
    </w:p>
    <w:p w14:paraId="285E3C84" w14:textId="77777777" w:rsidR="00630438" w:rsidRDefault="00630438" w:rsidP="00630438">
      <w:pPr>
        <w:pStyle w:val="introparagraph"/>
      </w:pPr>
      <w:r>
        <w:t>Introduction</w:t>
      </w:r>
    </w:p>
    <w:p w14:paraId="328BB137" w14:textId="27DD7B85" w:rsidR="00250702" w:rsidRPr="00865DE4" w:rsidRDefault="00630438" w:rsidP="00630438">
      <w:pPr>
        <w:rPr>
          <w:szCs w:val="22"/>
        </w:rPr>
      </w:pPr>
      <w:r w:rsidRPr="00865DE4">
        <w:rPr>
          <w:szCs w:val="22"/>
        </w:rPr>
        <w:t xml:space="preserve">The </w:t>
      </w:r>
      <w:r w:rsidR="00CA62C8" w:rsidRPr="00865DE4">
        <w:rPr>
          <w:i/>
          <w:iCs/>
          <w:szCs w:val="22"/>
        </w:rPr>
        <w:t>Local Government Act 2020</w:t>
      </w:r>
      <w:r w:rsidR="00CA62C8" w:rsidRPr="00865DE4">
        <w:rPr>
          <w:szCs w:val="22"/>
        </w:rPr>
        <w:t xml:space="preserve"> (the Act)</w:t>
      </w:r>
      <w:r w:rsidRPr="00865DE4">
        <w:rPr>
          <w:szCs w:val="22"/>
        </w:rPr>
        <w:t xml:space="preserve"> introduce</w:t>
      </w:r>
      <w:r w:rsidR="002221A5" w:rsidRPr="00865DE4">
        <w:rPr>
          <w:szCs w:val="22"/>
        </w:rPr>
        <w:t>d</w:t>
      </w:r>
      <w:r w:rsidRPr="00865DE4">
        <w:rPr>
          <w:szCs w:val="22"/>
        </w:rPr>
        <w:t xml:space="preserve"> strategic planning principles for Victorian councils which include an integrated approach to planning, monitoring and performance reporting.</w:t>
      </w:r>
      <w:r w:rsidRPr="00865DE4">
        <w:rPr>
          <w:rStyle w:val="FootnoteReference"/>
        </w:rPr>
        <w:footnoteReference w:id="2"/>
      </w:r>
      <w:r w:rsidRPr="00865DE4">
        <w:rPr>
          <w:szCs w:val="22"/>
        </w:rPr>
        <w:t xml:space="preserve"> </w:t>
      </w:r>
      <w:r w:rsidR="00250702" w:rsidRPr="00865DE4">
        <w:rPr>
          <w:szCs w:val="22"/>
        </w:rPr>
        <w:t>The Act is a principles-based Act, removing unnecessary regulatory and legislative prescription.</w:t>
      </w:r>
    </w:p>
    <w:p w14:paraId="01384A2B" w14:textId="77777777" w:rsidR="00630438" w:rsidRPr="00865DE4" w:rsidRDefault="00630438" w:rsidP="00630438">
      <w:pPr>
        <w:rPr>
          <w:szCs w:val="22"/>
        </w:rPr>
      </w:pPr>
      <w:r w:rsidRPr="00865DE4">
        <w:rPr>
          <w:szCs w:val="22"/>
        </w:rPr>
        <w:t>A component of the Integrated Strategic Planning and Reporting Framework (ISPRF) is the Financial Plan. The Financial Plan is a rolling plan with a scope of at least the next 10 financial years.</w:t>
      </w:r>
    </w:p>
    <w:p w14:paraId="67820D9D" w14:textId="4EAF3A9C" w:rsidR="00630438" w:rsidRDefault="00630438" w:rsidP="00630438">
      <w:pPr>
        <w:rPr>
          <w:szCs w:val="22"/>
        </w:rPr>
      </w:pPr>
      <w:r w:rsidRPr="00865DE4">
        <w:rPr>
          <w:szCs w:val="22"/>
        </w:rPr>
        <w:t xml:space="preserve">This better practice guide sets out the key legislative and regulatory provisions relevant to the Financial Plan. It also considers technical and better practice aspects of long-term financial planning and provides support and guidance regarding the Financial Plan. </w:t>
      </w:r>
    </w:p>
    <w:p w14:paraId="5BBD3934" w14:textId="1327FD2E" w:rsidR="009C1A87" w:rsidRPr="00767258" w:rsidRDefault="009C1A87" w:rsidP="00767258">
      <w:pPr>
        <w:pStyle w:val="Heading3"/>
      </w:pPr>
      <w:r w:rsidRPr="00767258">
        <w:t>Changes to the 202</w:t>
      </w:r>
      <w:r w:rsidR="000633AA" w:rsidRPr="00767258">
        <w:t>5-26 edition</w:t>
      </w:r>
    </w:p>
    <w:p w14:paraId="25551900" w14:textId="4B7C3354" w:rsidR="009C1A87" w:rsidRPr="009C1A87" w:rsidRDefault="003C5640" w:rsidP="009C1A87">
      <w:pPr>
        <w:rPr>
          <w:szCs w:val="22"/>
        </w:rPr>
      </w:pPr>
      <w:r w:rsidRPr="00865DE4">
        <w:rPr>
          <w:szCs w:val="22"/>
        </w:rPr>
        <w:t>The first iteration of this guide was co-designed by the Local Government Finance Professionals (</w:t>
      </w:r>
      <w:proofErr w:type="spellStart"/>
      <w:r w:rsidRPr="00865DE4">
        <w:rPr>
          <w:szCs w:val="22"/>
        </w:rPr>
        <w:t>FinPro</w:t>
      </w:r>
      <w:proofErr w:type="spellEnd"/>
      <w:r w:rsidRPr="00865DE4">
        <w:rPr>
          <w:szCs w:val="22"/>
        </w:rPr>
        <w:t>) and Local Government Victoria</w:t>
      </w:r>
      <w:r w:rsidR="00C96C42">
        <w:rPr>
          <w:szCs w:val="22"/>
        </w:rPr>
        <w:t>.</w:t>
      </w:r>
      <w:r w:rsidRPr="00865DE4">
        <w:rPr>
          <w:szCs w:val="22"/>
        </w:rPr>
        <w:t xml:space="preserve"> </w:t>
      </w:r>
      <w:r w:rsidR="009C1A87" w:rsidRPr="009C1A87">
        <w:rPr>
          <w:szCs w:val="22"/>
        </w:rPr>
        <w:t xml:space="preserve">In line with the principles-based approach of the </w:t>
      </w:r>
      <w:r w:rsidR="009C1A87" w:rsidRPr="00E07A8A">
        <w:rPr>
          <w:i/>
          <w:iCs/>
          <w:szCs w:val="22"/>
        </w:rPr>
        <w:t>Local Government Act 2020</w:t>
      </w:r>
      <w:r w:rsidR="009C1A87" w:rsidRPr="009C1A87">
        <w:rPr>
          <w:szCs w:val="22"/>
        </w:rPr>
        <w:t xml:space="preserve"> and the sector’s familiarity with </w:t>
      </w:r>
      <w:r w:rsidR="001459D4">
        <w:rPr>
          <w:szCs w:val="22"/>
        </w:rPr>
        <w:t xml:space="preserve">the legislated </w:t>
      </w:r>
      <w:r w:rsidR="009C1A87" w:rsidRPr="009C1A87">
        <w:rPr>
          <w:szCs w:val="22"/>
        </w:rPr>
        <w:t xml:space="preserve">requirements, this </w:t>
      </w:r>
      <w:r w:rsidR="00C96C42">
        <w:rPr>
          <w:szCs w:val="22"/>
        </w:rPr>
        <w:t>2025-26 to 2034-35 edition</w:t>
      </w:r>
      <w:r w:rsidR="009C1A87" w:rsidRPr="009C1A87">
        <w:rPr>
          <w:szCs w:val="22"/>
        </w:rPr>
        <w:t xml:space="preserve"> has been re</w:t>
      </w:r>
      <w:r w:rsidR="006E2F97">
        <w:rPr>
          <w:szCs w:val="22"/>
        </w:rPr>
        <w:t>vised</w:t>
      </w:r>
      <w:r w:rsidR="009C1A87" w:rsidRPr="009C1A87">
        <w:rPr>
          <w:szCs w:val="22"/>
        </w:rPr>
        <w:t xml:space="preserve"> to meet the current and future needs</w:t>
      </w:r>
      <w:r w:rsidR="001459D4">
        <w:rPr>
          <w:szCs w:val="22"/>
        </w:rPr>
        <w:t xml:space="preserve"> and responsibilities</w:t>
      </w:r>
      <w:r w:rsidR="009C1A87" w:rsidRPr="009C1A87">
        <w:rPr>
          <w:szCs w:val="22"/>
        </w:rPr>
        <w:t xml:space="preserve"> of the sector.</w:t>
      </w:r>
    </w:p>
    <w:p w14:paraId="5BEDAFA0" w14:textId="0EF7AC4A" w:rsidR="00755F63" w:rsidRDefault="009C1A87" w:rsidP="009C1A87">
      <w:pPr>
        <w:rPr>
          <w:szCs w:val="22"/>
        </w:rPr>
      </w:pPr>
      <w:r w:rsidRPr="009C1A87">
        <w:rPr>
          <w:szCs w:val="22"/>
        </w:rPr>
        <w:t xml:space="preserve">The document </w:t>
      </w:r>
      <w:r w:rsidR="00E13337">
        <w:rPr>
          <w:szCs w:val="22"/>
        </w:rPr>
        <w:t xml:space="preserve">has shifted </w:t>
      </w:r>
      <w:r w:rsidRPr="009C1A87">
        <w:rPr>
          <w:szCs w:val="22"/>
        </w:rPr>
        <w:t>from a prescriptive model to a</w:t>
      </w:r>
      <w:r w:rsidR="007E41FF">
        <w:rPr>
          <w:szCs w:val="22"/>
        </w:rPr>
        <w:t xml:space="preserve"> more generalist</w:t>
      </w:r>
      <w:r w:rsidR="00755F63">
        <w:rPr>
          <w:szCs w:val="22"/>
        </w:rPr>
        <w:t xml:space="preserve"> </w:t>
      </w:r>
      <w:r w:rsidRPr="009C1A87">
        <w:rPr>
          <w:szCs w:val="22"/>
        </w:rPr>
        <w:t xml:space="preserve">guide. </w:t>
      </w:r>
      <w:r w:rsidR="00755F63">
        <w:rPr>
          <w:szCs w:val="22"/>
        </w:rPr>
        <w:t xml:space="preserve">To this end, the template model Financial Plan </w:t>
      </w:r>
      <w:r w:rsidR="00221B92">
        <w:rPr>
          <w:szCs w:val="22"/>
        </w:rPr>
        <w:t>and the example text</w:t>
      </w:r>
      <w:r w:rsidR="001F0D7C">
        <w:rPr>
          <w:szCs w:val="22"/>
        </w:rPr>
        <w:t xml:space="preserve"> throughout</w:t>
      </w:r>
      <w:r w:rsidR="00221B92">
        <w:rPr>
          <w:szCs w:val="22"/>
        </w:rPr>
        <w:t xml:space="preserve"> of the previous edition </w:t>
      </w:r>
      <w:r w:rsidR="00931376">
        <w:rPr>
          <w:szCs w:val="22"/>
        </w:rPr>
        <w:t xml:space="preserve">have been </w:t>
      </w:r>
      <w:r w:rsidR="00221B92">
        <w:rPr>
          <w:szCs w:val="22"/>
        </w:rPr>
        <w:t>removed.</w:t>
      </w:r>
    </w:p>
    <w:p w14:paraId="06C08E47" w14:textId="78532205" w:rsidR="008913B1" w:rsidRPr="009C1A87" w:rsidRDefault="00221B92" w:rsidP="008913B1">
      <w:pPr>
        <w:rPr>
          <w:szCs w:val="22"/>
        </w:rPr>
      </w:pPr>
      <w:r>
        <w:rPr>
          <w:szCs w:val="22"/>
        </w:rPr>
        <w:t>The result is a shorter</w:t>
      </w:r>
      <w:r w:rsidR="0063509B">
        <w:rPr>
          <w:szCs w:val="22"/>
        </w:rPr>
        <w:t xml:space="preserve"> document providing broader guidance focussed on expectations</w:t>
      </w:r>
      <w:r w:rsidR="001050D2">
        <w:rPr>
          <w:szCs w:val="22"/>
        </w:rPr>
        <w:t xml:space="preserve">. This aligns with the expectation that a council’s Financial Plan be the </w:t>
      </w:r>
      <w:r w:rsidR="00931376">
        <w:rPr>
          <w:szCs w:val="22"/>
        </w:rPr>
        <w:t>product</w:t>
      </w:r>
      <w:r w:rsidR="001050D2">
        <w:rPr>
          <w:szCs w:val="22"/>
        </w:rPr>
        <w:t xml:space="preserve"> of hard thinking, focussed </w:t>
      </w:r>
      <w:r w:rsidR="0071684C">
        <w:rPr>
          <w:szCs w:val="22"/>
        </w:rPr>
        <w:t>discussions and quality evidence within council organisations</w:t>
      </w:r>
      <w:r w:rsidR="0056415F">
        <w:rPr>
          <w:szCs w:val="22"/>
        </w:rPr>
        <w:t>, shaped and informed by community engagement.</w:t>
      </w:r>
      <w:r w:rsidR="001459D4">
        <w:rPr>
          <w:szCs w:val="22"/>
        </w:rPr>
        <w:t xml:space="preserve"> </w:t>
      </w:r>
      <w:r w:rsidR="00AB3B74">
        <w:rPr>
          <w:szCs w:val="22"/>
        </w:rPr>
        <w:t xml:space="preserve">Accordingly, the 79 </w:t>
      </w:r>
      <w:r w:rsidR="00680D8E">
        <w:rPr>
          <w:szCs w:val="22"/>
        </w:rPr>
        <w:t xml:space="preserve">council </w:t>
      </w:r>
      <w:r w:rsidR="00AB3B74">
        <w:rPr>
          <w:szCs w:val="22"/>
        </w:rPr>
        <w:t xml:space="preserve">Financial Plans that will be developed over 2025 </w:t>
      </w:r>
      <w:r w:rsidR="00DF04EE">
        <w:rPr>
          <w:szCs w:val="22"/>
        </w:rPr>
        <w:t xml:space="preserve">should </w:t>
      </w:r>
      <w:r w:rsidR="008913B1">
        <w:rPr>
          <w:szCs w:val="22"/>
        </w:rPr>
        <w:t xml:space="preserve">and will </w:t>
      </w:r>
      <w:r w:rsidR="00AB3B74">
        <w:rPr>
          <w:szCs w:val="22"/>
        </w:rPr>
        <w:t>all be different</w:t>
      </w:r>
      <w:r w:rsidR="008913B1">
        <w:rPr>
          <w:szCs w:val="22"/>
        </w:rPr>
        <w:t xml:space="preserve"> – often starkly so</w:t>
      </w:r>
      <w:r w:rsidR="00DF04EE">
        <w:rPr>
          <w:szCs w:val="22"/>
        </w:rPr>
        <w:t>. A templated model</w:t>
      </w:r>
      <w:r w:rsidR="0073773D">
        <w:rPr>
          <w:szCs w:val="22"/>
        </w:rPr>
        <w:t xml:space="preserve"> and guid</w:t>
      </w:r>
      <w:r w:rsidR="00E07A8A">
        <w:rPr>
          <w:szCs w:val="22"/>
        </w:rPr>
        <w:t>ance</w:t>
      </w:r>
      <w:r w:rsidR="0073773D">
        <w:rPr>
          <w:szCs w:val="22"/>
        </w:rPr>
        <w:t xml:space="preserve"> with extensive example text </w:t>
      </w:r>
      <w:r w:rsidR="00E07A8A">
        <w:rPr>
          <w:szCs w:val="22"/>
        </w:rPr>
        <w:t>to copy and paste</w:t>
      </w:r>
      <w:r w:rsidR="00DF04EE">
        <w:rPr>
          <w:szCs w:val="22"/>
        </w:rPr>
        <w:t xml:space="preserve"> does not serve this aspiration</w:t>
      </w:r>
      <w:r w:rsidR="008913B1">
        <w:rPr>
          <w:szCs w:val="22"/>
        </w:rPr>
        <w:t>, and this new edition is an expression of this</w:t>
      </w:r>
      <w:r w:rsidR="00DF04EE">
        <w:rPr>
          <w:szCs w:val="22"/>
        </w:rPr>
        <w:t xml:space="preserve">. </w:t>
      </w:r>
    </w:p>
    <w:p w14:paraId="241EE0FC" w14:textId="2EF7DA11" w:rsidR="008913B1" w:rsidRPr="00865DE4" w:rsidRDefault="008913B1" w:rsidP="008913B1">
      <w:pPr>
        <w:rPr>
          <w:szCs w:val="22"/>
        </w:rPr>
      </w:pPr>
      <w:r w:rsidRPr="009C1A87">
        <w:rPr>
          <w:szCs w:val="22"/>
        </w:rPr>
        <w:t>Additionally, the document includes changes resulting from re-formatting the guide and updating relevant dates.</w:t>
      </w:r>
      <w:r w:rsidR="00E07A8A" w:rsidRPr="00E07A8A">
        <w:rPr>
          <w:szCs w:val="22"/>
        </w:rPr>
        <w:t xml:space="preserve"> </w:t>
      </w:r>
      <w:r w:rsidR="00E07A8A" w:rsidRPr="009C1A87">
        <w:rPr>
          <w:szCs w:val="22"/>
        </w:rPr>
        <w:t>Councils are encouraged to read this document in its entirety.</w:t>
      </w:r>
    </w:p>
    <w:p w14:paraId="5CBE9C74" w14:textId="77777777" w:rsidR="00630438" w:rsidRPr="00865DE4" w:rsidRDefault="00630438" w:rsidP="00630438">
      <w:pPr>
        <w:rPr>
          <w:sz w:val="24"/>
          <w:szCs w:val="22"/>
        </w:rPr>
      </w:pPr>
    </w:p>
    <w:p w14:paraId="1784F4F3" w14:textId="109BF531" w:rsidR="00630438" w:rsidRDefault="00630438" w:rsidP="00231BA4">
      <w:pPr>
        <w:pStyle w:val="Heading1"/>
        <w:ind w:right="134"/>
      </w:pPr>
      <w:bookmarkStart w:id="4" w:name="_Toc95736456"/>
      <w:bookmarkStart w:id="5" w:name="_Toc189219375"/>
      <w:r>
        <w:lastRenderedPageBreak/>
        <w:t>Statutory and regulatory requirements</w:t>
      </w:r>
      <w:bookmarkEnd w:id="4"/>
      <w:bookmarkEnd w:id="5"/>
    </w:p>
    <w:p w14:paraId="62B5BA7C" w14:textId="0FAA066E" w:rsidR="00630438" w:rsidRDefault="00630438" w:rsidP="00630438">
      <w:pPr>
        <w:pStyle w:val="Heading2"/>
        <w:ind w:left="567" w:hanging="567"/>
      </w:pPr>
      <w:bookmarkStart w:id="6" w:name="_Toc95736457"/>
      <w:bookmarkStart w:id="7" w:name="_Toc189219376"/>
      <w:r>
        <w:t>Local Government Act 2020</w:t>
      </w:r>
      <w:bookmarkEnd w:id="6"/>
      <w:bookmarkEnd w:id="7"/>
    </w:p>
    <w:p w14:paraId="70C00754" w14:textId="77777777" w:rsidR="00630438" w:rsidRDefault="00630438" w:rsidP="00630438">
      <w:pPr>
        <w:pStyle w:val="Heading3"/>
      </w:pPr>
      <w:bookmarkStart w:id="8" w:name="_Toc95736458"/>
      <w:bookmarkStart w:id="9" w:name="_Toc314821342"/>
      <w:bookmarkStart w:id="10" w:name="_Toc314822264"/>
      <w:bookmarkStart w:id="11" w:name="_Toc315765094"/>
      <w:r>
        <w:t>Strategic planning</w:t>
      </w:r>
      <w:bookmarkEnd w:id="8"/>
    </w:p>
    <w:p w14:paraId="11E60B05" w14:textId="77777777" w:rsidR="00630438" w:rsidRPr="000E47F8" w:rsidRDefault="00630438" w:rsidP="00630438">
      <w:pPr>
        <w:rPr>
          <w:szCs w:val="22"/>
        </w:rPr>
      </w:pPr>
      <w:r w:rsidRPr="000E47F8">
        <w:rPr>
          <w:szCs w:val="22"/>
        </w:rPr>
        <w:t xml:space="preserve">Part 4 of the </w:t>
      </w:r>
      <w:r w:rsidRPr="000E47F8">
        <w:rPr>
          <w:i/>
          <w:iCs/>
          <w:szCs w:val="22"/>
        </w:rPr>
        <w:t>Local Government Act 2020</w:t>
      </w:r>
      <w:r w:rsidRPr="000E47F8">
        <w:rPr>
          <w:szCs w:val="22"/>
        </w:rPr>
        <w:t xml:space="preserve"> addresses planning and financial management and Division 1 covers strategic planning. The Financial Plan is one of the strategic plans subject to the Strategic planning principles. Section 89 of the Act sets out the Strategic planning principles as follows:</w:t>
      </w:r>
    </w:p>
    <w:p w14:paraId="414168B4" w14:textId="77777777" w:rsidR="00630438" w:rsidRPr="000E47F8" w:rsidRDefault="00630438" w:rsidP="00630438">
      <w:pPr>
        <w:rPr>
          <w:i/>
          <w:iCs/>
          <w:szCs w:val="22"/>
        </w:rPr>
      </w:pPr>
      <w:r w:rsidRPr="000E47F8">
        <w:rPr>
          <w:i/>
          <w:iCs/>
          <w:szCs w:val="22"/>
        </w:rPr>
        <w:t>89 Strategic planning principles</w:t>
      </w:r>
    </w:p>
    <w:p w14:paraId="055A897A" w14:textId="77777777" w:rsidR="00630438" w:rsidRPr="000E47F8" w:rsidRDefault="00630438" w:rsidP="00231BA4">
      <w:pPr>
        <w:spacing w:line="240" w:lineRule="auto"/>
        <w:rPr>
          <w:i/>
          <w:iCs/>
          <w:sz w:val="20"/>
          <w:szCs w:val="20"/>
        </w:rPr>
      </w:pPr>
      <w:r w:rsidRPr="000E47F8">
        <w:rPr>
          <w:i/>
          <w:iCs/>
          <w:sz w:val="20"/>
          <w:szCs w:val="20"/>
        </w:rPr>
        <w:t xml:space="preserve"> (1) A Council must undertake the preparation of its Council Plan and other strategic plans in accordance with the strategic planning principles.</w:t>
      </w:r>
    </w:p>
    <w:p w14:paraId="7D58B6C1" w14:textId="77777777" w:rsidR="00630438" w:rsidRPr="000E47F8" w:rsidRDefault="00630438" w:rsidP="00231BA4">
      <w:pPr>
        <w:spacing w:line="240" w:lineRule="auto"/>
        <w:rPr>
          <w:i/>
          <w:iCs/>
          <w:sz w:val="20"/>
          <w:szCs w:val="20"/>
        </w:rPr>
      </w:pPr>
      <w:r w:rsidRPr="000E47F8">
        <w:rPr>
          <w:i/>
          <w:iCs/>
          <w:sz w:val="20"/>
          <w:szCs w:val="20"/>
        </w:rPr>
        <w:t>(2) The following are the strategic planning principles —</w:t>
      </w:r>
    </w:p>
    <w:p w14:paraId="4F67F51C" w14:textId="77777777" w:rsidR="00630438" w:rsidRPr="000E47F8" w:rsidRDefault="00630438" w:rsidP="00231BA4">
      <w:pPr>
        <w:spacing w:line="240" w:lineRule="auto"/>
        <w:rPr>
          <w:i/>
          <w:iCs/>
          <w:sz w:val="20"/>
          <w:szCs w:val="20"/>
        </w:rPr>
      </w:pPr>
      <w:r w:rsidRPr="000E47F8">
        <w:rPr>
          <w:i/>
          <w:iCs/>
          <w:sz w:val="20"/>
          <w:szCs w:val="20"/>
        </w:rPr>
        <w:t xml:space="preserve">a) an integrated approach to planning, monitoring and performance reporting is to be </w:t>
      </w:r>
      <w:proofErr w:type="gramStart"/>
      <w:r w:rsidRPr="000E47F8">
        <w:rPr>
          <w:i/>
          <w:iCs/>
          <w:sz w:val="20"/>
          <w:szCs w:val="20"/>
        </w:rPr>
        <w:t>adopted;</w:t>
      </w:r>
      <w:proofErr w:type="gramEnd"/>
    </w:p>
    <w:p w14:paraId="62331BB2" w14:textId="77777777" w:rsidR="00630438" w:rsidRPr="000E47F8" w:rsidRDefault="00630438" w:rsidP="00231BA4">
      <w:pPr>
        <w:spacing w:line="240" w:lineRule="auto"/>
        <w:rPr>
          <w:i/>
          <w:iCs/>
          <w:sz w:val="20"/>
          <w:szCs w:val="20"/>
        </w:rPr>
      </w:pPr>
      <w:r w:rsidRPr="000E47F8">
        <w:rPr>
          <w:i/>
          <w:iCs/>
          <w:sz w:val="20"/>
          <w:szCs w:val="20"/>
        </w:rPr>
        <w:t xml:space="preserve">(b) strategic planning must address the Community </w:t>
      </w:r>
      <w:proofErr w:type="gramStart"/>
      <w:r w:rsidRPr="000E47F8">
        <w:rPr>
          <w:i/>
          <w:iCs/>
          <w:sz w:val="20"/>
          <w:szCs w:val="20"/>
        </w:rPr>
        <w:t>Vision;</w:t>
      </w:r>
      <w:proofErr w:type="gramEnd"/>
    </w:p>
    <w:p w14:paraId="5DBA646A" w14:textId="77777777" w:rsidR="00630438" w:rsidRPr="000E47F8" w:rsidRDefault="00630438" w:rsidP="00231BA4">
      <w:pPr>
        <w:spacing w:line="240" w:lineRule="auto"/>
        <w:rPr>
          <w:i/>
          <w:iCs/>
          <w:sz w:val="20"/>
          <w:szCs w:val="20"/>
        </w:rPr>
      </w:pPr>
      <w:r w:rsidRPr="000E47F8">
        <w:rPr>
          <w:i/>
          <w:iCs/>
          <w:sz w:val="20"/>
          <w:szCs w:val="20"/>
        </w:rPr>
        <w:t xml:space="preserve">(c) strategic planning must take into account the resources needed for effective </w:t>
      </w:r>
      <w:proofErr w:type="gramStart"/>
      <w:r w:rsidRPr="000E47F8">
        <w:rPr>
          <w:i/>
          <w:iCs/>
          <w:sz w:val="20"/>
          <w:szCs w:val="20"/>
        </w:rPr>
        <w:t>implementation;</w:t>
      </w:r>
      <w:proofErr w:type="gramEnd"/>
    </w:p>
    <w:p w14:paraId="52AB0DCC" w14:textId="77777777" w:rsidR="00630438" w:rsidRPr="000E47F8" w:rsidRDefault="00630438" w:rsidP="00231BA4">
      <w:pPr>
        <w:spacing w:line="240" w:lineRule="auto"/>
        <w:rPr>
          <w:i/>
          <w:iCs/>
          <w:sz w:val="20"/>
          <w:szCs w:val="20"/>
        </w:rPr>
      </w:pPr>
      <w:r w:rsidRPr="000E47F8">
        <w:rPr>
          <w:i/>
          <w:iCs/>
          <w:sz w:val="20"/>
          <w:szCs w:val="20"/>
        </w:rPr>
        <w:t xml:space="preserve">(d) strategic planning must identify and address the risks to effective </w:t>
      </w:r>
      <w:proofErr w:type="gramStart"/>
      <w:r w:rsidRPr="000E47F8">
        <w:rPr>
          <w:i/>
          <w:iCs/>
          <w:sz w:val="20"/>
          <w:szCs w:val="20"/>
        </w:rPr>
        <w:t>implementation;</w:t>
      </w:r>
      <w:proofErr w:type="gramEnd"/>
    </w:p>
    <w:p w14:paraId="073D3C68" w14:textId="77777777" w:rsidR="00630438" w:rsidRPr="000E47F8" w:rsidRDefault="00630438" w:rsidP="00231BA4">
      <w:pPr>
        <w:spacing w:line="240" w:lineRule="auto"/>
        <w:rPr>
          <w:i/>
          <w:iCs/>
          <w:sz w:val="20"/>
          <w:szCs w:val="20"/>
        </w:rPr>
      </w:pPr>
      <w:r w:rsidRPr="000E47F8">
        <w:rPr>
          <w:i/>
          <w:iCs/>
          <w:sz w:val="20"/>
          <w:szCs w:val="20"/>
        </w:rPr>
        <w:t>(e) strategic planning must provide for ongoing monitoring of progress and regular reviews to identify and address changing circumstances.</w:t>
      </w:r>
    </w:p>
    <w:p w14:paraId="4D826E72" w14:textId="6BCCA95A" w:rsidR="00630438" w:rsidRPr="000E47F8" w:rsidRDefault="00630438" w:rsidP="00630438">
      <w:pPr>
        <w:rPr>
          <w:szCs w:val="22"/>
        </w:rPr>
      </w:pPr>
      <w:r w:rsidRPr="000E47F8">
        <w:rPr>
          <w:szCs w:val="22"/>
        </w:rPr>
        <w:t xml:space="preserve">The </w:t>
      </w:r>
      <w:r w:rsidRPr="000E47F8">
        <w:rPr>
          <w:i/>
          <w:iCs/>
          <w:szCs w:val="22"/>
        </w:rPr>
        <w:t>Local Government Act 2020</w:t>
      </w:r>
      <w:r w:rsidRPr="000E47F8">
        <w:rPr>
          <w:szCs w:val="22"/>
        </w:rPr>
        <w:t xml:space="preserve"> introduced a requirement for Victorian councils to develop, adopt and keep in force a Financial Plan covering at least the next 10 financial years. Many councils already prepare long-term financial plans for internal management purposes. The requirements under the Act mean councils must develop a Financial Plan that is publicly accessible. </w:t>
      </w:r>
    </w:p>
    <w:p w14:paraId="1FD3DBD0" w14:textId="77777777" w:rsidR="00630438" w:rsidRPr="000E47F8" w:rsidRDefault="00630438" w:rsidP="00630438">
      <w:pPr>
        <w:rPr>
          <w:szCs w:val="22"/>
        </w:rPr>
      </w:pPr>
      <w:r w:rsidRPr="000E47F8">
        <w:rPr>
          <w:szCs w:val="22"/>
        </w:rPr>
        <w:t>The specific legislative requirements for a Financial Plan are set out in section 91 of the Act as follows:</w:t>
      </w:r>
    </w:p>
    <w:p w14:paraId="1DA49095" w14:textId="77777777" w:rsidR="00630438" w:rsidRPr="000E47F8" w:rsidRDefault="00630438" w:rsidP="00630438">
      <w:pPr>
        <w:rPr>
          <w:i/>
          <w:iCs/>
          <w:szCs w:val="22"/>
        </w:rPr>
      </w:pPr>
      <w:r w:rsidRPr="000E47F8">
        <w:rPr>
          <w:i/>
          <w:iCs/>
          <w:szCs w:val="22"/>
        </w:rPr>
        <w:t>91 Financial Plan</w:t>
      </w:r>
    </w:p>
    <w:p w14:paraId="4D4B6BAF" w14:textId="77777777" w:rsidR="00630438" w:rsidRPr="000E47F8" w:rsidRDefault="00630438" w:rsidP="00231BA4">
      <w:pPr>
        <w:spacing w:line="240" w:lineRule="auto"/>
        <w:rPr>
          <w:i/>
          <w:iCs/>
          <w:sz w:val="20"/>
          <w:szCs w:val="20"/>
        </w:rPr>
      </w:pPr>
      <w:r w:rsidRPr="000E47F8">
        <w:rPr>
          <w:i/>
          <w:iCs/>
          <w:sz w:val="20"/>
          <w:szCs w:val="20"/>
        </w:rPr>
        <w:t>(1) A Council must develop, adopt and keep in force a Financial Plan in accordance with its deliberative engagement practices.</w:t>
      </w:r>
    </w:p>
    <w:p w14:paraId="616F0452" w14:textId="77777777" w:rsidR="00630438" w:rsidRPr="000E47F8" w:rsidRDefault="00630438" w:rsidP="00231BA4">
      <w:pPr>
        <w:spacing w:line="240" w:lineRule="auto"/>
        <w:rPr>
          <w:i/>
          <w:iCs/>
          <w:sz w:val="20"/>
          <w:szCs w:val="20"/>
        </w:rPr>
      </w:pPr>
      <w:r w:rsidRPr="000E47F8">
        <w:rPr>
          <w:i/>
          <w:iCs/>
          <w:sz w:val="20"/>
          <w:szCs w:val="20"/>
        </w:rPr>
        <w:t>(2) The scope of a Financial Plan is a period of at least the next 10 financial years.</w:t>
      </w:r>
    </w:p>
    <w:p w14:paraId="7B059F44" w14:textId="77777777" w:rsidR="00630438" w:rsidRPr="000E47F8" w:rsidRDefault="00630438" w:rsidP="00231BA4">
      <w:pPr>
        <w:spacing w:line="240" w:lineRule="auto"/>
        <w:rPr>
          <w:i/>
          <w:iCs/>
          <w:sz w:val="20"/>
          <w:szCs w:val="20"/>
        </w:rPr>
      </w:pPr>
      <w:r w:rsidRPr="000E47F8">
        <w:rPr>
          <w:i/>
          <w:iCs/>
          <w:sz w:val="20"/>
          <w:szCs w:val="20"/>
        </w:rPr>
        <w:t>(3) A Financial Plan must include the following in the manner and form prescribed by the regulations—</w:t>
      </w:r>
    </w:p>
    <w:p w14:paraId="21BBFFF9" w14:textId="77777777" w:rsidR="00630438" w:rsidRPr="000E47F8" w:rsidRDefault="00630438" w:rsidP="00231BA4">
      <w:pPr>
        <w:spacing w:line="240" w:lineRule="auto"/>
        <w:rPr>
          <w:i/>
          <w:iCs/>
          <w:sz w:val="20"/>
          <w:szCs w:val="20"/>
        </w:rPr>
      </w:pPr>
      <w:r w:rsidRPr="000E47F8">
        <w:rPr>
          <w:i/>
          <w:iCs/>
          <w:sz w:val="20"/>
          <w:szCs w:val="20"/>
        </w:rPr>
        <w:t xml:space="preserve">(a) statements describing the financial resources required to give effect to the Council Plan and other strategic plans of the </w:t>
      </w:r>
      <w:proofErr w:type="gramStart"/>
      <w:r w:rsidRPr="000E47F8">
        <w:rPr>
          <w:i/>
          <w:iCs/>
          <w:sz w:val="20"/>
          <w:szCs w:val="20"/>
        </w:rPr>
        <w:t>Council;</w:t>
      </w:r>
      <w:proofErr w:type="gramEnd"/>
    </w:p>
    <w:p w14:paraId="4457A822" w14:textId="77777777" w:rsidR="00630438" w:rsidRPr="000E47F8" w:rsidRDefault="00630438" w:rsidP="00231BA4">
      <w:pPr>
        <w:spacing w:line="240" w:lineRule="auto"/>
        <w:rPr>
          <w:i/>
          <w:iCs/>
          <w:sz w:val="20"/>
          <w:szCs w:val="20"/>
        </w:rPr>
      </w:pPr>
      <w:r w:rsidRPr="000E47F8">
        <w:rPr>
          <w:i/>
          <w:iCs/>
          <w:sz w:val="20"/>
          <w:szCs w:val="20"/>
        </w:rPr>
        <w:t>(b) information about the decisions and assumptions that underpin the forecasts in the statements specified in paragraph (a</w:t>
      </w:r>
      <w:proofErr w:type="gramStart"/>
      <w:r w:rsidRPr="000E47F8">
        <w:rPr>
          <w:i/>
          <w:iCs/>
          <w:sz w:val="20"/>
          <w:szCs w:val="20"/>
        </w:rPr>
        <w:t>);</w:t>
      </w:r>
      <w:proofErr w:type="gramEnd"/>
    </w:p>
    <w:p w14:paraId="71D9EE6D" w14:textId="77777777" w:rsidR="00630438" w:rsidRPr="000E47F8" w:rsidRDefault="00630438" w:rsidP="00231BA4">
      <w:pPr>
        <w:spacing w:line="240" w:lineRule="auto"/>
        <w:rPr>
          <w:i/>
          <w:iCs/>
          <w:sz w:val="20"/>
          <w:szCs w:val="20"/>
        </w:rPr>
      </w:pPr>
      <w:r w:rsidRPr="000E47F8">
        <w:rPr>
          <w:i/>
          <w:iCs/>
          <w:sz w:val="20"/>
          <w:szCs w:val="20"/>
        </w:rPr>
        <w:lastRenderedPageBreak/>
        <w:t xml:space="preserve">(c) statements describing any other resource requirements that the Council considers appropriate to include in the Financial </w:t>
      </w:r>
      <w:proofErr w:type="gramStart"/>
      <w:r w:rsidRPr="000E47F8">
        <w:rPr>
          <w:i/>
          <w:iCs/>
          <w:sz w:val="20"/>
          <w:szCs w:val="20"/>
        </w:rPr>
        <w:t>Plan;</w:t>
      </w:r>
      <w:proofErr w:type="gramEnd"/>
    </w:p>
    <w:p w14:paraId="509CAFC7" w14:textId="77777777" w:rsidR="00630438" w:rsidRPr="000E47F8" w:rsidRDefault="00630438" w:rsidP="00231BA4">
      <w:pPr>
        <w:spacing w:line="240" w:lineRule="auto"/>
        <w:rPr>
          <w:i/>
          <w:iCs/>
          <w:sz w:val="20"/>
          <w:szCs w:val="20"/>
        </w:rPr>
      </w:pPr>
      <w:r w:rsidRPr="000E47F8">
        <w:rPr>
          <w:i/>
          <w:iCs/>
          <w:sz w:val="20"/>
          <w:szCs w:val="20"/>
        </w:rPr>
        <w:t>(d) any other matters prescribed by the regulations.</w:t>
      </w:r>
    </w:p>
    <w:p w14:paraId="26103997" w14:textId="77777777" w:rsidR="00630438" w:rsidRPr="000E47F8" w:rsidRDefault="00630438" w:rsidP="00231BA4">
      <w:pPr>
        <w:spacing w:line="240" w:lineRule="auto"/>
        <w:rPr>
          <w:i/>
          <w:iCs/>
          <w:sz w:val="20"/>
          <w:szCs w:val="20"/>
        </w:rPr>
      </w:pPr>
      <w:r w:rsidRPr="000E47F8">
        <w:rPr>
          <w:i/>
          <w:iCs/>
          <w:sz w:val="20"/>
          <w:szCs w:val="20"/>
        </w:rPr>
        <w:t>(4) A Council must develop or review the Financial Plan in accordance with its deliberative engagement practices and adopt the Financial Plan by 31 October in the year following a general election.</w:t>
      </w:r>
    </w:p>
    <w:p w14:paraId="577E1698" w14:textId="77777777" w:rsidR="00630438" w:rsidRPr="000E47F8" w:rsidRDefault="00630438" w:rsidP="00231BA4">
      <w:pPr>
        <w:spacing w:line="240" w:lineRule="auto"/>
        <w:rPr>
          <w:i/>
          <w:iCs/>
          <w:sz w:val="20"/>
          <w:szCs w:val="20"/>
        </w:rPr>
      </w:pPr>
      <w:r w:rsidRPr="000E47F8">
        <w:rPr>
          <w:i/>
          <w:iCs/>
          <w:sz w:val="20"/>
          <w:szCs w:val="20"/>
        </w:rPr>
        <w:t>(5) The Financial Plan adopted under subsection (4) has effect from 1 July in the year following a general election.</w:t>
      </w:r>
    </w:p>
    <w:p w14:paraId="1B359CAA" w14:textId="77777777" w:rsidR="00630438" w:rsidRPr="000E47F8" w:rsidRDefault="00630438" w:rsidP="00630438">
      <w:pPr>
        <w:rPr>
          <w:szCs w:val="22"/>
        </w:rPr>
      </w:pPr>
      <w:r w:rsidRPr="000E47F8">
        <w:rPr>
          <w:szCs w:val="22"/>
        </w:rPr>
        <w:t xml:space="preserve">Section 91(1) and section 91(4) refer to </w:t>
      </w:r>
      <w:r w:rsidRPr="000E47F8">
        <w:rPr>
          <w:b/>
          <w:bCs/>
          <w:i/>
          <w:iCs/>
          <w:szCs w:val="22"/>
        </w:rPr>
        <w:t>deliberative engagement practices</w:t>
      </w:r>
      <w:r w:rsidRPr="000E47F8">
        <w:rPr>
          <w:szCs w:val="22"/>
        </w:rPr>
        <w:t>. The Act requires deliberative engagement practices to be incorporated into a council’s community engagement policy.</w:t>
      </w:r>
    </w:p>
    <w:p w14:paraId="72C7D842" w14:textId="77777777" w:rsidR="00630438" w:rsidRDefault="00630438" w:rsidP="00630438">
      <w:pPr>
        <w:pStyle w:val="Heading3"/>
      </w:pPr>
      <w:bookmarkStart w:id="12" w:name="_Toc56183198"/>
      <w:bookmarkStart w:id="13" w:name="_Toc95736459"/>
      <w:r>
        <w:t>Financial management principles</w:t>
      </w:r>
      <w:bookmarkEnd w:id="12"/>
      <w:bookmarkEnd w:id="13"/>
    </w:p>
    <w:p w14:paraId="77C04626" w14:textId="77777777" w:rsidR="00630438" w:rsidRPr="000E47F8" w:rsidRDefault="00630438" w:rsidP="00630438">
      <w:pPr>
        <w:rPr>
          <w:szCs w:val="22"/>
        </w:rPr>
      </w:pPr>
      <w:r w:rsidRPr="000E47F8">
        <w:rPr>
          <w:szCs w:val="22"/>
        </w:rPr>
        <w:t xml:space="preserve">Division 4 of Part 4 of the </w:t>
      </w:r>
      <w:r w:rsidRPr="000E47F8">
        <w:rPr>
          <w:i/>
          <w:iCs/>
          <w:szCs w:val="22"/>
        </w:rPr>
        <w:t>Local Government Act 2020</w:t>
      </w:r>
      <w:r w:rsidRPr="000E47F8">
        <w:rPr>
          <w:szCs w:val="22"/>
        </w:rPr>
        <w:t xml:space="preserve"> addresses financial management. Section 101 of the Act sets out the financial management principles as follows:</w:t>
      </w:r>
    </w:p>
    <w:p w14:paraId="2650087B" w14:textId="77777777" w:rsidR="00630438" w:rsidRPr="000E47F8" w:rsidRDefault="00630438" w:rsidP="00630438">
      <w:pPr>
        <w:rPr>
          <w:i/>
          <w:iCs/>
          <w:sz w:val="20"/>
          <w:szCs w:val="20"/>
        </w:rPr>
      </w:pPr>
      <w:r w:rsidRPr="000E47F8">
        <w:rPr>
          <w:i/>
          <w:iCs/>
          <w:sz w:val="20"/>
          <w:szCs w:val="20"/>
        </w:rPr>
        <w:t>101 Financial management principles</w:t>
      </w:r>
    </w:p>
    <w:p w14:paraId="67622714" w14:textId="77777777" w:rsidR="00630438" w:rsidRPr="000E47F8" w:rsidRDefault="00630438" w:rsidP="00231BA4">
      <w:pPr>
        <w:spacing w:line="240" w:lineRule="auto"/>
        <w:rPr>
          <w:i/>
          <w:iCs/>
          <w:sz w:val="20"/>
          <w:szCs w:val="20"/>
        </w:rPr>
      </w:pPr>
      <w:r w:rsidRPr="000E47F8">
        <w:rPr>
          <w:i/>
          <w:iCs/>
          <w:sz w:val="20"/>
          <w:szCs w:val="20"/>
        </w:rPr>
        <w:t>(1) The following are the financial management principles—</w:t>
      </w:r>
    </w:p>
    <w:p w14:paraId="3B8226A6" w14:textId="77777777" w:rsidR="00630438" w:rsidRPr="000E47F8" w:rsidRDefault="00630438" w:rsidP="00231BA4">
      <w:pPr>
        <w:spacing w:line="240" w:lineRule="auto"/>
        <w:rPr>
          <w:i/>
          <w:iCs/>
          <w:sz w:val="20"/>
          <w:szCs w:val="20"/>
        </w:rPr>
      </w:pPr>
      <w:r w:rsidRPr="000E47F8">
        <w:rPr>
          <w:i/>
          <w:iCs/>
          <w:sz w:val="20"/>
          <w:szCs w:val="20"/>
        </w:rPr>
        <w:t xml:space="preserve">(a) revenue, expenses, assets, liabilities, investments and financial transactions must be managed in accordance with a Council's financial policies and strategic </w:t>
      </w:r>
      <w:proofErr w:type="gramStart"/>
      <w:r w:rsidRPr="000E47F8">
        <w:rPr>
          <w:i/>
          <w:iCs/>
          <w:sz w:val="20"/>
          <w:szCs w:val="20"/>
        </w:rPr>
        <w:t>plans;</w:t>
      </w:r>
      <w:proofErr w:type="gramEnd"/>
    </w:p>
    <w:p w14:paraId="0B1175DD" w14:textId="77777777" w:rsidR="00630438" w:rsidRPr="000E47F8" w:rsidRDefault="00630438" w:rsidP="00231BA4">
      <w:pPr>
        <w:spacing w:line="240" w:lineRule="auto"/>
        <w:rPr>
          <w:i/>
          <w:iCs/>
          <w:sz w:val="20"/>
          <w:szCs w:val="20"/>
        </w:rPr>
      </w:pPr>
      <w:r w:rsidRPr="000E47F8">
        <w:rPr>
          <w:i/>
          <w:iCs/>
          <w:sz w:val="20"/>
          <w:szCs w:val="20"/>
        </w:rPr>
        <w:t xml:space="preserve">(b) financial risks must be monitored and managed prudently having regard to economic </w:t>
      </w:r>
      <w:proofErr w:type="gramStart"/>
      <w:r w:rsidRPr="000E47F8">
        <w:rPr>
          <w:i/>
          <w:iCs/>
          <w:sz w:val="20"/>
          <w:szCs w:val="20"/>
        </w:rPr>
        <w:t>circumstances;</w:t>
      </w:r>
      <w:proofErr w:type="gramEnd"/>
    </w:p>
    <w:p w14:paraId="37E364AB" w14:textId="77777777" w:rsidR="00630438" w:rsidRPr="000E47F8" w:rsidRDefault="00630438" w:rsidP="00231BA4">
      <w:pPr>
        <w:spacing w:line="240" w:lineRule="auto"/>
        <w:rPr>
          <w:i/>
          <w:iCs/>
          <w:sz w:val="20"/>
          <w:szCs w:val="20"/>
        </w:rPr>
      </w:pPr>
      <w:r w:rsidRPr="000E47F8">
        <w:rPr>
          <w:i/>
          <w:iCs/>
          <w:sz w:val="20"/>
          <w:szCs w:val="20"/>
        </w:rPr>
        <w:t xml:space="preserve">(c) financial policies and strategic plans, including the Revenue and Rating Plan, must seek to provide stability and predictability in the financial impact on the municipal </w:t>
      </w:r>
      <w:proofErr w:type="gramStart"/>
      <w:r w:rsidRPr="000E47F8">
        <w:rPr>
          <w:i/>
          <w:iCs/>
          <w:sz w:val="20"/>
          <w:szCs w:val="20"/>
        </w:rPr>
        <w:t>community;</w:t>
      </w:r>
      <w:proofErr w:type="gramEnd"/>
    </w:p>
    <w:p w14:paraId="2999D59B" w14:textId="77777777" w:rsidR="00630438" w:rsidRPr="000E47F8" w:rsidRDefault="00630438" w:rsidP="00231BA4">
      <w:pPr>
        <w:spacing w:line="240" w:lineRule="auto"/>
        <w:rPr>
          <w:i/>
          <w:iCs/>
          <w:sz w:val="20"/>
          <w:szCs w:val="20"/>
        </w:rPr>
      </w:pPr>
      <w:r w:rsidRPr="000E47F8">
        <w:rPr>
          <w:i/>
          <w:iCs/>
          <w:sz w:val="20"/>
          <w:szCs w:val="20"/>
        </w:rPr>
        <w:t>(d) accounts and records that explain the financial operations and financial position of the Council must be kept.</w:t>
      </w:r>
    </w:p>
    <w:p w14:paraId="0DA45ADA" w14:textId="77777777" w:rsidR="00630438" w:rsidRPr="000E47F8" w:rsidRDefault="00630438" w:rsidP="00231BA4">
      <w:pPr>
        <w:spacing w:line="240" w:lineRule="auto"/>
        <w:rPr>
          <w:i/>
          <w:iCs/>
          <w:sz w:val="20"/>
          <w:szCs w:val="20"/>
        </w:rPr>
      </w:pPr>
      <w:r w:rsidRPr="000E47F8">
        <w:rPr>
          <w:i/>
          <w:iCs/>
          <w:sz w:val="20"/>
          <w:szCs w:val="20"/>
        </w:rPr>
        <w:t>(2) For the purposes of the financial management principles, financial risk includes any risk relating to the following—</w:t>
      </w:r>
    </w:p>
    <w:p w14:paraId="753E11DE" w14:textId="77777777" w:rsidR="00630438" w:rsidRPr="000E47F8" w:rsidRDefault="00630438" w:rsidP="00231BA4">
      <w:pPr>
        <w:spacing w:line="240" w:lineRule="auto"/>
        <w:rPr>
          <w:i/>
          <w:iCs/>
          <w:sz w:val="20"/>
          <w:szCs w:val="20"/>
        </w:rPr>
      </w:pPr>
      <w:r w:rsidRPr="000E47F8">
        <w:rPr>
          <w:i/>
          <w:iCs/>
          <w:sz w:val="20"/>
          <w:szCs w:val="20"/>
        </w:rPr>
        <w:t xml:space="preserve">(a) the financial viability of the </w:t>
      </w:r>
      <w:proofErr w:type="gramStart"/>
      <w:r w:rsidRPr="000E47F8">
        <w:rPr>
          <w:i/>
          <w:iCs/>
          <w:sz w:val="20"/>
          <w:szCs w:val="20"/>
        </w:rPr>
        <w:t>Council;</w:t>
      </w:r>
      <w:proofErr w:type="gramEnd"/>
    </w:p>
    <w:p w14:paraId="69406616" w14:textId="77777777" w:rsidR="00630438" w:rsidRPr="000E47F8" w:rsidRDefault="00630438" w:rsidP="00231BA4">
      <w:pPr>
        <w:spacing w:line="240" w:lineRule="auto"/>
        <w:rPr>
          <w:i/>
          <w:iCs/>
          <w:sz w:val="20"/>
          <w:szCs w:val="20"/>
        </w:rPr>
      </w:pPr>
      <w:r w:rsidRPr="000E47F8">
        <w:rPr>
          <w:i/>
          <w:iCs/>
          <w:sz w:val="20"/>
          <w:szCs w:val="20"/>
        </w:rPr>
        <w:t xml:space="preserve">(b) the management of current and future liabilities of the </w:t>
      </w:r>
      <w:proofErr w:type="gramStart"/>
      <w:r w:rsidRPr="000E47F8">
        <w:rPr>
          <w:i/>
          <w:iCs/>
          <w:sz w:val="20"/>
          <w:szCs w:val="20"/>
        </w:rPr>
        <w:t>Council;</w:t>
      </w:r>
      <w:proofErr w:type="gramEnd"/>
    </w:p>
    <w:p w14:paraId="66993E52" w14:textId="77777777" w:rsidR="00630438" w:rsidRPr="000E47F8" w:rsidRDefault="00630438" w:rsidP="00231BA4">
      <w:pPr>
        <w:spacing w:line="240" w:lineRule="auto"/>
        <w:rPr>
          <w:i/>
          <w:iCs/>
          <w:sz w:val="20"/>
          <w:szCs w:val="20"/>
        </w:rPr>
      </w:pPr>
      <w:r w:rsidRPr="000E47F8">
        <w:rPr>
          <w:i/>
          <w:iCs/>
          <w:sz w:val="20"/>
          <w:szCs w:val="20"/>
        </w:rPr>
        <w:t>(c) the beneficial enterprises of the Council.</w:t>
      </w:r>
    </w:p>
    <w:p w14:paraId="22CF68CF" w14:textId="77777777" w:rsidR="00630438" w:rsidRDefault="00630438" w:rsidP="00630438">
      <w:pPr>
        <w:pStyle w:val="Heading3"/>
      </w:pPr>
      <w:bookmarkStart w:id="14" w:name="_Toc56183199"/>
      <w:bookmarkStart w:id="15" w:name="_Toc95736460"/>
      <w:r>
        <w:t>Service performance principles</w:t>
      </w:r>
      <w:bookmarkEnd w:id="14"/>
      <w:bookmarkEnd w:id="15"/>
    </w:p>
    <w:p w14:paraId="09F48327" w14:textId="77777777" w:rsidR="00630438" w:rsidRPr="000E47F8" w:rsidRDefault="00630438" w:rsidP="00630438">
      <w:pPr>
        <w:rPr>
          <w:szCs w:val="22"/>
        </w:rPr>
      </w:pPr>
      <w:r w:rsidRPr="000E47F8">
        <w:rPr>
          <w:szCs w:val="22"/>
        </w:rPr>
        <w:t xml:space="preserve">The </w:t>
      </w:r>
      <w:r w:rsidRPr="000E47F8">
        <w:rPr>
          <w:i/>
          <w:iCs/>
          <w:szCs w:val="22"/>
        </w:rPr>
        <w:t>Local Government Act 2020</w:t>
      </w:r>
      <w:r w:rsidRPr="000E47F8">
        <w:rPr>
          <w:szCs w:val="22"/>
        </w:rPr>
        <w:t xml:space="preserve"> requires Victorian councils to plan and deliver services in accordance with the service performance principles. Part 5 of the Act addresses council operations. Section 106 of the Act sets out the service performance principles as follows:</w:t>
      </w:r>
    </w:p>
    <w:p w14:paraId="04581A41" w14:textId="77777777" w:rsidR="00630438" w:rsidRPr="000E47F8" w:rsidRDefault="00630438" w:rsidP="00630438">
      <w:pPr>
        <w:rPr>
          <w:i/>
          <w:iCs/>
          <w:sz w:val="20"/>
          <w:szCs w:val="20"/>
        </w:rPr>
      </w:pPr>
      <w:r w:rsidRPr="000E47F8">
        <w:rPr>
          <w:i/>
          <w:iCs/>
          <w:sz w:val="20"/>
          <w:szCs w:val="20"/>
        </w:rPr>
        <w:t>106 Service performance principles</w:t>
      </w:r>
    </w:p>
    <w:p w14:paraId="42F3F419" w14:textId="77777777" w:rsidR="00630438" w:rsidRPr="000E47F8" w:rsidRDefault="00630438" w:rsidP="009945A8">
      <w:pPr>
        <w:spacing w:line="240" w:lineRule="auto"/>
        <w:rPr>
          <w:i/>
          <w:iCs/>
          <w:sz w:val="20"/>
          <w:szCs w:val="20"/>
        </w:rPr>
      </w:pPr>
      <w:r w:rsidRPr="000E47F8">
        <w:rPr>
          <w:i/>
          <w:iCs/>
          <w:sz w:val="20"/>
          <w:szCs w:val="20"/>
        </w:rPr>
        <w:t>(1) A Council must plan and deliver services to the municipal community in accordance with the service performance principles.</w:t>
      </w:r>
    </w:p>
    <w:p w14:paraId="23E83DAC" w14:textId="77777777" w:rsidR="00630438" w:rsidRPr="000E47F8" w:rsidRDefault="00630438" w:rsidP="009945A8">
      <w:pPr>
        <w:spacing w:line="240" w:lineRule="auto"/>
        <w:rPr>
          <w:i/>
          <w:iCs/>
          <w:sz w:val="20"/>
          <w:szCs w:val="20"/>
        </w:rPr>
      </w:pPr>
      <w:r w:rsidRPr="000E47F8">
        <w:rPr>
          <w:i/>
          <w:iCs/>
          <w:sz w:val="20"/>
          <w:szCs w:val="20"/>
        </w:rPr>
        <w:lastRenderedPageBreak/>
        <w:t>(2) The following are the service performance principles—</w:t>
      </w:r>
    </w:p>
    <w:p w14:paraId="1F92BA1E" w14:textId="77777777" w:rsidR="00630438" w:rsidRPr="000E47F8" w:rsidRDefault="00630438" w:rsidP="009945A8">
      <w:pPr>
        <w:spacing w:line="240" w:lineRule="auto"/>
        <w:rPr>
          <w:i/>
          <w:iCs/>
          <w:sz w:val="20"/>
          <w:szCs w:val="20"/>
        </w:rPr>
      </w:pPr>
      <w:r w:rsidRPr="000E47F8">
        <w:rPr>
          <w:i/>
          <w:iCs/>
          <w:sz w:val="20"/>
          <w:szCs w:val="20"/>
        </w:rPr>
        <w:t xml:space="preserve">(a) services should be provided in an equitable manner and be responsive to the diverse needs of the municipal </w:t>
      </w:r>
      <w:proofErr w:type="gramStart"/>
      <w:r w:rsidRPr="000E47F8">
        <w:rPr>
          <w:i/>
          <w:iCs/>
          <w:sz w:val="20"/>
          <w:szCs w:val="20"/>
        </w:rPr>
        <w:t>community;</w:t>
      </w:r>
      <w:proofErr w:type="gramEnd"/>
    </w:p>
    <w:p w14:paraId="5AFAC113" w14:textId="77777777" w:rsidR="00630438" w:rsidRPr="000E47F8" w:rsidRDefault="00630438" w:rsidP="009945A8">
      <w:pPr>
        <w:spacing w:line="240" w:lineRule="auto"/>
        <w:rPr>
          <w:i/>
          <w:iCs/>
          <w:sz w:val="20"/>
          <w:szCs w:val="20"/>
        </w:rPr>
      </w:pPr>
      <w:r w:rsidRPr="000E47F8">
        <w:rPr>
          <w:i/>
          <w:iCs/>
          <w:sz w:val="20"/>
          <w:szCs w:val="20"/>
        </w:rPr>
        <w:t xml:space="preserve">(b) services should be accessible to the members of the municipal community for whom the services are </w:t>
      </w:r>
      <w:proofErr w:type="gramStart"/>
      <w:r w:rsidRPr="000E47F8">
        <w:rPr>
          <w:i/>
          <w:iCs/>
          <w:sz w:val="20"/>
          <w:szCs w:val="20"/>
        </w:rPr>
        <w:t>intended;</w:t>
      </w:r>
      <w:proofErr w:type="gramEnd"/>
    </w:p>
    <w:p w14:paraId="60CDEE3C" w14:textId="77777777" w:rsidR="00630438" w:rsidRPr="000E47F8" w:rsidRDefault="00630438" w:rsidP="009945A8">
      <w:pPr>
        <w:spacing w:line="240" w:lineRule="auto"/>
        <w:rPr>
          <w:i/>
          <w:iCs/>
          <w:sz w:val="20"/>
          <w:szCs w:val="20"/>
        </w:rPr>
      </w:pPr>
      <w:r w:rsidRPr="000E47F8">
        <w:rPr>
          <w:i/>
          <w:iCs/>
          <w:sz w:val="20"/>
          <w:szCs w:val="20"/>
        </w:rPr>
        <w:t xml:space="preserve">(c) quality and costs standards for services set by the Council should provide good value to the municipal </w:t>
      </w:r>
      <w:proofErr w:type="gramStart"/>
      <w:r w:rsidRPr="000E47F8">
        <w:rPr>
          <w:i/>
          <w:iCs/>
          <w:sz w:val="20"/>
          <w:szCs w:val="20"/>
        </w:rPr>
        <w:t>community;</w:t>
      </w:r>
      <w:proofErr w:type="gramEnd"/>
    </w:p>
    <w:p w14:paraId="5739690F" w14:textId="77777777" w:rsidR="00630438" w:rsidRPr="000E47F8" w:rsidRDefault="00630438" w:rsidP="009945A8">
      <w:pPr>
        <w:spacing w:line="240" w:lineRule="auto"/>
        <w:rPr>
          <w:i/>
          <w:iCs/>
          <w:sz w:val="20"/>
          <w:szCs w:val="20"/>
        </w:rPr>
      </w:pPr>
      <w:r w:rsidRPr="000E47F8">
        <w:rPr>
          <w:i/>
          <w:iCs/>
          <w:sz w:val="20"/>
          <w:szCs w:val="20"/>
        </w:rPr>
        <w:t xml:space="preserve">(d) a Council should seek to continuously improve service delivery to the municipal community in response to performance </w:t>
      </w:r>
      <w:proofErr w:type="gramStart"/>
      <w:r w:rsidRPr="000E47F8">
        <w:rPr>
          <w:i/>
          <w:iCs/>
          <w:sz w:val="20"/>
          <w:szCs w:val="20"/>
        </w:rPr>
        <w:t>monitoring;</w:t>
      </w:r>
      <w:proofErr w:type="gramEnd"/>
    </w:p>
    <w:p w14:paraId="5080488D" w14:textId="77777777" w:rsidR="00630438" w:rsidRPr="000E47F8" w:rsidRDefault="00630438" w:rsidP="009945A8">
      <w:pPr>
        <w:spacing w:line="240" w:lineRule="auto"/>
        <w:rPr>
          <w:i/>
          <w:iCs/>
          <w:sz w:val="20"/>
          <w:szCs w:val="20"/>
        </w:rPr>
      </w:pPr>
      <w:r w:rsidRPr="000E47F8">
        <w:rPr>
          <w:i/>
          <w:iCs/>
          <w:sz w:val="20"/>
          <w:szCs w:val="20"/>
        </w:rPr>
        <w:t>(e) service delivery must include a fair and effective process for considering and responding to complaints about service provision.</w:t>
      </w:r>
    </w:p>
    <w:p w14:paraId="5C6A30AA" w14:textId="77777777" w:rsidR="00630438" w:rsidRDefault="00630438" w:rsidP="00630438">
      <w:pPr>
        <w:pStyle w:val="Heading3"/>
      </w:pPr>
      <w:bookmarkStart w:id="16" w:name="_Toc95736461"/>
      <w:r>
        <w:t>Community engagement and public transparency</w:t>
      </w:r>
      <w:bookmarkEnd w:id="16"/>
    </w:p>
    <w:p w14:paraId="70D9C5B1" w14:textId="77777777" w:rsidR="00630438" w:rsidRPr="000E47F8" w:rsidRDefault="00630438" w:rsidP="00630438">
      <w:pPr>
        <w:rPr>
          <w:szCs w:val="22"/>
        </w:rPr>
      </w:pPr>
      <w:r w:rsidRPr="000E47F8">
        <w:rPr>
          <w:szCs w:val="22"/>
        </w:rPr>
        <w:t xml:space="preserve">The </w:t>
      </w:r>
      <w:r w:rsidRPr="000E47F8">
        <w:rPr>
          <w:i/>
          <w:iCs/>
          <w:szCs w:val="22"/>
        </w:rPr>
        <w:t>Local Government Act 2020</w:t>
      </w:r>
      <w:r w:rsidRPr="000E47F8">
        <w:rPr>
          <w:szCs w:val="22"/>
        </w:rPr>
        <w:t xml:space="preserve"> includes community engagement principles (section 56) and public transparency principles (section 58). The Act requires Victorian councils to adopt and maintain a public transparency policy (section 57) and to adopt and maintain a community engagement policy (section 55). </w:t>
      </w:r>
    </w:p>
    <w:p w14:paraId="6D8212A1" w14:textId="77777777" w:rsidR="00630438" w:rsidRPr="000E47F8" w:rsidRDefault="00630438" w:rsidP="00630438">
      <w:pPr>
        <w:rPr>
          <w:szCs w:val="22"/>
        </w:rPr>
      </w:pPr>
      <w:r w:rsidRPr="000E47F8">
        <w:rPr>
          <w:szCs w:val="22"/>
        </w:rPr>
        <w:t>The Financial Plan is specifically referenced in section 55(2)(g) of the Act which requires (amongst other provisions) that a community engagement policy must:</w:t>
      </w:r>
    </w:p>
    <w:p w14:paraId="3211AA18" w14:textId="77777777" w:rsidR="00630438" w:rsidRPr="000E47F8" w:rsidRDefault="00630438" w:rsidP="009945A8">
      <w:pPr>
        <w:spacing w:line="240" w:lineRule="auto"/>
        <w:rPr>
          <w:i/>
          <w:iCs/>
          <w:sz w:val="20"/>
          <w:szCs w:val="20"/>
        </w:rPr>
      </w:pPr>
      <w:r w:rsidRPr="000E47F8">
        <w:rPr>
          <w:i/>
          <w:iCs/>
          <w:sz w:val="20"/>
          <w:szCs w:val="20"/>
        </w:rPr>
        <w:t>(g) include deliberative engagement practices which must include and address any matters prescribed by the regulations for the purposes of this paragraph and be capable of being applied to the development of the Community Vision, Council Plan, Financial Plan and Asset Plan…</w:t>
      </w:r>
    </w:p>
    <w:p w14:paraId="1550E4A3" w14:textId="77777777" w:rsidR="009945A8" w:rsidRDefault="00630438" w:rsidP="00630438">
      <w:r>
        <w:t xml:space="preserve"> </w:t>
      </w:r>
    </w:p>
    <w:p w14:paraId="0A66458C" w14:textId="77777777" w:rsidR="009945A8" w:rsidRDefault="009945A8">
      <w:pPr>
        <w:snapToGrid/>
        <w:spacing w:after="0" w:line="240" w:lineRule="auto"/>
      </w:pPr>
      <w:r>
        <w:br w:type="page"/>
      </w:r>
    </w:p>
    <w:p w14:paraId="0D96CF98" w14:textId="77777777" w:rsidR="00630438" w:rsidRDefault="00630438" w:rsidP="00231BA4">
      <w:pPr>
        <w:pStyle w:val="Heading2"/>
      </w:pPr>
      <w:bookmarkStart w:id="17" w:name="_Toc95736462"/>
      <w:bookmarkStart w:id="18" w:name="_Toc189219377"/>
      <w:r>
        <w:lastRenderedPageBreak/>
        <w:t>Local Government (Planning and Reporting) Regulations 2020</w:t>
      </w:r>
      <w:bookmarkEnd w:id="17"/>
      <w:bookmarkEnd w:id="18"/>
    </w:p>
    <w:p w14:paraId="6DA6C153" w14:textId="77777777" w:rsidR="00630438" w:rsidRPr="000E47F8" w:rsidRDefault="00630438" w:rsidP="00630438">
      <w:pPr>
        <w:rPr>
          <w:szCs w:val="22"/>
        </w:rPr>
      </w:pPr>
      <w:r w:rsidRPr="000E47F8">
        <w:rPr>
          <w:szCs w:val="22"/>
        </w:rPr>
        <w:t xml:space="preserve">The </w:t>
      </w:r>
      <w:r w:rsidRPr="000E47F8">
        <w:rPr>
          <w:i/>
          <w:iCs/>
          <w:szCs w:val="22"/>
        </w:rPr>
        <w:t>Local Government (Planning and Reporting) Regulations 2020</w:t>
      </w:r>
      <w:r w:rsidRPr="000E47F8">
        <w:rPr>
          <w:szCs w:val="22"/>
        </w:rPr>
        <w:t xml:space="preserve"> (the regulations) came into operation on 24 October 2020. Part 2 of the regulations prescribe the information to be included in a Financial Plan as follows:</w:t>
      </w:r>
    </w:p>
    <w:p w14:paraId="31537574" w14:textId="77777777" w:rsidR="00630438" w:rsidRPr="000E47F8" w:rsidRDefault="00630438" w:rsidP="00630438">
      <w:pPr>
        <w:rPr>
          <w:i/>
          <w:iCs/>
          <w:sz w:val="20"/>
          <w:szCs w:val="20"/>
        </w:rPr>
      </w:pPr>
      <w:r w:rsidRPr="000E47F8">
        <w:rPr>
          <w:i/>
          <w:iCs/>
          <w:sz w:val="20"/>
          <w:szCs w:val="20"/>
        </w:rPr>
        <w:t>5 Statements describing financial resources</w:t>
      </w:r>
    </w:p>
    <w:p w14:paraId="69CDB6FC" w14:textId="77777777" w:rsidR="00630438" w:rsidRPr="000E47F8" w:rsidRDefault="00630438" w:rsidP="009945A8">
      <w:pPr>
        <w:spacing w:line="240" w:lineRule="auto"/>
        <w:rPr>
          <w:i/>
          <w:iCs/>
          <w:sz w:val="20"/>
          <w:szCs w:val="20"/>
        </w:rPr>
      </w:pPr>
      <w:r w:rsidRPr="000E47F8">
        <w:rPr>
          <w:i/>
          <w:iCs/>
          <w:sz w:val="20"/>
          <w:szCs w:val="20"/>
        </w:rPr>
        <w:t>(1) For the purposes of section 91(3)(a) of the Act, the statements describing the financial resources must be in the form set out in the Local Government Model Financial Report.</w:t>
      </w:r>
    </w:p>
    <w:p w14:paraId="13F1C534" w14:textId="77777777" w:rsidR="00630438" w:rsidRPr="000E47F8" w:rsidRDefault="00630438" w:rsidP="009945A8">
      <w:pPr>
        <w:spacing w:line="240" w:lineRule="auto"/>
        <w:rPr>
          <w:i/>
          <w:iCs/>
          <w:sz w:val="20"/>
          <w:szCs w:val="20"/>
        </w:rPr>
      </w:pPr>
      <w:r w:rsidRPr="000E47F8">
        <w:rPr>
          <w:i/>
          <w:iCs/>
          <w:sz w:val="20"/>
          <w:szCs w:val="20"/>
        </w:rPr>
        <w:t>(2) For the purposes of section 91(3)(d) of the Act, the prescribed matters include a statement of capital works for the financial years to which the statements describing the financial resources referred to in section 91(3)(a) of the Act relate.</w:t>
      </w:r>
    </w:p>
    <w:p w14:paraId="3D2725B2" w14:textId="77777777" w:rsidR="00630438" w:rsidRPr="000E47F8" w:rsidRDefault="00630438" w:rsidP="00630438">
      <w:pPr>
        <w:rPr>
          <w:i/>
          <w:iCs/>
          <w:sz w:val="20"/>
          <w:szCs w:val="20"/>
        </w:rPr>
      </w:pPr>
      <w:r w:rsidRPr="000E47F8">
        <w:rPr>
          <w:i/>
          <w:iCs/>
          <w:sz w:val="20"/>
          <w:szCs w:val="20"/>
        </w:rPr>
        <w:t>6 Statements describing other resource requirements</w:t>
      </w:r>
    </w:p>
    <w:p w14:paraId="21DDF449" w14:textId="77777777" w:rsidR="00630438" w:rsidRPr="000E47F8" w:rsidRDefault="00630438" w:rsidP="009945A8">
      <w:pPr>
        <w:spacing w:line="240" w:lineRule="auto"/>
        <w:rPr>
          <w:i/>
          <w:iCs/>
          <w:sz w:val="20"/>
          <w:szCs w:val="20"/>
        </w:rPr>
      </w:pPr>
      <w:r w:rsidRPr="000E47F8">
        <w:rPr>
          <w:i/>
          <w:iCs/>
          <w:sz w:val="20"/>
          <w:szCs w:val="20"/>
        </w:rPr>
        <w:t>For the purposes of section 91(3)(d) of the Act, the prescribed matters include the following—</w:t>
      </w:r>
    </w:p>
    <w:p w14:paraId="5AF14718" w14:textId="77777777" w:rsidR="00630438" w:rsidRPr="000E47F8" w:rsidRDefault="00630438" w:rsidP="009945A8">
      <w:pPr>
        <w:spacing w:line="240" w:lineRule="auto"/>
        <w:rPr>
          <w:i/>
          <w:iCs/>
          <w:sz w:val="20"/>
          <w:szCs w:val="20"/>
        </w:rPr>
      </w:pPr>
      <w:r w:rsidRPr="000E47F8">
        <w:rPr>
          <w:i/>
          <w:iCs/>
          <w:sz w:val="20"/>
          <w:szCs w:val="20"/>
        </w:rPr>
        <w:t xml:space="preserve">(a) a statement of human </w:t>
      </w:r>
      <w:proofErr w:type="gramStart"/>
      <w:r w:rsidRPr="000E47F8">
        <w:rPr>
          <w:i/>
          <w:iCs/>
          <w:sz w:val="20"/>
          <w:szCs w:val="20"/>
        </w:rPr>
        <w:t>resources;</w:t>
      </w:r>
      <w:proofErr w:type="gramEnd"/>
    </w:p>
    <w:p w14:paraId="754154DC" w14:textId="77777777" w:rsidR="00630438" w:rsidRPr="000E47F8" w:rsidRDefault="00630438" w:rsidP="009945A8">
      <w:pPr>
        <w:spacing w:line="240" w:lineRule="auto"/>
        <w:rPr>
          <w:i/>
          <w:iCs/>
          <w:sz w:val="20"/>
          <w:szCs w:val="20"/>
        </w:rPr>
      </w:pPr>
      <w:r w:rsidRPr="000E47F8">
        <w:rPr>
          <w:i/>
          <w:iCs/>
          <w:sz w:val="20"/>
          <w:szCs w:val="20"/>
        </w:rPr>
        <w:t>(b) a summary of planned expenditure in relation to the human resources referred to in the statement of human resources, categorised according to the organisational structure of the Council and classified separately as—</w:t>
      </w:r>
    </w:p>
    <w:p w14:paraId="66616066" w14:textId="77777777" w:rsidR="00630438" w:rsidRPr="000E47F8" w:rsidRDefault="00630438" w:rsidP="009945A8">
      <w:pPr>
        <w:spacing w:line="240" w:lineRule="auto"/>
        <w:rPr>
          <w:i/>
          <w:iCs/>
          <w:sz w:val="20"/>
          <w:szCs w:val="20"/>
        </w:rPr>
      </w:pPr>
      <w:r w:rsidRPr="000E47F8">
        <w:rPr>
          <w:i/>
          <w:iCs/>
          <w:sz w:val="20"/>
          <w:szCs w:val="20"/>
        </w:rPr>
        <w:t>(i) permanent full time who are—</w:t>
      </w:r>
    </w:p>
    <w:p w14:paraId="40BC1939" w14:textId="77777777" w:rsidR="00630438" w:rsidRPr="000E47F8" w:rsidRDefault="00630438" w:rsidP="009945A8">
      <w:pPr>
        <w:spacing w:line="240" w:lineRule="auto"/>
        <w:rPr>
          <w:i/>
          <w:iCs/>
          <w:sz w:val="20"/>
          <w:szCs w:val="20"/>
        </w:rPr>
      </w:pPr>
      <w:r w:rsidRPr="000E47F8">
        <w:rPr>
          <w:i/>
          <w:iCs/>
          <w:sz w:val="20"/>
          <w:szCs w:val="20"/>
        </w:rPr>
        <w:t>(A) women; or</w:t>
      </w:r>
    </w:p>
    <w:p w14:paraId="0B207654" w14:textId="77777777" w:rsidR="00630438" w:rsidRPr="000E47F8" w:rsidRDefault="00630438" w:rsidP="009945A8">
      <w:pPr>
        <w:spacing w:line="240" w:lineRule="auto"/>
        <w:rPr>
          <w:i/>
          <w:iCs/>
          <w:sz w:val="20"/>
          <w:szCs w:val="20"/>
        </w:rPr>
      </w:pPr>
      <w:r w:rsidRPr="000E47F8">
        <w:rPr>
          <w:i/>
          <w:iCs/>
          <w:sz w:val="20"/>
          <w:szCs w:val="20"/>
        </w:rPr>
        <w:t>(B) men; or</w:t>
      </w:r>
    </w:p>
    <w:p w14:paraId="77682717" w14:textId="77777777" w:rsidR="00630438" w:rsidRPr="000E47F8" w:rsidRDefault="00630438" w:rsidP="009945A8">
      <w:pPr>
        <w:spacing w:line="240" w:lineRule="auto"/>
        <w:rPr>
          <w:i/>
          <w:iCs/>
          <w:sz w:val="20"/>
          <w:szCs w:val="20"/>
        </w:rPr>
      </w:pPr>
      <w:r w:rsidRPr="000E47F8">
        <w:rPr>
          <w:i/>
          <w:iCs/>
          <w:sz w:val="20"/>
          <w:szCs w:val="20"/>
        </w:rPr>
        <w:t xml:space="preserve">(C) persons of self-described </w:t>
      </w:r>
      <w:proofErr w:type="gramStart"/>
      <w:r w:rsidRPr="000E47F8">
        <w:rPr>
          <w:i/>
          <w:iCs/>
          <w:sz w:val="20"/>
          <w:szCs w:val="20"/>
        </w:rPr>
        <w:t>gender;</w:t>
      </w:r>
      <w:proofErr w:type="gramEnd"/>
    </w:p>
    <w:p w14:paraId="71B08E7F" w14:textId="77777777" w:rsidR="00630438" w:rsidRPr="000E47F8" w:rsidRDefault="00630438" w:rsidP="009945A8">
      <w:pPr>
        <w:spacing w:line="240" w:lineRule="auto"/>
        <w:rPr>
          <w:i/>
          <w:iCs/>
          <w:sz w:val="20"/>
          <w:szCs w:val="20"/>
        </w:rPr>
      </w:pPr>
      <w:r w:rsidRPr="000E47F8">
        <w:rPr>
          <w:i/>
          <w:iCs/>
          <w:sz w:val="20"/>
          <w:szCs w:val="20"/>
        </w:rPr>
        <w:t>or</w:t>
      </w:r>
    </w:p>
    <w:p w14:paraId="1D5782C5" w14:textId="77777777" w:rsidR="00630438" w:rsidRPr="000E47F8" w:rsidRDefault="00630438" w:rsidP="009945A8">
      <w:pPr>
        <w:spacing w:line="240" w:lineRule="auto"/>
        <w:rPr>
          <w:i/>
          <w:iCs/>
          <w:sz w:val="20"/>
          <w:szCs w:val="20"/>
        </w:rPr>
      </w:pPr>
      <w:r w:rsidRPr="000E47F8">
        <w:rPr>
          <w:i/>
          <w:iCs/>
          <w:sz w:val="20"/>
          <w:szCs w:val="20"/>
        </w:rPr>
        <w:t>(ii) permanent part time staff who are—</w:t>
      </w:r>
    </w:p>
    <w:p w14:paraId="414070F2" w14:textId="77777777" w:rsidR="00630438" w:rsidRPr="000E47F8" w:rsidRDefault="00630438" w:rsidP="009945A8">
      <w:pPr>
        <w:spacing w:line="240" w:lineRule="auto"/>
        <w:rPr>
          <w:i/>
          <w:iCs/>
          <w:sz w:val="20"/>
          <w:szCs w:val="20"/>
        </w:rPr>
      </w:pPr>
      <w:r w:rsidRPr="000E47F8">
        <w:rPr>
          <w:i/>
          <w:iCs/>
          <w:sz w:val="20"/>
          <w:szCs w:val="20"/>
        </w:rPr>
        <w:t>(A) women; or</w:t>
      </w:r>
    </w:p>
    <w:p w14:paraId="6039C24A" w14:textId="77777777" w:rsidR="00630438" w:rsidRPr="000E47F8" w:rsidRDefault="00630438" w:rsidP="009945A8">
      <w:pPr>
        <w:spacing w:line="240" w:lineRule="auto"/>
        <w:rPr>
          <w:i/>
          <w:iCs/>
          <w:sz w:val="20"/>
          <w:szCs w:val="20"/>
        </w:rPr>
      </w:pPr>
      <w:r w:rsidRPr="000E47F8">
        <w:rPr>
          <w:i/>
          <w:iCs/>
          <w:sz w:val="20"/>
          <w:szCs w:val="20"/>
        </w:rPr>
        <w:t>(B) men; or</w:t>
      </w:r>
    </w:p>
    <w:p w14:paraId="22DF6A93" w14:textId="77777777" w:rsidR="00630438" w:rsidRPr="000E47F8" w:rsidRDefault="00630438" w:rsidP="009945A8">
      <w:pPr>
        <w:spacing w:line="240" w:lineRule="auto"/>
        <w:rPr>
          <w:i/>
          <w:iCs/>
          <w:sz w:val="20"/>
          <w:szCs w:val="20"/>
        </w:rPr>
      </w:pPr>
      <w:r w:rsidRPr="000E47F8">
        <w:rPr>
          <w:i/>
          <w:iCs/>
          <w:sz w:val="20"/>
          <w:szCs w:val="20"/>
        </w:rPr>
        <w:t xml:space="preserve">(C) persons of self-described </w:t>
      </w:r>
      <w:proofErr w:type="gramStart"/>
      <w:r w:rsidRPr="000E47F8">
        <w:rPr>
          <w:i/>
          <w:iCs/>
          <w:sz w:val="20"/>
          <w:szCs w:val="20"/>
        </w:rPr>
        <w:t>gender;</w:t>
      </w:r>
      <w:proofErr w:type="gramEnd"/>
    </w:p>
    <w:p w14:paraId="70084D23" w14:textId="77777777" w:rsidR="00630438" w:rsidRPr="000E47F8" w:rsidRDefault="00630438" w:rsidP="009945A8">
      <w:pPr>
        <w:spacing w:line="240" w:lineRule="auto"/>
        <w:rPr>
          <w:i/>
          <w:iCs/>
          <w:sz w:val="20"/>
          <w:szCs w:val="20"/>
        </w:rPr>
      </w:pPr>
      <w:r w:rsidRPr="000E47F8">
        <w:rPr>
          <w:i/>
          <w:iCs/>
          <w:sz w:val="20"/>
          <w:szCs w:val="20"/>
        </w:rPr>
        <w:t xml:space="preserve">(c) a summary of the planned number of </w:t>
      </w:r>
      <w:proofErr w:type="gramStart"/>
      <w:r w:rsidRPr="000E47F8">
        <w:rPr>
          <w:i/>
          <w:iCs/>
          <w:sz w:val="20"/>
          <w:szCs w:val="20"/>
        </w:rPr>
        <w:t>full time</w:t>
      </w:r>
      <w:proofErr w:type="gramEnd"/>
      <w:r w:rsidRPr="000E47F8">
        <w:rPr>
          <w:i/>
          <w:iCs/>
          <w:sz w:val="20"/>
          <w:szCs w:val="20"/>
        </w:rPr>
        <w:t xml:space="preserve"> equivalent Council staff referred to in the statement of human resources, categorised according to the organisational structure of the Council and classified separately as—</w:t>
      </w:r>
    </w:p>
    <w:p w14:paraId="0984195A" w14:textId="77777777" w:rsidR="00630438" w:rsidRPr="000E47F8" w:rsidRDefault="00630438" w:rsidP="009945A8">
      <w:pPr>
        <w:spacing w:line="240" w:lineRule="auto"/>
        <w:rPr>
          <w:i/>
          <w:iCs/>
          <w:sz w:val="20"/>
          <w:szCs w:val="20"/>
        </w:rPr>
      </w:pPr>
      <w:r w:rsidRPr="000E47F8">
        <w:rPr>
          <w:i/>
          <w:iCs/>
          <w:sz w:val="20"/>
          <w:szCs w:val="20"/>
        </w:rPr>
        <w:t xml:space="preserve">(i) permanent </w:t>
      </w:r>
      <w:proofErr w:type="gramStart"/>
      <w:r w:rsidRPr="000E47F8">
        <w:rPr>
          <w:i/>
          <w:iCs/>
          <w:sz w:val="20"/>
          <w:szCs w:val="20"/>
        </w:rPr>
        <w:t>full time</w:t>
      </w:r>
      <w:proofErr w:type="gramEnd"/>
      <w:r w:rsidRPr="000E47F8">
        <w:rPr>
          <w:i/>
          <w:iCs/>
          <w:sz w:val="20"/>
          <w:szCs w:val="20"/>
        </w:rPr>
        <w:t xml:space="preserve"> staff who are—</w:t>
      </w:r>
    </w:p>
    <w:p w14:paraId="2BCD38E2" w14:textId="77777777" w:rsidR="00630438" w:rsidRPr="000E47F8" w:rsidRDefault="00630438" w:rsidP="009945A8">
      <w:pPr>
        <w:spacing w:line="240" w:lineRule="auto"/>
        <w:rPr>
          <w:i/>
          <w:iCs/>
          <w:sz w:val="20"/>
          <w:szCs w:val="20"/>
        </w:rPr>
      </w:pPr>
      <w:r w:rsidRPr="000E47F8">
        <w:rPr>
          <w:i/>
          <w:iCs/>
          <w:sz w:val="20"/>
          <w:szCs w:val="20"/>
        </w:rPr>
        <w:t>(A) women; or</w:t>
      </w:r>
    </w:p>
    <w:p w14:paraId="7B0C0FDD" w14:textId="77777777" w:rsidR="00630438" w:rsidRPr="000E47F8" w:rsidRDefault="00630438" w:rsidP="009945A8">
      <w:pPr>
        <w:spacing w:line="240" w:lineRule="auto"/>
        <w:rPr>
          <w:i/>
          <w:iCs/>
          <w:sz w:val="20"/>
          <w:szCs w:val="20"/>
        </w:rPr>
      </w:pPr>
      <w:r w:rsidRPr="000E47F8">
        <w:rPr>
          <w:i/>
          <w:iCs/>
          <w:sz w:val="20"/>
          <w:szCs w:val="20"/>
        </w:rPr>
        <w:t>(B) men; or</w:t>
      </w:r>
    </w:p>
    <w:p w14:paraId="18C9825B" w14:textId="77777777" w:rsidR="00630438" w:rsidRPr="000E47F8" w:rsidRDefault="00630438" w:rsidP="009945A8">
      <w:pPr>
        <w:spacing w:line="240" w:lineRule="auto"/>
        <w:rPr>
          <w:i/>
          <w:iCs/>
          <w:sz w:val="20"/>
          <w:szCs w:val="20"/>
        </w:rPr>
      </w:pPr>
      <w:r w:rsidRPr="000E47F8">
        <w:rPr>
          <w:i/>
          <w:iCs/>
          <w:sz w:val="20"/>
          <w:szCs w:val="20"/>
        </w:rPr>
        <w:t xml:space="preserve">(C) persons of self-described </w:t>
      </w:r>
      <w:proofErr w:type="gramStart"/>
      <w:r w:rsidRPr="000E47F8">
        <w:rPr>
          <w:i/>
          <w:iCs/>
          <w:sz w:val="20"/>
          <w:szCs w:val="20"/>
        </w:rPr>
        <w:t>gender;</w:t>
      </w:r>
      <w:proofErr w:type="gramEnd"/>
    </w:p>
    <w:p w14:paraId="059A9449" w14:textId="77777777" w:rsidR="00630438" w:rsidRPr="000E47F8" w:rsidRDefault="00630438" w:rsidP="009945A8">
      <w:pPr>
        <w:spacing w:line="240" w:lineRule="auto"/>
        <w:rPr>
          <w:i/>
          <w:iCs/>
          <w:sz w:val="20"/>
          <w:szCs w:val="20"/>
        </w:rPr>
      </w:pPr>
      <w:r w:rsidRPr="000E47F8">
        <w:rPr>
          <w:i/>
          <w:iCs/>
          <w:sz w:val="20"/>
          <w:szCs w:val="20"/>
        </w:rPr>
        <w:t>or</w:t>
      </w:r>
    </w:p>
    <w:p w14:paraId="163762FA" w14:textId="77777777" w:rsidR="00630438" w:rsidRPr="000E47F8" w:rsidRDefault="00630438" w:rsidP="009945A8">
      <w:pPr>
        <w:spacing w:line="240" w:lineRule="auto"/>
        <w:rPr>
          <w:i/>
          <w:iCs/>
          <w:sz w:val="20"/>
          <w:szCs w:val="20"/>
        </w:rPr>
      </w:pPr>
      <w:r w:rsidRPr="000E47F8">
        <w:rPr>
          <w:i/>
          <w:iCs/>
          <w:sz w:val="20"/>
          <w:szCs w:val="20"/>
        </w:rPr>
        <w:t>(ii) permanent part time staff who are—</w:t>
      </w:r>
    </w:p>
    <w:p w14:paraId="65DCDBF9" w14:textId="77777777" w:rsidR="00630438" w:rsidRPr="000E47F8" w:rsidRDefault="00630438" w:rsidP="009945A8">
      <w:pPr>
        <w:spacing w:line="240" w:lineRule="auto"/>
        <w:rPr>
          <w:i/>
          <w:iCs/>
          <w:sz w:val="20"/>
          <w:szCs w:val="20"/>
        </w:rPr>
      </w:pPr>
      <w:r w:rsidRPr="000E47F8">
        <w:rPr>
          <w:i/>
          <w:iCs/>
          <w:sz w:val="20"/>
          <w:szCs w:val="20"/>
        </w:rPr>
        <w:t>(A) women; or</w:t>
      </w:r>
    </w:p>
    <w:p w14:paraId="64EFC06A" w14:textId="77777777" w:rsidR="00630438" w:rsidRPr="000E47F8" w:rsidRDefault="00630438" w:rsidP="009945A8">
      <w:pPr>
        <w:spacing w:line="240" w:lineRule="auto"/>
        <w:rPr>
          <w:i/>
          <w:iCs/>
          <w:sz w:val="20"/>
          <w:szCs w:val="20"/>
        </w:rPr>
      </w:pPr>
      <w:r w:rsidRPr="000E47F8">
        <w:rPr>
          <w:i/>
          <w:iCs/>
          <w:sz w:val="20"/>
          <w:szCs w:val="20"/>
        </w:rPr>
        <w:lastRenderedPageBreak/>
        <w:t>(B) men; or</w:t>
      </w:r>
    </w:p>
    <w:p w14:paraId="5CB57DFE" w14:textId="77777777" w:rsidR="00630438" w:rsidRPr="000E47F8" w:rsidRDefault="00630438" w:rsidP="009945A8">
      <w:pPr>
        <w:spacing w:line="240" w:lineRule="auto"/>
        <w:rPr>
          <w:i/>
          <w:iCs/>
          <w:sz w:val="20"/>
          <w:szCs w:val="20"/>
        </w:rPr>
      </w:pPr>
      <w:r w:rsidRPr="000E47F8">
        <w:rPr>
          <w:i/>
          <w:iCs/>
          <w:sz w:val="20"/>
          <w:szCs w:val="20"/>
        </w:rPr>
        <w:t>(C) persons of self-described gender.</w:t>
      </w:r>
    </w:p>
    <w:p w14:paraId="76F92479" w14:textId="77777777" w:rsidR="00630438" w:rsidRDefault="00630438" w:rsidP="00630438">
      <w:pPr>
        <w:pStyle w:val="Heading1"/>
      </w:pPr>
      <w:bookmarkStart w:id="19" w:name="_Toc95736463"/>
      <w:bookmarkStart w:id="20" w:name="_Toc189219378"/>
      <w:r>
        <w:lastRenderedPageBreak/>
        <w:t>Long-term financial planning better practice guide</w:t>
      </w:r>
      <w:bookmarkEnd w:id="19"/>
      <w:bookmarkEnd w:id="20"/>
    </w:p>
    <w:p w14:paraId="4EF92F57" w14:textId="77777777" w:rsidR="00630438" w:rsidRPr="000E47F8" w:rsidRDefault="00630438" w:rsidP="00630438">
      <w:pPr>
        <w:rPr>
          <w:szCs w:val="22"/>
        </w:rPr>
      </w:pPr>
      <w:r w:rsidRPr="000E47F8">
        <w:rPr>
          <w:szCs w:val="22"/>
        </w:rPr>
        <w:t>The Financial Plan provides a 10 year financially sustainable projection regarding how the actions of the Council Plan may be funded to achieve the Community Vision.</w:t>
      </w:r>
    </w:p>
    <w:p w14:paraId="489A0056" w14:textId="77777777" w:rsidR="00630438" w:rsidRPr="000E47F8" w:rsidRDefault="00630438" w:rsidP="00630438">
      <w:pPr>
        <w:rPr>
          <w:szCs w:val="22"/>
        </w:rPr>
      </w:pPr>
      <w:r w:rsidRPr="000E47F8">
        <w:rPr>
          <w:szCs w:val="22"/>
        </w:rPr>
        <w:t>At a minimum the Financial Plan is to include:</w:t>
      </w:r>
      <w:r w:rsidRPr="000E47F8">
        <w:rPr>
          <w:rFonts w:ascii="Cambria" w:hAnsi="Cambria" w:cs="Cambria"/>
          <w:szCs w:val="22"/>
        </w:rPr>
        <w:t> </w:t>
      </w:r>
    </w:p>
    <w:p w14:paraId="570BB404" w14:textId="77777777" w:rsidR="00630438" w:rsidRPr="000E47F8" w:rsidRDefault="00630438" w:rsidP="00457D77">
      <w:pPr>
        <w:pStyle w:val="ListParagraph"/>
        <w:numPr>
          <w:ilvl w:val="0"/>
          <w:numId w:val="24"/>
        </w:numPr>
        <w:rPr>
          <w:rFonts w:asciiTheme="minorHAnsi" w:eastAsia="Times" w:hAnsiTheme="minorHAnsi" w:cs="Arial"/>
          <w:i/>
          <w:iCs/>
          <w:color w:val="000000" w:themeColor="text1"/>
          <w:sz w:val="22"/>
          <w:szCs w:val="22"/>
        </w:rPr>
      </w:pPr>
      <w:r w:rsidRPr="000E47F8">
        <w:rPr>
          <w:rFonts w:asciiTheme="minorHAnsi" w:eastAsia="Times" w:hAnsiTheme="minorHAnsi" w:cs="Arial"/>
          <w:i/>
          <w:iCs/>
          <w:color w:val="000000" w:themeColor="text1"/>
          <w:sz w:val="22"/>
          <w:szCs w:val="22"/>
        </w:rPr>
        <w:t>financial statements for next the ten years that includes Comprehensive Income Statement, Balance Sheet, Statement of Changes in Equity, Statement of Cash Flows and Statement of Capital Works.</w:t>
      </w:r>
      <w:r w:rsidRPr="000E47F8">
        <w:rPr>
          <w:rFonts w:ascii="Cambria" w:eastAsia="Times" w:hAnsi="Cambria" w:cs="Cambria"/>
          <w:i/>
          <w:iCs/>
          <w:color w:val="000000" w:themeColor="text1"/>
          <w:sz w:val="22"/>
          <w:szCs w:val="22"/>
        </w:rPr>
        <w:t> </w:t>
      </w:r>
    </w:p>
    <w:p w14:paraId="7705CFF2" w14:textId="77777777" w:rsidR="00630438" w:rsidRPr="000E47F8" w:rsidRDefault="00630438" w:rsidP="00630438">
      <w:pPr>
        <w:pStyle w:val="ListParagraph"/>
        <w:rPr>
          <w:rFonts w:asciiTheme="minorHAnsi" w:eastAsia="Times" w:hAnsiTheme="minorHAnsi" w:cs="Arial"/>
          <w:i/>
          <w:iCs/>
          <w:color w:val="000000" w:themeColor="text1"/>
          <w:sz w:val="22"/>
          <w:szCs w:val="22"/>
        </w:rPr>
      </w:pPr>
    </w:p>
    <w:p w14:paraId="35077698" w14:textId="4E7DEEB5" w:rsidR="00630438" w:rsidRPr="000E47F8" w:rsidRDefault="00630438" w:rsidP="00457D77">
      <w:pPr>
        <w:pStyle w:val="ListParagraph"/>
        <w:numPr>
          <w:ilvl w:val="0"/>
          <w:numId w:val="24"/>
        </w:numPr>
        <w:rPr>
          <w:rFonts w:asciiTheme="minorHAnsi" w:eastAsia="Times" w:hAnsiTheme="minorHAnsi" w:cs="Arial"/>
          <w:i/>
          <w:iCs/>
          <w:color w:val="000000" w:themeColor="text1"/>
          <w:sz w:val="22"/>
          <w:szCs w:val="22"/>
        </w:rPr>
      </w:pPr>
      <w:r w:rsidRPr="000E47F8">
        <w:rPr>
          <w:rFonts w:asciiTheme="minorHAnsi" w:eastAsia="Times" w:hAnsiTheme="minorHAnsi" w:cs="Arial"/>
          <w:i/>
          <w:iCs/>
          <w:color w:val="000000" w:themeColor="text1"/>
          <w:sz w:val="22"/>
          <w:szCs w:val="22"/>
        </w:rPr>
        <w:t>statement of capital works is to include ten</w:t>
      </w:r>
      <w:r w:rsidR="008B46E9" w:rsidRPr="000E47F8">
        <w:rPr>
          <w:rFonts w:asciiTheme="minorHAnsi" w:eastAsia="Times" w:hAnsiTheme="minorHAnsi" w:cs="Arial"/>
          <w:i/>
          <w:iCs/>
          <w:color w:val="000000" w:themeColor="text1"/>
          <w:sz w:val="22"/>
          <w:szCs w:val="22"/>
        </w:rPr>
        <w:t>-</w:t>
      </w:r>
      <w:r w:rsidRPr="000E47F8">
        <w:rPr>
          <w:rFonts w:asciiTheme="minorHAnsi" w:eastAsia="Times" w:hAnsiTheme="minorHAnsi" w:cs="Arial"/>
          <w:i/>
          <w:iCs/>
          <w:color w:val="000000" w:themeColor="text1"/>
          <w:sz w:val="22"/>
          <w:szCs w:val="22"/>
        </w:rPr>
        <w:t>year expenditure in relation to non-current assets, classified in accordance with the asset classes and asset expenditure types specified in the</w:t>
      </w:r>
      <w:r w:rsidRPr="000E47F8">
        <w:rPr>
          <w:rFonts w:ascii="Cambria" w:eastAsia="Times" w:hAnsi="Cambria" w:cs="Cambria"/>
          <w:i/>
          <w:iCs/>
          <w:color w:val="000000" w:themeColor="text1"/>
          <w:sz w:val="22"/>
          <w:szCs w:val="22"/>
        </w:rPr>
        <w:t> </w:t>
      </w:r>
      <w:r w:rsidRPr="000E47F8">
        <w:rPr>
          <w:rFonts w:asciiTheme="minorHAnsi" w:eastAsia="Times" w:hAnsiTheme="minorHAnsi" w:cs="Arial"/>
          <w:i/>
          <w:iCs/>
          <w:color w:val="000000" w:themeColor="text1"/>
          <w:sz w:val="22"/>
          <w:szCs w:val="22"/>
        </w:rPr>
        <w:t>Local Government Model Financial Report</w:t>
      </w:r>
      <w:r w:rsidRPr="000E47F8">
        <w:rPr>
          <w:rFonts w:ascii="Cambria" w:eastAsia="Times" w:hAnsi="Cambria" w:cs="Cambria"/>
          <w:i/>
          <w:iCs/>
          <w:color w:val="000000" w:themeColor="text1"/>
          <w:sz w:val="22"/>
          <w:szCs w:val="22"/>
        </w:rPr>
        <w:t> </w:t>
      </w:r>
      <w:r w:rsidRPr="000E47F8">
        <w:rPr>
          <w:rFonts w:asciiTheme="minorHAnsi" w:eastAsia="Times" w:hAnsiTheme="minorHAnsi" w:cs="Arial"/>
          <w:i/>
          <w:iCs/>
          <w:color w:val="000000" w:themeColor="text1"/>
          <w:sz w:val="22"/>
          <w:szCs w:val="22"/>
        </w:rPr>
        <w:t>and a summary of funding sources in relation to the planned capital works expenditure.</w:t>
      </w:r>
    </w:p>
    <w:p w14:paraId="7A5D6C79" w14:textId="77777777" w:rsidR="00630438" w:rsidRPr="000E47F8" w:rsidRDefault="00630438" w:rsidP="00630438">
      <w:pPr>
        <w:pStyle w:val="ListParagraph"/>
        <w:rPr>
          <w:rFonts w:asciiTheme="minorHAnsi" w:eastAsia="Times" w:hAnsiTheme="minorHAnsi" w:cs="Arial"/>
          <w:i/>
          <w:iCs/>
          <w:color w:val="000000" w:themeColor="text1"/>
          <w:sz w:val="22"/>
          <w:szCs w:val="22"/>
        </w:rPr>
      </w:pPr>
    </w:p>
    <w:p w14:paraId="6D175431" w14:textId="77777777" w:rsidR="00630438" w:rsidRPr="000E47F8" w:rsidRDefault="00630438" w:rsidP="00457D77">
      <w:pPr>
        <w:pStyle w:val="ListParagraph"/>
        <w:numPr>
          <w:ilvl w:val="0"/>
          <w:numId w:val="24"/>
        </w:numPr>
        <w:rPr>
          <w:rFonts w:asciiTheme="minorHAnsi" w:eastAsia="Times" w:hAnsiTheme="minorHAnsi" w:cs="Arial"/>
          <w:i/>
          <w:iCs/>
          <w:color w:val="000000" w:themeColor="text1"/>
          <w:sz w:val="22"/>
          <w:szCs w:val="22"/>
        </w:rPr>
      </w:pPr>
      <w:r w:rsidRPr="000E47F8">
        <w:rPr>
          <w:rFonts w:asciiTheme="minorHAnsi" w:eastAsia="Times" w:hAnsiTheme="minorHAnsi" w:cs="Arial"/>
          <w:i/>
          <w:iCs/>
          <w:color w:val="000000" w:themeColor="text1"/>
          <w:sz w:val="22"/>
          <w:szCs w:val="22"/>
        </w:rPr>
        <w:t>a statement of human resources that includes a summary of planned expenditure for the next ten years in relation to permanent human resources and a summary of the planned number of permanent</w:t>
      </w:r>
      <w:r w:rsidRPr="000E47F8">
        <w:rPr>
          <w:rFonts w:ascii="Cambria" w:eastAsia="Times" w:hAnsi="Cambria" w:cs="Cambria"/>
          <w:i/>
          <w:iCs/>
          <w:color w:val="000000" w:themeColor="text1"/>
          <w:sz w:val="22"/>
          <w:szCs w:val="22"/>
        </w:rPr>
        <w:t> </w:t>
      </w:r>
      <w:r w:rsidRPr="000E47F8">
        <w:rPr>
          <w:rFonts w:asciiTheme="minorHAnsi" w:eastAsia="Times" w:hAnsiTheme="minorHAnsi" w:cs="Arial"/>
          <w:i/>
          <w:iCs/>
          <w:color w:val="000000" w:themeColor="text1"/>
          <w:sz w:val="22"/>
          <w:szCs w:val="22"/>
        </w:rPr>
        <w:t>full time</w:t>
      </w:r>
      <w:r w:rsidRPr="000E47F8">
        <w:rPr>
          <w:rFonts w:ascii="Cambria" w:eastAsia="Times" w:hAnsi="Cambria" w:cs="Cambria"/>
          <w:i/>
          <w:iCs/>
          <w:color w:val="000000" w:themeColor="text1"/>
          <w:sz w:val="22"/>
          <w:szCs w:val="22"/>
        </w:rPr>
        <w:t> </w:t>
      </w:r>
      <w:r w:rsidRPr="000E47F8">
        <w:rPr>
          <w:rFonts w:asciiTheme="minorHAnsi" w:eastAsia="Times" w:hAnsiTheme="minorHAnsi" w:cs="Arial"/>
          <w:i/>
          <w:iCs/>
          <w:color w:val="000000" w:themeColor="text1"/>
          <w:sz w:val="22"/>
          <w:szCs w:val="22"/>
        </w:rPr>
        <w:t>equivalent staff by organisational structure split between male, female and self-described gender.</w:t>
      </w:r>
    </w:p>
    <w:p w14:paraId="3305CDEB" w14:textId="56D3D1C2" w:rsidR="00630438" w:rsidRPr="000E47F8" w:rsidRDefault="00630438" w:rsidP="00630438">
      <w:pPr>
        <w:rPr>
          <w:szCs w:val="22"/>
        </w:rPr>
      </w:pPr>
      <w:r w:rsidRPr="000E47F8">
        <w:rPr>
          <w:szCs w:val="22"/>
        </w:rPr>
        <w:t xml:space="preserve">Individual councils may choose to also report this information in graphic format to assist report users and particularly those users with a non-accounting background. </w:t>
      </w:r>
    </w:p>
    <w:p w14:paraId="00B97C6D" w14:textId="1AD96AC2" w:rsidR="009C774C" w:rsidRDefault="009C774C" w:rsidP="00EC4B7C"/>
    <w:p w14:paraId="47267C51" w14:textId="77777777" w:rsidR="008367F2" w:rsidRDefault="008367F2" w:rsidP="00EC4B7C"/>
    <w:p w14:paraId="7123EDF0" w14:textId="77777777" w:rsidR="008367F2" w:rsidRDefault="008367F2" w:rsidP="00EC4B7C"/>
    <w:p w14:paraId="6D6A6D55" w14:textId="77777777" w:rsidR="008367F2" w:rsidRDefault="008367F2" w:rsidP="00EC4B7C"/>
    <w:p w14:paraId="129D1F85" w14:textId="77777777" w:rsidR="008367F2" w:rsidRDefault="008367F2" w:rsidP="00EC4B7C"/>
    <w:p w14:paraId="0EE691FF" w14:textId="77777777" w:rsidR="008367F2" w:rsidRDefault="008367F2" w:rsidP="00EC4B7C"/>
    <w:p w14:paraId="25B76CD7" w14:textId="77777777" w:rsidR="008367F2" w:rsidRDefault="008367F2" w:rsidP="00EC4B7C"/>
    <w:p w14:paraId="42F65B34" w14:textId="77777777" w:rsidR="008367F2" w:rsidRDefault="008367F2" w:rsidP="00EC4B7C"/>
    <w:p w14:paraId="5BE4BB5F" w14:textId="77777777" w:rsidR="008367F2" w:rsidRDefault="008367F2" w:rsidP="00EC4B7C"/>
    <w:p w14:paraId="0498B8F6" w14:textId="77777777" w:rsidR="008367F2" w:rsidRDefault="008367F2" w:rsidP="00EC4B7C"/>
    <w:p w14:paraId="7D995DC1" w14:textId="77777777" w:rsidR="008367F2" w:rsidRDefault="008367F2" w:rsidP="00EC4B7C"/>
    <w:p w14:paraId="6CE1B0FF" w14:textId="77777777" w:rsidR="008367F2" w:rsidRDefault="008367F2" w:rsidP="00EC4B7C"/>
    <w:p w14:paraId="0236E022" w14:textId="77777777" w:rsidR="008367F2" w:rsidRDefault="008367F2" w:rsidP="00EC4B7C"/>
    <w:p w14:paraId="757D52B6" w14:textId="77777777" w:rsidR="008367F2" w:rsidRDefault="008367F2" w:rsidP="00EC4B7C"/>
    <w:p w14:paraId="68D251CE" w14:textId="77777777" w:rsidR="00BC6336" w:rsidRDefault="008629F5" w:rsidP="00EC4B7C">
      <w:r w:rsidRPr="008629F5">
        <w:rPr>
          <w:noProof/>
          <w:sz w:val="28"/>
          <w:szCs w:val="28"/>
        </w:rPr>
        <w:lastRenderedPageBreak/>
        <w:drawing>
          <wp:anchor distT="0" distB="0" distL="114300" distR="114300" simplePos="0" relativeHeight="251658241" behindDoc="1" locked="0" layoutInCell="1" allowOverlap="1" wp14:anchorId="0B972315" wp14:editId="310FF7B0">
            <wp:simplePos x="0" y="0"/>
            <wp:positionH relativeFrom="margin">
              <wp:align>left</wp:align>
            </wp:positionH>
            <wp:positionV relativeFrom="paragraph">
              <wp:posOffset>146463</wp:posOffset>
            </wp:positionV>
            <wp:extent cx="2219325" cy="920750"/>
            <wp:effectExtent l="0" t="0" r="9525" b="0"/>
            <wp:wrapNone/>
            <wp:docPr id="108904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325" cy="920750"/>
                    </a:xfrm>
                    <a:prstGeom prst="rect">
                      <a:avLst/>
                    </a:prstGeom>
                    <a:noFill/>
                  </pic:spPr>
                </pic:pic>
              </a:graphicData>
            </a:graphic>
          </wp:anchor>
        </w:drawing>
      </w:r>
    </w:p>
    <w:p w14:paraId="5F54AF89" w14:textId="5224CCD1" w:rsidR="008629F5" w:rsidRPr="004A5CBC" w:rsidRDefault="00042209" w:rsidP="007029AD">
      <w:pPr>
        <w:pStyle w:val="Heading4"/>
        <w:ind w:left="720" w:firstLine="720"/>
        <w:rPr>
          <w:highlight w:val="yellow"/>
        </w:rPr>
      </w:pPr>
      <w:r w:rsidRPr="004A5CBC">
        <w:rPr>
          <w:highlight w:val="yellow"/>
        </w:rPr>
        <w:t xml:space="preserve">Spotlight On: </w:t>
      </w:r>
      <w:r w:rsidR="00B54FFA" w:rsidRPr="004A5CBC">
        <w:rPr>
          <w:highlight w:val="yellow"/>
        </w:rPr>
        <w:t>Revising a Financial Plan</w:t>
      </w:r>
    </w:p>
    <w:p w14:paraId="5F4B9D70" w14:textId="77777777" w:rsidR="008629F5" w:rsidRPr="004A5CBC" w:rsidRDefault="008629F5" w:rsidP="008629F5">
      <w:pPr>
        <w:pStyle w:val="Heading4"/>
        <w:ind w:left="720" w:firstLine="720"/>
        <w:rPr>
          <w:sz w:val="28"/>
          <w:szCs w:val="28"/>
          <w:highlight w:val="yellow"/>
        </w:rPr>
      </w:pPr>
    </w:p>
    <w:p w14:paraId="541AD8ED" w14:textId="77777777" w:rsidR="00243DA5" w:rsidRPr="004A5CBC" w:rsidRDefault="00243DA5" w:rsidP="00865DE4">
      <w:pPr>
        <w:rPr>
          <w:highlight w:val="yellow"/>
        </w:rPr>
      </w:pPr>
    </w:p>
    <w:p w14:paraId="0FA4B289" w14:textId="027EC366" w:rsidR="0081373B" w:rsidRPr="004A5CBC" w:rsidRDefault="00B54FFA" w:rsidP="00865DE4">
      <w:pPr>
        <w:rPr>
          <w:highlight w:val="yellow"/>
        </w:rPr>
      </w:pPr>
      <w:r w:rsidRPr="004A5CBC">
        <w:rPr>
          <w:highlight w:val="yellow"/>
        </w:rPr>
        <w:t xml:space="preserve">The Financial Plan is – as set out in the </w:t>
      </w:r>
      <w:r w:rsidR="009478F0" w:rsidRPr="004A5CBC">
        <w:rPr>
          <w:i/>
          <w:iCs/>
          <w:highlight w:val="yellow"/>
        </w:rPr>
        <w:t>Local Government Act 2020</w:t>
      </w:r>
      <w:r w:rsidR="009478F0" w:rsidRPr="004A5CBC">
        <w:rPr>
          <w:highlight w:val="yellow"/>
        </w:rPr>
        <w:t xml:space="preserve"> </w:t>
      </w:r>
      <w:r w:rsidR="009B7D6D" w:rsidRPr="004A5CBC">
        <w:rPr>
          <w:highlight w:val="yellow"/>
        </w:rPr>
        <w:t xml:space="preserve">- </w:t>
      </w:r>
      <w:r w:rsidR="009478F0" w:rsidRPr="004A5CBC">
        <w:rPr>
          <w:highlight w:val="yellow"/>
        </w:rPr>
        <w:t xml:space="preserve">intended to </w:t>
      </w:r>
      <w:r w:rsidR="0081373B" w:rsidRPr="004A5CBC">
        <w:rPr>
          <w:highlight w:val="yellow"/>
        </w:rPr>
        <w:t>cover a period of at least the next 10 years.</w:t>
      </w:r>
      <w:r w:rsidR="008C34C8" w:rsidRPr="004A5CBC">
        <w:rPr>
          <w:highlight w:val="yellow"/>
        </w:rPr>
        <w:t xml:space="preserve"> A new Financial Plan </w:t>
      </w:r>
      <w:r w:rsidR="009B7D6D" w:rsidRPr="004A5CBC">
        <w:rPr>
          <w:highlight w:val="yellow"/>
        </w:rPr>
        <w:t>must</w:t>
      </w:r>
      <w:r w:rsidR="008C34C8" w:rsidRPr="004A5CBC">
        <w:rPr>
          <w:highlight w:val="yellow"/>
        </w:rPr>
        <w:t xml:space="preserve"> be </w:t>
      </w:r>
      <w:r w:rsidR="000E2F39" w:rsidRPr="004A5CBC">
        <w:rPr>
          <w:highlight w:val="yellow"/>
        </w:rPr>
        <w:t>adopted b</w:t>
      </w:r>
      <w:r w:rsidR="009B7D6D" w:rsidRPr="004A5CBC">
        <w:rPr>
          <w:highlight w:val="yellow"/>
        </w:rPr>
        <w:t>y</w:t>
      </w:r>
      <w:r w:rsidR="000E2F39" w:rsidRPr="004A5CBC">
        <w:rPr>
          <w:highlight w:val="yellow"/>
        </w:rPr>
        <w:t xml:space="preserve"> a new council by 31 October in the year following a general election</w:t>
      </w:r>
      <w:r w:rsidR="000F6A5D" w:rsidRPr="004A5CBC">
        <w:rPr>
          <w:highlight w:val="yellow"/>
        </w:rPr>
        <w:t>.</w:t>
      </w:r>
    </w:p>
    <w:p w14:paraId="4951C7B9" w14:textId="6B928CCE" w:rsidR="00E549D8" w:rsidRPr="004A5CBC" w:rsidRDefault="0081373B" w:rsidP="00865DE4">
      <w:pPr>
        <w:rPr>
          <w:highlight w:val="yellow"/>
        </w:rPr>
      </w:pPr>
      <w:r w:rsidRPr="004A5CBC">
        <w:rPr>
          <w:highlight w:val="yellow"/>
        </w:rPr>
        <w:t xml:space="preserve">This requirement is a minimum standard. </w:t>
      </w:r>
      <w:r w:rsidR="00873DB6" w:rsidRPr="004A5CBC">
        <w:rPr>
          <w:highlight w:val="yellow"/>
        </w:rPr>
        <w:t>A</w:t>
      </w:r>
      <w:r w:rsidR="00A41981" w:rsidRPr="004A5CBC">
        <w:rPr>
          <w:highlight w:val="yellow"/>
        </w:rPr>
        <w:t xml:space="preserve"> change to a council’s financ</w:t>
      </w:r>
      <w:r w:rsidR="000F6A5D" w:rsidRPr="004A5CBC">
        <w:rPr>
          <w:highlight w:val="yellow"/>
        </w:rPr>
        <w:t>ial situation</w:t>
      </w:r>
      <w:r w:rsidR="00A41981" w:rsidRPr="004A5CBC">
        <w:rPr>
          <w:highlight w:val="yellow"/>
        </w:rPr>
        <w:t xml:space="preserve"> – such as the </w:t>
      </w:r>
      <w:r w:rsidR="0067101F" w:rsidRPr="004A5CBC">
        <w:rPr>
          <w:highlight w:val="yellow"/>
        </w:rPr>
        <w:t xml:space="preserve">acquisition of a significant </w:t>
      </w:r>
      <w:r w:rsidR="000F6A5D" w:rsidRPr="004A5CBC">
        <w:rPr>
          <w:highlight w:val="yellow"/>
        </w:rPr>
        <w:t xml:space="preserve">new </w:t>
      </w:r>
      <w:r w:rsidR="0067101F" w:rsidRPr="004A5CBC">
        <w:rPr>
          <w:highlight w:val="yellow"/>
        </w:rPr>
        <w:t>asset</w:t>
      </w:r>
      <w:r w:rsidR="00243DA5" w:rsidRPr="004A5CBC">
        <w:rPr>
          <w:highlight w:val="yellow"/>
        </w:rPr>
        <w:t xml:space="preserve"> or shocks such as a natural disaster</w:t>
      </w:r>
      <w:r w:rsidR="0067101F" w:rsidRPr="004A5CBC">
        <w:rPr>
          <w:highlight w:val="yellow"/>
        </w:rPr>
        <w:t xml:space="preserve"> – should prompt a revision of </w:t>
      </w:r>
      <w:r w:rsidR="000F6A5D" w:rsidRPr="004A5CBC">
        <w:rPr>
          <w:highlight w:val="yellow"/>
        </w:rPr>
        <w:t>a</w:t>
      </w:r>
      <w:r w:rsidR="0067101F" w:rsidRPr="004A5CBC">
        <w:rPr>
          <w:highlight w:val="yellow"/>
        </w:rPr>
        <w:t xml:space="preserve"> council’s </w:t>
      </w:r>
      <w:r w:rsidR="000F6A5D" w:rsidRPr="004A5CBC">
        <w:rPr>
          <w:highlight w:val="yellow"/>
        </w:rPr>
        <w:t>F</w:t>
      </w:r>
      <w:r w:rsidR="0067101F" w:rsidRPr="004A5CBC">
        <w:rPr>
          <w:highlight w:val="yellow"/>
        </w:rPr>
        <w:t xml:space="preserve">inancial </w:t>
      </w:r>
      <w:r w:rsidR="000F6A5D" w:rsidRPr="004A5CBC">
        <w:rPr>
          <w:highlight w:val="yellow"/>
        </w:rPr>
        <w:t>P</w:t>
      </w:r>
      <w:r w:rsidR="0067101F" w:rsidRPr="004A5CBC">
        <w:rPr>
          <w:highlight w:val="yellow"/>
        </w:rPr>
        <w:t>lan. Further</w:t>
      </w:r>
      <w:r w:rsidR="00DA6DD6" w:rsidRPr="004A5CBC">
        <w:rPr>
          <w:highlight w:val="yellow"/>
        </w:rPr>
        <w:t xml:space="preserve">more, any material change to the macroeconomic environment of a council should initiate a revision of the Financial Plan. </w:t>
      </w:r>
      <w:r w:rsidR="00E549D8" w:rsidRPr="004A5CBC">
        <w:rPr>
          <w:highlight w:val="yellow"/>
        </w:rPr>
        <w:t>These changes could include:</w:t>
      </w:r>
    </w:p>
    <w:p w14:paraId="4D5F13B3" w14:textId="38475AB1" w:rsidR="00E549D8" w:rsidRPr="004A5CBC" w:rsidRDefault="00E549D8" w:rsidP="005D1C3C">
      <w:pPr>
        <w:pStyle w:val="ListParagraph"/>
        <w:numPr>
          <w:ilvl w:val="0"/>
          <w:numId w:val="25"/>
        </w:numPr>
        <w:rPr>
          <w:rFonts w:asciiTheme="minorHAnsi" w:eastAsia="Times" w:hAnsiTheme="minorHAnsi" w:cs="Arial"/>
          <w:i/>
          <w:iCs/>
          <w:color w:val="000000" w:themeColor="text1"/>
          <w:sz w:val="22"/>
          <w:szCs w:val="22"/>
          <w:highlight w:val="yellow"/>
        </w:rPr>
      </w:pPr>
      <w:r w:rsidRPr="004A5CBC">
        <w:rPr>
          <w:rFonts w:asciiTheme="minorHAnsi" w:eastAsia="Times" w:hAnsiTheme="minorHAnsi" w:cs="Arial"/>
          <w:i/>
          <w:iCs/>
          <w:color w:val="000000" w:themeColor="text1"/>
          <w:sz w:val="22"/>
          <w:szCs w:val="22"/>
          <w:highlight w:val="yellow"/>
        </w:rPr>
        <w:t>Changes in interest rates</w:t>
      </w:r>
      <w:r w:rsidR="0034740F" w:rsidRPr="004A5CBC">
        <w:rPr>
          <w:rFonts w:asciiTheme="minorHAnsi" w:eastAsia="Times" w:hAnsiTheme="minorHAnsi" w:cs="Arial"/>
          <w:i/>
          <w:iCs/>
          <w:color w:val="000000" w:themeColor="text1"/>
          <w:sz w:val="22"/>
          <w:szCs w:val="22"/>
          <w:highlight w:val="yellow"/>
        </w:rPr>
        <w:t>, inflation</w:t>
      </w:r>
      <w:r w:rsidR="005D1C3C" w:rsidRPr="004A5CBC">
        <w:rPr>
          <w:rFonts w:asciiTheme="minorHAnsi" w:eastAsia="Times" w:hAnsiTheme="minorHAnsi" w:cs="Arial"/>
          <w:i/>
          <w:iCs/>
          <w:color w:val="000000" w:themeColor="text1"/>
          <w:sz w:val="22"/>
          <w:szCs w:val="22"/>
          <w:highlight w:val="yellow"/>
        </w:rPr>
        <w:t xml:space="preserve"> or other external financial factors</w:t>
      </w:r>
    </w:p>
    <w:p w14:paraId="17640285" w14:textId="77777777" w:rsidR="00E549D8" w:rsidRPr="004A5CBC" w:rsidRDefault="00E549D8" w:rsidP="005D1C3C">
      <w:pPr>
        <w:pStyle w:val="ListParagraph"/>
        <w:numPr>
          <w:ilvl w:val="0"/>
          <w:numId w:val="25"/>
        </w:numPr>
        <w:rPr>
          <w:rFonts w:asciiTheme="minorHAnsi" w:eastAsia="Times" w:hAnsiTheme="minorHAnsi" w:cs="Arial"/>
          <w:i/>
          <w:iCs/>
          <w:color w:val="000000" w:themeColor="text1"/>
          <w:sz w:val="22"/>
          <w:szCs w:val="22"/>
          <w:highlight w:val="yellow"/>
        </w:rPr>
      </w:pPr>
      <w:r w:rsidRPr="004A5CBC">
        <w:rPr>
          <w:rFonts w:asciiTheme="minorHAnsi" w:eastAsia="Times" w:hAnsiTheme="minorHAnsi" w:cs="Arial"/>
          <w:i/>
          <w:iCs/>
          <w:color w:val="000000" w:themeColor="text1"/>
          <w:sz w:val="22"/>
          <w:szCs w:val="22"/>
          <w:highlight w:val="yellow"/>
        </w:rPr>
        <w:t>Population growth/decline</w:t>
      </w:r>
    </w:p>
    <w:p w14:paraId="051FAD2B" w14:textId="0E6F0B5B" w:rsidR="005D1C3C" w:rsidRPr="004A5CBC" w:rsidRDefault="00E549D8" w:rsidP="005D1C3C">
      <w:pPr>
        <w:pStyle w:val="ListParagraph"/>
        <w:numPr>
          <w:ilvl w:val="0"/>
          <w:numId w:val="25"/>
        </w:numPr>
        <w:rPr>
          <w:rFonts w:asciiTheme="minorHAnsi" w:hAnsiTheme="minorHAnsi"/>
          <w:color w:val="000000" w:themeColor="text1"/>
          <w:sz w:val="22"/>
          <w:szCs w:val="22"/>
          <w:highlight w:val="yellow"/>
        </w:rPr>
      </w:pPr>
      <w:r w:rsidRPr="004A5CBC">
        <w:rPr>
          <w:rFonts w:asciiTheme="minorHAnsi" w:eastAsia="Times" w:hAnsiTheme="minorHAnsi" w:cs="Arial"/>
          <w:i/>
          <w:iCs/>
          <w:color w:val="000000" w:themeColor="text1"/>
          <w:sz w:val="22"/>
          <w:szCs w:val="22"/>
          <w:highlight w:val="yellow"/>
        </w:rPr>
        <w:t xml:space="preserve">Impact of significant </w:t>
      </w:r>
      <w:r w:rsidR="0034740F" w:rsidRPr="004A5CBC">
        <w:rPr>
          <w:rFonts w:asciiTheme="minorHAnsi" w:eastAsia="Times" w:hAnsiTheme="minorHAnsi" w:cs="Arial"/>
          <w:i/>
          <w:iCs/>
          <w:color w:val="000000" w:themeColor="text1"/>
          <w:sz w:val="22"/>
          <w:szCs w:val="22"/>
          <w:highlight w:val="yellow"/>
        </w:rPr>
        <w:t xml:space="preserve">emergencies or </w:t>
      </w:r>
      <w:r w:rsidRPr="004A5CBC">
        <w:rPr>
          <w:rFonts w:asciiTheme="minorHAnsi" w:eastAsia="Times" w:hAnsiTheme="minorHAnsi" w:cs="Arial"/>
          <w:i/>
          <w:iCs/>
          <w:color w:val="000000" w:themeColor="text1"/>
          <w:sz w:val="22"/>
          <w:szCs w:val="22"/>
          <w:highlight w:val="yellow"/>
        </w:rPr>
        <w:t>natural disasters</w:t>
      </w:r>
    </w:p>
    <w:p w14:paraId="630A5CDA" w14:textId="49B55EE9" w:rsidR="003F4161" w:rsidRPr="004A5CBC" w:rsidRDefault="003F4161" w:rsidP="005D1C3C">
      <w:pPr>
        <w:pStyle w:val="ListParagraph"/>
        <w:numPr>
          <w:ilvl w:val="0"/>
          <w:numId w:val="25"/>
        </w:numPr>
        <w:rPr>
          <w:rFonts w:asciiTheme="minorHAnsi" w:hAnsiTheme="minorHAnsi"/>
          <w:color w:val="000000" w:themeColor="text1"/>
          <w:sz w:val="22"/>
          <w:szCs w:val="22"/>
          <w:highlight w:val="yellow"/>
        </w:rPr>
      </w:pPr>
      <w:r w:rsidRPr="004A5CBC">
        <w:rPr>
          <w:rFonts w:asciiTheme="minorHAnsi" w:eastAsia="Times" w:hAnsiTheme="minorHAnsi" w:cs="Arial"/>
          <w:i/>
          <w:iCs/>
          <w:color w:val="000000" w:themeColor="text1"/>
          <w:sz w:val="22"/>
          <w:szCs w:val="22"/>
          <w:highlight w:val="yellow"/>
        </w:rPr>
        <w:t>Changes in service levels or Council priorities</w:t>
      </w:r>
    </w:p>
    <w:p w14:paraId="21E14721" w14:textId="42F8D906" w:rsidR="009C774C" w:rsidRPr="004471D5" w:rsidRDefault="004471D5" w:rsidP="00865DE4">
      <w:pPr>
        <w:rPr>
          <w:sz w:val="20"/>
          <w:szCs w:val="20"/>
        </w:rPr>
      </w:pPr>
      <w:r w:rsidRPr="004A5CBC">
        <w:rPr>
          <w:highlight w:val="yellow"/>
        </w:rPr>
        <w:t>Critically, the Financial Plan should not be a static document. It is improbabl</w:t>
      </w:r>
      <w:r w:rsidR="0004532E" w:rsidRPr="004A5CBC">
        <w:rPr>
          <w:highlight w:val="yellow"/>
        </w:rPr>
        <w:t>e</w:t>
      </w:r>
      <w:r w:rsidRPr="004A5CBC">
        <w:rPr>
          <w:highlight w:val="yellow"/>
        </w:rPr>
        <w:t xml:space="preserve"> that a Financial Plan</w:t>
      </w:r>
      <w:r w:rsidR="004F10D8" w:rsidRPr="004A5CBC">
        <w:rPr>
          <w:highlight w:val="yellow"/>
        </w:rPr>
        <w:t xml:space="preserve"> – if it is to remain relevant -</w:t>
      </w:r>
      <w:r w:rsidRPr="004A5CBC">
        <w:rPr>
          <w:highlight w:val="yellow"/>
        </w:rPr>
        <w:t xml:space="preserve"> </w:t>
      </w:r>
      <w:r w:rsidR="0004532E" w:rsidRPr="004A5CBC">
        <w:rPr>
          <w:highlight w:val="yellow"/>
        </w:rPr>
        <w:t>be</w:t>
      </w:r>
      <w:r w:rsidR="004F10D8" w:rsidRPr="004A5CBC">
        <w:rPr>
          <w:highlight w:val="yellow"/>
        </w:rPr>
        <w:t xml:space="preserve"> unchanged over a four</w:t>
      </w:r>
      <w:r w:rsidR="0034740F" w:rsidRPr="004A5CBC">
        <w:rPr>
          <w:highlight w:val="yellow"/>
        </w:rPr>
        <w:t>-</w:t>
      </w:r>
      <w:r w:rsidR="004F10D8" w:rsidRPr="004A5CBC">
        <w:rPr>
          <w:highlight w:val="yellow"/>
        </w:rPr>
        <w:t xml:space="preserve">year council term. </w:t>
      </w:r>
      <w:r w:rsidRPr="004A5CBC">
        <w:rPr>
          <w:highlight w:val="yellow"/>
        </w:rPr>
        <w:t xml:space="preserve"> </w:t>
      </w:r>
      <w:r w:rsidR="008B4930" w:rsidRPr="004A5CBC">
        <w:rPr>
          <w:highlight w:val="yellow"/>
        </w:rPr>
        <w:t>The decision to revise a</w:t>
      </w:r>
      <w:r w:rsidR="00EF6A8F" w:rsidRPr="004A5CBC">
        <w:rPr>
          <w:highlight w:val="yellow"/>
        </w:rPr>
        <w:t>n</w:t>
      </w:r>
      <w:r w:rsidR="00525377" w:rsidRPr="004A5CBC">
        <w:rPr>
          <w:highlight w:val="yellow"/>
        </w:rPr>
        <w:t>d</w:t>
      </w:r>
      <w:r w:rsidR="00EF6A8F" w:rsidRPr="004A5CBC">
        <w:rPr>
          <w:highlight w:val="yellow"/>
        </w:rPr>
        <w:t xml:space="preserve"> adopt a new</w:t>
      </w:r>
      <w:r w:rsidR="008B4930" w:rsidRPr="004A5CBC">
        <w:rPr>
          <w:highlight w:val="yellow"/>
        </w:rPr>
        <w:t xml:space="preserve"> Financial Plan may be made by a council </w:t>
      </w:r>
      <w:r w:rsidR="00EF6A8F" w:rsidRPr="004A5CBC">
        <w:rPr>
          <w:highlight w:val="yellow"/>
        </w:rPr>
        <w:t>at any time.</w:t>
      </w:r>
      <w:r w:rsidR="009C774C" w:rsidRPr="004471D5">
        <w:rPr>
          <w:sz w:val="20"/>
          <w:szCs w:val="20"/>
        </w:rPr>
        <w:br w:type="page"/>
      </w:r>
    </w:p>
    <w:p w14:paraId="66E72315" w14:textId="77777777" w:rsidR="00630438" w:rsidRDefault="00630438" w:rsidP="009C774C">
      <w:pPr>
        <w:pStyle w:val="Heading2"/>
        <w:ind w:left="567" w:hanging="567"/>
      </w:pPr>
      <w:bookmarkStart w:id="21" w:name="_Toc95736464"/>
      <w:bookmarkStart w:id="22" w:name="_Toc189219379"/>
      <w:r>
        <w:lastRenderedPageBreak/>
        <w:t>Engagement Principles</w:t>
      </w:r>
      <w:bookmarkEnd w:id="21"/>
      <w:bookmarkEnd w:id="22"/>
    </w:p>
    <w:p w14:paraId="4C39D364" w14:textId="65517AAF" w:rsidR="00630438" w:rsidRPr="00630438" w:rsidRDefault="00630438" w:rsidP="00630438">
      <w:pPr>
        <w:rPr>
          <w:b/>
          <w:color w:val="auto"/>
          <w:sz w:val="20"/>
          <w:szCs w:val="16"/>
          <w:lang w:eastAsia="zh-CN" w:bidi="th-TH"/>
        </w:rPr>
      </w:pPr>
      <w:r w:rsidRPr="00630438">
        <w:rPr>
          <w:color w:val="auto"/>
          <w:sz w:val="20"/>
          <w:szCs w:val="16"/>
          <w:lang w:eastAsia="zh-CN" w:bidi="th-TH"/>
        </w:rPr>
        <w:t>The level of engagement will depend on each council’s appetite for community input and the extent this input will impact the decision-making process. The table below describes the community engagement spectrum from a low</w:t>
      </w:r>
      <w:r w:rsidR="00691E5B">
        <w:rPr>
          <w:color w:val="auto"/>
          <w:sz w:val="20"/>
          <w:szCs w:val="16"/>
          <w:lang w:eastAsia="zh-CN" w:bidi="th-TH"/>
        </w:rPr>
        <w:t>-</w:t>
      </w:r>
      <w:r w:rsidRPr="00630438">
        <w:rPr>
          <w:color w:val="auto"/>
          <w:sz w:val="20"/>
          <w:szCs w:val="16"/>
          <w:lang w:eastAsia="zh-CN" w:bidi="th-TH"/>
        </w:rPr>
        <w:t xml:space="preserve">level engagement (inform) to a </w:t>
      </w:r>
      <w:proofErr w:type="gramStart"/>
      <w:r w:rsidRPr="00630438">
        <w:rPr>
          <w:color w:val="auto"/>
          <w:sz w:val="20"/>
          <w:szCs w:val="16"/>
          <w:lang w:eastAsia="zh-CN" w:bidi="th-TH"/>
        </w:rPr>
        <w:t>high level</w:t>
      </w:r>
      <w:proofErr w:type="gramEnd"/>
      <w:r w:rsidRPr="00630438">
        <w:rPr>
          <w:color w:val="auto"/>
          <w:sz w:val="20"/>
          <w:szCs w:val="16"/>
          <w:lang w:eastAsia="zh-CN" w:bidi="th-TH"/>
        </w:rPr>
        <w:t xml:space="preserve"> engagement (empower).</w:t>
      </w:r>
    </w:p>
    <w:p w14:paraId="616F84CF" w14:textId="77777777" w:rsidR="00630438" w:rsidRDefault="00630438" w:rsidP="00630438">
      <w:pPr>
        <w:rPr>
          <w:b/>
          <w:color w:val="auto"/>
          <w:sz w:val="20"/>
          <w:szCs w:val="20"/>
          <w:lang w:eastAsia="zh-CN" w:bidi="th-TH"/>
        </w:rPr>
      </w:pPr>
    </w:p>
    <w:tbl>
      <w:tblPr>
        <w:tblStyle w:val="TableGrid"/>
        <w:tblW w:w="10355" w:type="dxa"/>
        <w:tblInd w:w="-5" w:type="dxa"/>
        <w:tblLook w:val="04A0" w:firstRow="1" w:lastRow="0" w:firstColumn="1" w:lastColumn="0" w:noHBand="0" w:noVBand="1"/>
      </w:tblPr>
      <w:tblGrid>
        <w:gridCol w:w="2068"/>
        <w:gridCol w:w="2068"/>
        <w:gridCol w:w="2191"/>
        <w:gridCol w:w="2012"/>
        <w:gridCol w:w="2016"/>
      </w:tblGrid>
      <w:tr w:rsidR="00630438" w14:paraId="4FE9C37C" w14:textId="77777777" w:rsidTr="00441C95">
        <w:trPr>
          <w:trHeight w:val="172"/>
        </w:trPr>
        <w:tc>
          <w:tcPr>
            <w:tcW w:w="10355" w:type="dxa"/>
            <w:gridSpan w:val="5"/>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0E46DF1B" w14:textId="77777777" w:rsidR="00630438" w:rsidRDefault="00630438">
            <w:pPr>
              <w:spacing w:after="0"/>
              <w:jc w:val="center"/>
              <w:rPr>
                <w:bCs/>
                <w:color w:val="auto"/>
                <w:sz w:val="24"/>
                <w:szCs w:val="24"/>
                <w:lang w:eastAsia="zh-CN" w:bidi="th-TH"/>
              </w:rPr>
            </w:pPr>
            <w:r>
              <w:rPr>
                <w:bCs/>
                <w:color w:val="FFFFFF" w:themeColor="background1"/>
                <w:sz w:val="24"/>
                <w:szCs w:val="24"/>
                <w:lang w:eastAsia="zh-CN" w:bidi="th-TH"/>
              </w:rPr>
              <w:t>Community Engagement Framework</w:t>
            </w:r>
          </w:p>
        </w:tc>
      </w:tr>
      <w:tr w:rsidR="00630438" w14:paraId="34BB53D9" w14:textId="77777777" w:rsidTr="00441C95">
        <w:trPr>
          <w:trHeight w:val="172"/>
        </w:trPr>
        <w:tc>
          <w:tcPr>
            <w:tcW w:w="2068" w:type="dxa"/>
            <w:tcBorders>
              <w:top w:val="single" w:sz="4" w:space="0" w:color="004776" w:themeColor="accent1" w:themeShade="BF"/>
              <w:left w:val="single" w:sz="4" w:space="0" w:color="auto"/>
              <w:bottom w:val="single" w:sz="4" w:space="0" w:color="auto"/>
              <w:right w:val="single" w:sz="4" w:space="0" w:color="auto"/>
            </w:tcBorders>
            <w:shd w:val="clear" w:color="auto" w:fill="00578D" w:themeFill="accent2" w:themeFillShade="BF"/>
            <w:hideMark/>
          </w:tcPr>
          <w:p w14:paraId="55FD3A1F"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Inform – 1</w:t>
            </w:r>
          </w:p>
        </w:tc>
        <w:tc>
          <w:tcPr>
            <w:tcW w:w="2068"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6EAB9B70"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Consult – 2</w:t>
            </w:r>
          </w:p>
        </w:tc>
        <w:tc>
          <w:tcPr>
            <w:tcW w:w="2191"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48771245"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Involve - 3</w:t>
            </w:r>
          </w:p>
        </w:tc>
        <w:tc>
          <w:tcPr>
            <w:tcW w:w="2012"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1B04C134"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Collaborate - 4</w:t>
            </w:r>
          </w:p>
        </w:tc>
        <w:tc>
          <w:tcPr>
            <w:tcW w:w="2016"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20749D18"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Empower - 5</w:t>
            </w:r>
          </w:p>
        </w:tc>
      </w:tr>
      <w:tr w:rsidR="00630438" w14:paraId="542AE919" w14:textId="77777777" w:rsidTr="00441C95">
        <w:trPr>
          <w:trHeight w:val="166"/>
        </w:trPr>
        <w:tc>
          <w:tcPr>
            <w:tcW w:w="10355" w:type="dxa"/>
            <w:gridSpan w:val="5"/>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118C732B" w14:textId="7E0E3340" w:rsidR="00630438" w:rsidRDefault="00630438">
            <w:pPr>
              <w:spacing w:after="0"/>
              <w:rPr>
                <w:bCs/>
                <w:color w:val="auto"/>
                <w:sz w:val="20"/>
                <w:szCs w:val="20"/>
                <w:lang w:eastAsia="zh-CN" w:bidi="th-TH"/>
              </w:rPr>
            </w:pPr>
            <w:r>
              <w:rPr>
                <w:rFonts w:cs="Times New Roman"/>
                <w:noProof/>
                <w:color w:val="0075BD" w:themeColor="accent2"/>
                <w:sz w:val="18"/>
              </w:rPr>
              <mc:AlternateContent>
                <mc:Choice Requires="wps">
                  <w:drawing>
                    <wp:anchor distT="0" distB="0" distL="114300" distR="114300" simplePos="0" relativeHeight="251658240" behindDoc="0" locked="0" layoutInCell="1" allowOverlap="1" wp14:anchorId="62EE0429" wp14:editId="7950B89D">
                      <wp:simplePos x="0" y="0"/>
                      <wp:positionH relativeFrom="column">
                        <wp:posOffset>760730</wp:posOffset>
                      </wp:positionH>
                      <wp:positionV relativeFrom="paragraph">
                        <wp:posOffset>27939</wp:posOffset>
                      </wp:positionV>
                      <wp:extent cx="4324350" cy="123825"/>
                      <wp:effectExtent l="0" t="19050" r="38100" b="47625"/>
                      <wp:wrapNone/>
                      <wp:docPr id="11" name="Arrow: Striped Right 11"/>
                      <wp:cNvGraphicFramePr/>
                      <a:graphic xmlns:a="http://schemas.openxmlformats.org/drawingml/2006/main">
                        <a:graphicData uri="http://schemas.microsoft.com/office/word/2010/wordprocessingShape">
                          <wps:wsp>
                            <wps:cNvSpPr/>
                            <wps:spPr>
                              <a:xfrm>
                                <a:off x="0" y="0"/>
                                <a:ext cx="4324350" cy="123825"/>
                              </a:xfrm>
                              <a:prstGeom prst="stripedRightArrow">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4523EE7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1" o:spid="_x0000_s1026" type="#_x0000_t93" style="position:absolute;margin-left:59.9pt;margin-top:2.2pt;width:340.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" adj="21291" fillcolor="white [3212]" strokecolor="white [3212]" strokeweight=".5pt"/>
                  </w:pict>
                </mc:Fallback>
              </mc:AlternateContent>
            </w:r>
            <w:r>
              <w:rPr>
                <w:bCs/>
                <w:color w:val="FFFFFF" w:themeColor="background1"/>
                <w:sz w:val="20"/>
                <w:szCs w:val="20"/>
                <w:lang w:eastAsia="zh-CN" w:bidi="th-TH"/>
              </w:rPr>
              <w:t>Low Level                                                                                                                                               High Level</w:t>
            </w:r>
          </w:p>
        </w:tc>
      </w:tr>
      <w:tr w:rsidR="00630438" w14:paraId="1D9760A9" w14:textId="77777777" w:rsidTr="00441C95">
        <w:trPr>
          <w:trHeight w:val="1358"/>
        </w:trPr>
        <w:tc>
          <w:tcPr>
            <w:tcW w:w="2068" w:type="dxa"/>
            <w:tcBorders>
              <w:top w:val="single" w:sz="4" w:space="0" w:color="auto"/>
              <w:left w:val="single" w:sz="4" w:space="0" w:color="auto"/>
              <w:bottom w:val="single" w:sz="4" w:space="0" w:color="auto"/>
              <w:right w:val="single" w:sz="4" w:space="0" w:color="auto"/>
            </w:tcBorders>
            <w:hideMark/>
          </w:tcPr>
          <w:p w14:paraId="0D3D51EE" w14:textId="77777777" w:rsidR="00630438" w:rsidRPr="00630438" w:rsidRDefault="00630438">
            <w:pPr>
              <w:spacing w:after="0"/>
              <w:rPr>
                <w:b/>
                <w:color w:val="auto"/>
                <w:sz w:val="20"/>
                <w:szCs w:val="16"/>
                <w:lang w:eastAsia="zh-CN" w:bidi="th-TH"/>
              </w:rPr>
            </w:pPr>
            <w:r w:rsidRPr="00630438">
              <w:rPr>
                <w:color w:val="auto"/>
                <w:sz w:val="20"/>
                <w:szCs w:val="16"/>
                <w:lang w:eastAsia="zh-CN" w:bidi="th-TH"/>
              </w:rPr>
              <w:t>Provide community awareness and keep them informed of the completion of the Financial Plan</w:t>
            </w:r>
          </w:p>
        </w:tc>
        <w:tc>
          <w:tcPr>
            <w:tcW w:w="2068" w:type="dxa"/>
            <w:tcBorders>
              <w:top w:val="single" w:sz="4" w:space="0" w:color="auto"/>
              <w:left w:val="single" w:sz="4" w:space="0" w:color="auto"/>
              <w:bottom w:val="single" w:sz="4" w:space="0" w:color="auto"/>
              <w:right w:val="single" w:sz="4" w:space="0" w:color="auto"/>
            </w:tcBorders>
            <w:hideMark/>
          </w:tcPr>
          <w:p w14:paraId="047CD5E1" w14:textId="77777777" w:rsidR="00630438" w:rsidRPr="00630438" w:rsidRDefault="00630438">
            <w:pPr>
              <w:spacing w:after="0"/>
              <w:rPr>
                <w:b/>
                <w:color w:val="auto"/>
                <w:sz w:val="20"/>
                <w:szCs w:val="16"/>
                <w:lang w:eastAsia="zh-CN" w:bidi="th-TH"/>
              </w:rPr>
            </w:pPr>
            <w:r w:rsidRPr="00630438">
              <w:rPr>
                <w:color w:val="auto"/>
                <w:sz w:val="20"/>
                <w:szCs w:val="16"/>
                <w:lang w:eastAsia="zh-CN" w:bidi="th-TH"/>
              </w:rPr>
              <w:t>Ask the community for feedback then inform them of how their input affected decision making.</w:t>
            </w:r>
          </w:p>
        </w:tc>
        <w:tc>
          <w:tcPr>
            <w:tcW w:w="2191" w:type="dxa"/>
            <w:tcBorders>
              <w:top w:val="single" w:sz="4" w:space="0" w:color="auto"/>
              <w:left w:val="single" w:sz="4" w:space="0" w:color="auto"/>
              <w:bottom w:val="single" w:sz="4" w:space="0" w:color="auto"/>
              <w:right w:val="single" w:sz="4" w:space="0" w:color="auto"/>
            </w:tcBorders>
            <w:hideMark/>
          </w:tcPr>
          <w:p w14:paraId="4425D7FA" w14:textId="6A67EDC6" w:rsidR="00630438" w:rsidRPr="00630438" w:rsidRDefault="00630438">
            <w:pPr>
              <w:spacing w:after="0"/>
              <w:rPr>
                <w:b/>
                <w:color w:val="auto"/>
                <w:sz w:val="20"/>
                <w:szCs w:val="16"/>
                <w:lang w:eastAsia="zh-CN" w:bidi="th-TH"/>
              </w:rPr>
            </w:pPr>
            <w:r w:rsidRPr="00630438">
              <w:rPr>
                <w:color w:val="auto"/>
                <w:sz w:val="20"/>
                <w:szCs w:val="16"/>
                <w:lang w:eastAsia="zh-CN" w:bidi="th-TH"/>
              </w:rPr>
              <w:t>Work directly with the community to ensure their views and aspirations are considered in developing the Financial Plan.</w:t>
            </w:r>
          </w:p>
        </w:tc>
        <w:tc>
          <w:tcPr>
            <w:tcW w:w="2012" w:type="dxa"/>
            <w:tcBorders>
              <w:top w:val="single" w:sz="4" w:space="0" w:color="auto"/>
              <w:left w:val="single" w:sz="4" w:space="0" w:color="auto"/>
              <w:bottom w:val="single" w:sz="4" w:space="0" w:color="auto"/>
              <w:right w:val="single" w:sz="4" w:space="0" w:color="auto"/>
            </w:tcBorders>
            <w:hideMark/>
          </w:tcPr>
          <w:p w14:paraId="7ADB7758" w14:textId="12E1CD8D" w:rsidR="00630438" w:rsidRPr="00630438" w:rsidRDefault="00630438">
            <w:pPr>
              <w:spacing w:after="0"/>
              <w:rPr>
                <w:b/>
                <w:color w:val="auto"/>
                <w:sz w:val="20"/>
                <w:szCs w:val="16"/>
                <w:lang w:eastAsia="zh-CN" w:bidi="th-TH"/>
              </w:rPr>
            </w:pPr>
            <w:r w:rsidRPr="00630438">
              <w:rPr>
                <w:color w:val="auto"/>
                <w:sz w:val="20"/>
                <w:szCs w:val="16"/>
                <w:lang w:eastAsia="zh-CN" w:bidi="th-TH"/>
              </w:rPr>
              <w:t xml:space="preserve">Partner with the community to develop joint solutions and incorporate their advice </w:t>
            </w:r>
            <w:r w:rsidR="009046D9">
              <w:rPr>
                <w:color w:val="auto"/>
                <w:sz w:val="20"/>
                <w:szCs w:val="16"/>
                <w:lang w:eastAsia="zh-CN" w:bidi="th-TH"/>
              </w:rPr>
              <w:t>in</w:t>
            </w:r>
            <w:r w:rsidRPr="00630438">
              <w:rPr>
                <w:color w:val="auto"/>
                <w:sz w:val="20"/>
                <w:szCs w:val="16"/>
                <w:lang w:eastAsia="zh-CN" w:bidi="th-TH"/>
              </w:rPr>
              <w:t>to the Financial Plan.</w:t>
            </w:r>
          </w:p>
        </w:tc>
        <w:tc>
          <w:tcPr>
            <w:tcW w:w="2016" w:type="dxa"/>
            <w:tcBorders>
              <w:top w:val="single" w:sz="4" w:space="0" w:color="auto"/>
              <w:left w:val="single" w:sz="4" w:space="0" w:color="auto"/>
              <w:bottom w:val="single" w:sz="4" w:space="0" w:color="auto"/>
              <w:right w:val="single" w:sz="4" w:space="0" w:color="auto"/>
            </w:tcBorders>
            <w:hideMark/>
          </w:tcPr>
          <w:p w14:paraId="507E6FE4" w14:textId="75EBA4F0" w:rsidR="00630438" w:rsidRPr="00630438" w:rsidRDefault="00630438">
            <w:pPr>
              <w:spacing w:after="0"/>
              <w:rPr>
                <w:b/>
                <w:color w:val="auto"/>
                <w:sz w:val="20"/>
                <w:szCs w:val="16"/>
                <w:lang w:eastAsia="zh-CN" w:bidi="th-TH"/>
              </w:rPr>
            </w:pPr>
            <w:r w:rsidRPr="00630438">
              <w:rPr>
                <w:color w:val="auto"/>
                <w:sz w:val="20"/>
                <w:szCs w:val="16"/>
                <w:lang w:eastAsia="zh-CN" w:bidi="th-TH"/>
              </w:rPr>
              <w:t xml:space="preserve">Community decides what is implemented and included </w:t>
            </w:r>
            <w:r w:rsidR="009046D9">
              <w:rPr>
                <w:color w:val="auto"/>
                <w:sz w:val="20"/>
                <w:szCs w:val="16"/>
                <w:lang w:eastAsia="zh-CN" w:bidi="th-TH"/>
              </w:rPr>
              <w:t>in</w:t>
            </w:r>
            <w:r w:rsidRPr="00630438">
              <w:rPr>
                <w:color w:val="auto"/>
                <w:sz w:val="20"/>
                <w:szCs w:val="16"/>
                <w:lang w:eastAsia="zh-CN" w:bidi="th-TH"/>
              </w:rPr>
              <w:t xml:space="preserve">to the Financial Plan. </w:t>
            </w:r>
          </w:p>
        </w:tc>
      </w:tr>
    </w:tbl>
    <w:p w14:paraId="5363FD46" w14:textId="77777777" w:rsidR="00630438" w:rsidRPr="00630438" w:rsidRDefault="00630438" w:rsidP="00630438">
      <w:pPr>
        <w:rPr>
          <w:rFonts w:ascii="Arial" w:eastAsia="Times New Roman" w:hAnsi="Arial"/>
          <w:color w:val="auto"/>
          <w:sz w:val="16"/>
          <w:szCs w:val="16"/>
          <w:lang w:eastAsia="zh-CN" w:bidi="th-TH"/>
        </w:rPr>
      </w:pPr>
    </w:p>
    <w:p w14:paraId="3DF84404" w14:textId="77777777" w:rsidR="00630438" w:rsidRPr="00630438" w:rsidRDefault="00630438" w:rsidP="00630438">
      <w:pPr>
        <w:rPr>
          <w:b/>
          <w:color w:val="auto"/>
          <w:sz w:val="20"/>
          <w:szCs w:val="16"/>
          <w:lang w:eastAsia="zh-CN" w:bidi="th-TH"/>
        </w:rPr>
      </w:pPr>
      <w:r w:rsidRPr="00630438">
        <w:rPr>
          <w:color w:val="auto"/>
          <w:sz w:val="20"/>
          <w:szCs w:val="16"/>
          <w:lang w:eastAsia="zh-CN" w:bidi="th-TH"/>
        </w:rPr>
        <w:t>Each Council will be required to describe a level of engagement in the development of the Financial Plan.</w:t>
      </w:r>
    </w:p>
    <w:p w14:paraId="1B6DA296" w14:textId="62002865" w:rsidR="00630438" w:rsidRDefault="00630438" w:rsidP="009C774C">
      <w:pPr>
        <w:pStyle w:val="Heading2"/>
        <w:ind w:left="567" w:hanging="567"/>
      </w:pPr>
      <w:bookmarkStart w:id="23" w:name="_Toc95736465"/>
      <w:bookmarkStart w:id="24" w:name="_Toc189219380"/>
      <w:r>
        <w:t>Asset Plan Integration</w:t>
      </w:r>
      <w:bookmarkEnd w:id="23"/>
      <w:bookmarkEnd w:id="24"/>
    </w:p>
    <w:p w14:paraId="58030F29" w14:textId="77777777" w:rsidR="00630438" w:rsidRPr="00630438" w:rsidRDefault="00630438" w:rsidP="00630438">
      <w:pPr>
        <w:rPr>
          <w:sz w:val="20"/>
          <w:szCs w:val="20"/>
        </w:rPr>
      </w:pPr>
      <w:r w:rsidRPr="00630438">
        <w:rPr>
          <w:sz w:val="20"/>
          <w:szCs w:val="20"/>
        </w:rPr>
        <w:t>It is essential that any approach towards strategic financial planning be integrated to the Asset Plan. This will ensure that future funding is allocated in a manner that supports service delivery in terms of the plans and the effective management of Council’s assets into the future.</w:t>
      </w:r>
    </w:p>
    <w:p w14:paraId="08697A5B" w14:textId="77777777" w:rsidR="00630438" w:rsidRPr="00630438" w:rsidRDefault="00630438" w:rsidP="00630438">
      <w:pPr>
        <w:rPr>
          <w:sz w:val="20"/>
          <w:szCs w:val="20"/>
        </w:rPr>
      </w:pPr>
      <w:r w:rsidRPr="00630438">
        <w:rPr>
          <w:sz w:val="20"/>
          <w:szCs w:val="20"/>
        </w:rPr>
        <w:t xml:space="preserve">The Asset Plan is designed to identify the operational and strategic practices which will ensure that Council manages assets across their life cycle in a financially sustainable manner. </w:t>
      </w:r>
    </w:p>
    <w:p w14:paraId="51879C18" w14:textId="77777777" w:rsidR="00630438" w:rsidRPr="00630438" w:rsidRDefault="00630438" w:rsidP="00630438">
      <w:pPr>
        <w:rPr>
          <w:sz w:val="20"/>
          <w:szCs w:val="20"/>
        </w:rPr>
      </w:pPr>
      <w:r w:rsidRPr="00630438">
        <w:rPr>
          <w:sz w:val="20"/>
          <w:szCs w:val="20"/>
        </w:rPr>
        <w:t>The objective is for each council to confidently forecast its infrastructure investment needs and costs to ensure it can sustainably provide for current and future communities and ensure they are cost effectively managing asset associated risks and opportunities over the long term. Key considerations include:</w:t>
      </w:r>
    </w:p>
    <w:p w14:paraId="5A7C36E8" w14:textId="77777777" w:rsidR="00630438" w:rsidRPr="009046D9" w:rsidRDefault="00630438" w:rsidP="00457D77">
      <w:pPr>
        <w:pStyle w:val="ListParagraph"/>
        <w:numPr>
          <w:ilvl w:val="0"/>
          <w:numId w:val="25"/>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 xml:space="preserve">Decisions about assets have significant financial consequences. </w:t>
      </w:r>
    </w:p>
    <w:p w14:paraId="6A535B97" w14:textId="77777777" w:rsidR="00630438" w:rsidRPr="009046D9" w:rsidRDefault="00630438" w:rsidP="00630438">
      <w:pPr>
        <w:pStyle w:val="ListParagraph"/>
        <w:rPr>
          <w:rFonts w:asciiTheme="minorHAnsi" w:eastAsia="Times" w:hAnsiTheme="minorHAnsi" w:cs="Arial"/>
          <w:i/>
          <w:iCs/>
          <w:color w:val="000000" w:themeColor="text1"/>
          <w:sz w:val="20"/>
        </w:rPr>
      </w:pPr>
    </w:p>
    <w:p w14:paraId="1AED8C9F" w14:textId="77777777" w:rsidR="00630438" w:rsidRPr="009046D9" w:rsidRDefault="00630438" w:rsidP="00457D77">
      <w:pPr>
        <w:pStyle w:val="ListParagraph"/>
        <w:numPr>
          <w:ilvl w:val="0"/>
          <w:numId w:val="25"/>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Asset related expenditure and risk form a significant proportion of the financial statements and overall performance of each council.</w:t>
      </w:r>
    </w:p>
    <w:p w14:paraId="26385E4B" w14:textId="77777777" w:rsidR="00630438" w:rsidRPr="009046D9" w:rsidRDefault="00630438" w:rsidP="00630438">
      <w:pPr>
        <w:pStyle w:val="ListParagraph"/>
        <w:rPr>
          <w:rFonts w:asciiTheme="minorHAnsi" w:eastAsia="Times" w:hAnsiTheme="minorHAnsi" w:cs="Arial"/>
          <w:i/>
          <w:iCs/>
          <w:color w:val="000000" w:themeColor="text1"/>
          <w:sz w:val="20"/>
        </w:rPr>
      </w:pPr>
    </w:p>
    <w:p w14:paraId="5B86355E" w14:textId="77777777" w:rsidR="00630438" w:rsidRPr="009046D9" w:rsidRDefault="00630438" w:rsidP="00457D77">
      <w:pPr>
        <w:pStyle w:val="ListParagraph"/>
        <w:numPr>
          <w:ilvl w:val="0"/>
          <w:numId w:val="25"/>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 xml:space="preserve">Service delivery is often highly dependent upon the assets owned and controlled by each council. </w:t>
      </w:r>
    </w:p>
    <w:p w14:paraId="46BA33FC" w14:textId="77777777" w:rsidR="00630438" w:rsidRPr="009046D9" w:rsidRDefault="00630438" w:rsidP="00630438">
      <w:pPr>
        <w:pStyle w:val="ListParagraph"/>
        <w:rPr>
          <w:rFonts w:asciiTheme="minorHAnsi" w:eastAsia="Times" w:hAnsiTheme="minorHAnsi" w:cs="Arial"/>
          <w:i/>
          <w:iCs/>
          <w:color w:val="000000" w:themeColor="text1"/>
          <w:sz w:val="20"/>
        </w:rPr>
      </w:pPr>
    </w:p>
    <w:p w14:paraId="70692668" w14:textId="77777777" w:rsidR="00630438" w:rsidRPr="009046D9" w:rsidRDefault="00630438" w:rsidP="00457D77">
      <w:pPr>
        <w:pStyle w:val="ListParagraph"/>
        <w:numPr>
          <w:ilvl w:val="0"/>
          <w:numId w:val="25"/>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Council assets are long lived, commonly built to last for 50 – 100 years and as they age there is an increase in maintenance costs.</w:t>
      </w:r>
    </w:p>
    <w:p w14:paraId="0CF35826" w14:textId="7E3F428B" w:rsidR="009C774C" w:rsidRDefault="009C774C">
      <w:pPr>
        <w:snapToGrid/>
        <w:spacing w:after="0" w:line="240" w:lineRule="auto"/>
      </w:pPr>
      <w:r>
        <w:br w:type="page"/>
      </w:r>
    </w:p>
    <w:p w14:paraId="59D1B779" w14:textId="52889538" w:rsidR="006404F0" w:rsidRDefault="006404F0" w:rsidP="009C774C">
      <w:pPr>
        <w:pStyle w:val="Heading2"/>
        <w:ind w:left="567" w:hanging="567"/>
      </w:pPr>
      <w:bookmarkStart w:id="25" w:name="_Toc189219381"/>
      <w:bookmarkStart w:id="26" w:name="_Toc95736466"/>
      <w:r>
        <w:lastRenderedPageBreak/>
        <w:t>Revenue and Rating Plan</w:t>
      </w:r>
      <w:r w:rsidR="009F7E34">
        <w:t xml:space="preserve"> Integration</w:t>
      </w:r>
      <w:bookmarkEnd w:id="25"/>
    </w:p>
    <w:p w14:paraId="1B7E71CC" w14:textId="6981D0B0" w:rsidR="00457D77" w:rsidRPr="005827A7" w:rsidRDefault="009F7E34" w:rsidP="000E47F8">
      <w:proofErr w:type="gramStart"/>
      <w:r w:rsidRPr="005827A7">
        <w:t>Similar to</w:t>
      </w:r>
      <w:proofErr w:type="gramEnd"/>
      <w:r w:rsidRPr="005827A7">
        <w:t xml:space="preserve"> the importance of the Asst Plan, the integration of council’s Revenue and Rating Plan with its strategic financial plan is </w:t>
      </w:r>
      <w:r w:rsidR="00580E04" w:rsidRPr="005827A7">
        <w:t>fundamental</w:t>
      </w:r>
      <w:r w:rsidR="00457D77" w:rsidRPr="005827A7">
        <w:t>.</w:t>
      </w:r>
    </w:p>
    <w:p w14:paraId="5F5A5FCA" w14:textId="1AF3F158" w:rsidR="000E25BF" w:rsidRPr="005827A7" w:rsidRDefault="000E25BF" w:rsidP="000E47F8">
      <w:r w:rsidRPr="005827A7">
        <w:t xml:space="preserve">A Revenue and Rating Plan is a requirement of </w:t>
      </w:r>
      <w:r w:rsidR="00227BDD" w:rsidRPr="005827A7">
        <w:t xml:space="preserve">s.93 of the </w:t>
      </w:r>
      <w:r w:rsidR="00227BDD" w:rsidRPr="005827A7">
        <w:rPr>
          <w:i/>
          <w:iCs/>
        </w:rPr>
        <w:t xml:space="preserve">Local Government Act 2020. </w:t>
      </w:r>
      <w:r w:rsidR="00227BDD" w:rsidRPr="005827A7">
        <w:t>The Revenue and Rating Plan</w:t>
      </w:r>
      <w:r w:rsidRPr="005827A7">
        <w:t xml:space="preserve"> should provide clear explanations of all decisions made by a council in implementing their revenue and rating practices</w:t>
      </w:r>
      <w:r w:rsidR="009F7E34" w:rsidRPr="005827A7">
        <w:t>,</w:t>
      </w:r>
      <w:r w:rsidRPr="005827A7">
        <w:t xml:space="preserve"> including:</w:t>
      </w:r>
    </w:p>
    <w:p w14:paraId="5757578B" w14:textId="77777777" w:rsidR="000E25BF" w:rsidRPr="000E47F8" w:rsidRDefault="000E25BF" w:rsidP="00457D77">
      <w:pPr>
        <w:numPr>
          <w:ilvl w:val="0"/>
          <w:numId w:val="26"/>
        </w:numPr>
        <w:snapToGrid/>
        <w:spacing w:before="80" w:after="120" w:line="240" w:lineRule="auto"/>
        <w:ind w:left="851" w:hanging="425"/>
        <w:rPr>
          <w:szCs w:val="22"/>
        </w:rPr>
      </w:pPr>
      <w:r w:rsidRPr="000E47F8">
        <w:rPr>
          <w:szCs w:val="22"/>
        </w:rPr>
        <w:t xml:space="preserve">Clear links under the </w:t>
      </w:r>
      <w:r w:rsidRPr="000E47F8">
        <w:rPr>
          <w:i/>
          <w:iCs/>
          <w:szCs w:val="22"/>
        </w:rPr>
        <w:t>Local Government Act 2020</w:t>
      </w:r>
      <w:r w:rsidRPr="000E47F8">
        <w:rPr>
          <w:szCs w:val="22"/>
        </w:rPr>
        <w:t xml:space="preserve"> to a Council’s -</w:t>
      </w:r>
    </w:p>
    <w:p w14:paraId="4CC6479C" w14:textId="7365F851" w:rsidR="000E25BF" w:rsidRPr="000E47F8" w:rsidRDefault="000E25BF" w:rsidP="00457D77">
      <w:pPr>
        <w:numPr>
          <w:ilvl w:val="1"/>
          <w:numId w:val="26"/>
        </w:numPr>
        <w:snapToGrid/>
        <w:spacing w:before="80" w:after="120" w:line="240" w:lineRule="auto"/>
        <w:rPr>
          <w:szCs w:val="22"/>
        </w:rPr>
      </w:pPr>
      <w:r w:rsidRPr="000E47F8">
        <w:rPr>
          <w:szCs w:val="22"/>
        </w:rPr>
        <w:t>Community Vision (Section 88</w:t>
      </w:r>
      <w:proofErr w:type="gramStart"/>
      <w:r w:rsidRPr="000E47F8">
        <w:rPr>
          <w:szCs w:val="22"/>
        </w:rPr>
        <w:t>);</w:t>
      </w:r>
      <w:proofErr w:type="gramEnd"/>
    </w:p>
    <w:p w14:paraId="6DB61CE3" w14:textId="16E300CB" w:rsidR="000E25BF" w:rsidRPr="000E47F8" w:rsidRDefault="000E25BF" w:rsidP="00457D77">
      <w:pPr>
        <w:numPr>
          <w:ilvl w:val="1"/>
          <w:numId w:val="26"/>
        </w:numPr>
        <w:snapToGrid/>
        <w:spacing w:before="80" w:after="120" w:line="240" w:lineRule="auto"/>
        <w:rPr>
          <w:szCs w:val="22"/>
        </w:rPr>
      </w:pPr>
      <w:r w:rsidRPr="000E47F8">
        <w:rPr>
          <w:szCs w:val="22"/>
        </w:rPr>
        <w:t>Strategic Planning Principles (Section 89</w:t>
      </w:r>
      <w:proofErr w:type="gramStart"/>
      <w:r w:rsidRPr="000E47F8">
        <w:rPr>
          <w:szCs w:val="22"/>
        </w:rPr>
        <w:t>);</w:t>
      </w:r>
      <w:proofErr w:type="gramEnd"/>
    </w:p>
    <w:p w14:paraId="7E7F1BE9" w14:textId="71C52628" w:rsidR="000E25BF" w:rsidRPr="000E47F8" w:rsidRDefault="000E25BF" w:rsidP="00457D77">
      <w:pPr>
        <w:numPr>
          <w:ilvl w:val="1"/>
          <w:numId w:val="26"/>
        </w:numPr>
        <w:snapToGrid/>
        <w:spacing w:before="80" w:after="120" w:line="240" w:lineRule="auto"/>
        <w:rPr>
          <w:szCs w:val="22"/>
        </w:rPr>
      </w:pPr>
      <w:r w:rsidRPr="000E47F8">
        <w:rPr>
          <w:szCs w:val="22"/>
        </w:rPr>
        <w:t>Council Plan (Section 90</w:t>
      </w:r>
      <w:proofErr w:type="gramStart"/>
      <w:r w:rsidRPr="000E47F8">
        <w:rPr>
          <w:szCs w:val="22"/>
        </w:rPr>
        <w:t>);</w:t>
      </w:r>
      <w:proofErr w:type="gramEnd"/>
    </w:p>
    <w:p w14:paraId="6D5EA5C3" w14:textId="7DD87740" w:rsidR="000E25BF" w:rsidRPr="000E47F8" w:rsidRDefault="000E25BF" w:rsidP="00457D77">
      <w:pPr>
        <w:numPr>
          <w:ilvl w:val="1"/>
          <w:numId w:val="26"/>
        </w:numPr>
        <w:snapToGrid/>
        <w:spacing w:before="80" w:after="120" w:line="240" w:lineRule="auto"/>
        <w:rPr>
          <w:szCs w:val="22"/>
        </w:rPr>
      </w:pPr>
      <w:r w:rsidRPr="000E47F8">
        <w:rPr>
          <w:szCs w:val="22"/>
        </w:rPr>
        <w:t>Financial Plan (Section 91</w:t>
      </w:r>
      <w:proofErr w:type="gramStart"/>
      <w:r w:rsidRPr="000E47F8">
        <w:rPr>
          <w:szCs w:val="22"/>
        </w:rPr>
        <w:t>);</w:t>
      </w:r>
      <w:proofErr w:type="gramEnd"/>
    </w:p>
    <w:p w14:paraId="189CB281" w14:textId="4AF9A1C9" w:rsidR="000E25BF" w:rsidRPr="000E47F8" w:rsidRDefault="000E25BF" w:rsidP="000E25BF">
      <w:pPr>
        <w:numPr>
          <w:ilvl w:val="1"/>
          <w:numId w:val="26"/>
        </w:numPr>
        <w:snapToGrid/>
        <w:spacing w:before="80" w:after="120" w:line="240" w:lineRule="auto"/>
        <w:rPr>
          <w:szCs w:val="22"/>
        </w:rPr>
      </w:pPr>
      <w:r w:rsidRPr="000E47F8">
        <w:rPr>
          <w:szCs w:val="22"/>
        </w:rPr>
        <w:t>Asset Plan (Section 92).</w:t>
      </w:r>
    </w:p>
    <w:p w14:paraId="4E78B842" w14:textId="77777777" w:rsidR="000E25BF" w:rsidRPr="000E47F8" w:rsidRDefault="000E25BF" w:rsidP="00457D77">
      <w:pPr>
        <w:numPr>
          <w:ilvl w:val="0"/>
          <w:numId w:val="26"/>
        </w:numPr>
        <w:snapToGrid/>
        <w:spacing w:before="80" w:after="120" w:line="240" w:lineRule="auto"/>
        <w:ind w:left="851" w:hanging="425"/>
        <w:rPr>
          <w:szCs w:val="22"/>
        </w:rPr>
      </w:pPr>
      <w:r w:rsidRPr="000E47F8">
        <w:rPr>
          <w:szCs w:val="22"/>
        </w:rPr>
        <w:t>Adherence to requirements under the -</w:t>
      </w:r>
    </w:p>
    <w:p w14:paraId="08419B10" w14:textId="174BE494" w:rsidR="000E25BF" w:rsidRPr="000E47F8" w:rsidRDefault="000E25BF" w:rsidP="00457D77">
      <w:pPr>
        <w:numPr>
          <w:ilvl w:val="1"/>
          <w:numId w:val="26"/>
        </w:numPr>
        <w:snapToGrid/>
        <w:spacing w:before="80" w:after="120" w:line="240" w:lineRule="auto"/>
        <w:rPr>
          <w:szCs w:val="22"/>
        </w:rPr>
      </w:pPr>
      <w:r w:rsidRPr="000E47F8">
        <w:rPr>
          <w:szCs w:val="22"/>
        </w:rPr>
        <w:t>Financial Management Principles (section 101); and</w:t>
      </w:r>
    </w:p>
    <w:p w14:paraId="57E67B8B" w14:textId="15C0B2C7" w:rsidR="000E25BF" w:rsidRPr="000E47F8" w:rsidRDefault="000E25BF" w:rsidP="00457D77">
      <w:pPr>
        <w:numPr>
          <w:ilvl w:val="1"/>
          <w:numId w:val="26"/>
        </w:numPr>
        <w:snapToGrid/>
        <w:spacing w:before="80" w:after="120" w:line="240" w:lineRule="auto"/>
        <w:rPr>
          <w:szCs w:val="22"/>
        </w:rPr>
      </w:pPr>
      <w:r w:rsidRPr="000E47F8">
        <w:rPr>
          <w:szCs w:val="22"/>
        </w:rPr>
        <w:t>Service Performance Principles (section 106).</w:t>
      </w:r>
    </w:p>
    <w:p w14:paraId="401E6F51" w14:textId="77777777" w:rsidR="000E25BF" w:rsidRPr="000E47F8" w:rsidRDefault="000E25BF" w:rsidP="000E47F8">
      <w:pPr>
        <w:rPr>
          <w:szCs w:val="22"/>
        </w:rPr>
      </w:pPr>
      <w:r w:rsidRPr="000E47F8">
        <w:rPr>
          <w:szCs w:val="22"/>
        </w:rPr>
        <w:t>And -</w:t>
      </w:r>
    </w:p>
    <w:p w14:paraId="6AA15EE0" w14:textId="2AF362BA" w:rsidR="000E25BF" w:rsidRPr="000E47F8" w:rsidRDefault="000E25BF" w:rsidP="00457D77">
      <w:pPr>
        <w:numPr>
          <w:ilvl w:val="0"/>
          <w:numId w:val="26"/>
        </w:numPr>
        <w:snapToGrid/>
        <w:spacing w:before="80" w:after="120" w:line="240" w:lineRule="auto"/>
        <w:ind w:left="851" w:hanging="425"/>
        <w:rPr>
          <w:szCs w:val="22"/>
        </w:rPr>
      </w:pPr>
      <w:r w:rsidRPr="000E47F8">
        <w:rPr>
          <w:szCs w:val="22"/>
        </w:rPr>
        <w:t>Information on the rating framework employed by council and justification for the basis of the framework, including the rationale and objective behind these decisions; and</w:t>
      </w:r>
    </w:p>
    <w:p w14:paraId="222E80DC" w14:textId="07435DB0" w:rsidR="006404F0" w:rsidRPr="000E47F8" w:rsidRDefault="000E25BF" w:rsidP="00457D77">
      <w:pPr>
        <w:numPr>
          <w:ilvl w:val="0"/>
          <w:numId w:val="26"/>
        </w:numPr>
        <w:snapToGrid/>
        <w:spacing w:before="80" w:after="120" w:line="240" w:lineRule="auto"/>
        <w:ind w:left="851" w:hanging="425"/>
        <w:rPr>
          <w:szCs w:val="22"/>
        </w:rPr>
      </w:pPr>
      <w:r w:rsidRPr="000E47F8">
        <w:rPr>
          <w:szCs w:val="22"/>
        </w:rPr>
        <w:t>Clear references to relevant council policies, such as waste services, pricing and cost recovery, financial hardship, advocacy, and service provision.</w:t>
      </w:r>
    </w:p>
    <w:p w14:paraId="6E8960BA" w14:textId="6904021B" w:rsidR="00630438" w:rsidRDefault="00630438" w:rsidP="009C774C">
      <w:pPr>
        <w:pStyle w:val="Heading2"/>
        <w:ind w:left="567" w:hanging="567"/>
      </w:pPr>
      <w:bookmarkStart w:id="27" w:name="_Toc189219382"/>
      <w:r>
        <w:t>Financial Policy Statements</w:t>
      </w:r>
      <w:bookmarkEnd w:id="26"/>
      <w:bookmarkEnd w:id="27"/>
    </w:p>
    <w:p w14:paraId="27509EE2" w14:textId="28552803" w:rsidR="00630438" w:rsidRPr="00630438" w:rsidRDefault="00630438" w:rsidP="000E47F8">
      <w:r w:rsidRPr="00630438">
        <w:t>A list of policy statements designed to demonstrate council</w:t>
      </w:r>
      <w:r w:rsidR="00691E5B">
        <w:t>’</w:t>
      </w:r>
      <w:r w:rsidRPr="00630438">
        <w:t>s financial sustainability over the life of the next ten years. The policy statements are to include:</w:t>
      </w:r>
    </w:p>
    <w:p w14:paraId="5AEBF960" w14:textId="77777777" w:rsidR="00630438" w:rsidRPr="00630438" w:rsidRDefault="00630438" w:rsidP="00457D77">
      <w:pPr>
        <w:numPr>
          <w:ilvl w:val="0"/>
          <w:numId w:val="26"/>
        </w:numPr>
        <w:snapToGrid/>
        <w:spacing w:before="80" w:after="120" w:line="240" w:lineRule="auto"/>
        <w:ind w:left="851" w:hanging="425"/>
        <w:rPr>
          <w:sz w:val="20"/>
          <w:szCs w:val="20"/>
        </w:rPr>
      </w:pPr>
      <w:r w:rsidRPr="00630438">
        <w:rPr>
          <w:sz w:val="20"/>
          <w:szCs w:val="20"/>
        </w:rPr>
        <w:t>an explanation of the financial measure that underpins each financial policy statement.</w:t>
      </w:r>
    </w:p>
    <w:p w14:paraId="29CAB756" w14:textId="77777777" w:rsidR="00630438" w:rsidRPr="00630438" w:rsidRDefault="00630438" w:rsidP="00457D77">
      <w:pPr>
        <w:numPr>
          <w:ilvl w:val="0"/>
          <w:numId w:val="26"/>
        </w:numPr>
        <w:snapToGrid/>
        <w:spacing w:before="80" w:after="120" w:line="240" w:lineRule="auto"/>
        <w:ind w:left="851" w:hanging="425"/>
        <w:rPr>
          <w:sz w:val="20"/>
          <w:szCs w:val="20"/>
        </w:rPr>
      </w:pPr>
      <w:r w:rsidRPr="00630438">
        <w:rPr>
          <w:sz w:val="20"/>
          <w:szCs w:val="20"/>
        </w:rPr>
        <w:t>an agreed financial target that is assigned to each financial measure.</w:t>
      </w:r>
    </w:p>
    <w:p w14:paraId="60E82174" w14:textId="5F1533F6" w:rsidR="00630438" w:rsidRPr="00630438" w:rsidRDefault="009046D9" w:rsidP="00457D77">
      <w:pPr>
        <w:numPr>
          <w:ilvl w:val="0"/>
          <w:numId w:val="26"/>
        </w:numPr>
        <w:snapToGrid/>
        <w:spacing w:before="80" w:after="120" w:line="240" w:lineRule="auto"/>
        <w:ind w:left="851" w:hanging="425"/>
        <w:rPr>
          <w:sz w:val="20"/>
          <w:szCs w:val="20"/>
        </w:rPr>
      </w:pPr>
      <w:r w:rsidRPr="00630438">
        <w:rPr>
          <w:sz w:val="20"/>
          <w:szCs w:val="20"/>
        </w:rPr>
        <w:t>T</w:t>
      </w:r>
      <w:r w:rsidR="00630438" w:rsidRPr="00630438">
        <w:rPr>
          <w:sz w:val="20"/>
          <w:szCs w:val="20"/>
        </w:rPr>
        <w:t>en</w:t>
      </w:r>
      <w:r>
        <w:rPr>
          <w:sz w:val="20"/>
          <w:szCs w:val="20"/>
        </w:rPr>
        <w:t>-</w:t>
      </w:r>
      <w:r w:rsidR="00630438" w:rsidRPr="00630438">
        <w:rPr>
          <w:sz w:val="20"/>
          <w:szCs w:val="20"/>
        </w:rPr>
        <w:t xml:space="preserve">year calculations of each financial measure that may be compared to the respective target </w:t>
      </w:r>
      <w:proofErr w:type="gramStart"/>
      <w:r w:rsidR="00630438" w:rsidRPr="00630438">
        <w:rPr>
          <w:sz w:val="20"/>
          <w:szCs w:val="20"/>
        </w:rPr>
        <w:t>in order to</w:t>
      </w:r>
      <w:proofErr w:type="gramEnd"/>
      <w:r w:rsidR="00630438" w:rsidRPr="00630438">
        <w:rPr>
          <w:sz w:val="20"/>
          <w:szCs w:val="20"/>
        </w:rPr>
        <w:t xml:space="preserve"> demonstrate financial sustainability.</w:t>
      </w:r>
    </w:p>
    <w:p w14:paraId="4458365B" w14:textId="1722DFB0" w:rsidR="00630438" w:rsidRPr="00630438" w:rsidRDefault="00630438" w:rsidP="00457D77">
      <w:pPr>
        <w:numPr>
          <w:ilvl w:val="0"/>
          <w:numId w:val="26"/>
        </w:numPr>
        <w:snapToGrid/>
        <w:spacing w:before="80" w:after="120" w:line="240" w:lineRule="auto"/>
        <w:ind w:left="851" w:hanging="425"/>
        <w:rPr>
          <w:sz w:val="20"/>
          <w:szCs w:val="20"/>
        </w:rPr>
      </w:pPr>
      <w:r w:rsidRPr="00630438">
        <w:rPr>
          <w:sz w:val="20"/>
          <w:szCs w:val="20"/>
        </w:rPr>
        <w:t>The Financial Plan includes target performance measures that are indicative only. Each Council may choose to amend the target performance measures to suit their individual circumstances.</w:t>
      </w:r>
    </w:p>
    <w:p w14:paraId="26D9AE90" w14:textId="77777777" w:rsidR="00457D77" w:rsidRDefault="00457D77" w:rsidP="009C774C">
      <w:pPr>
        <w:pStyle w:val="Heading2"/>
        <w:ind w:left="567" w:hanging="567"/>
      </w:pPr>
      <w:bookmarkStart w:id="28" w:name="_Toc95736467"/>
    </w:p>
    <w:p w14:paraId="46FC0267" w14:textId="77777777" w:rsidR="00C93627" w:rsidRPr="00C93627" w:rsidRDefault="00C93627" w:rsidP="00C93627"/>
    <w:p w14:paraId="77CF1EC6" w14:textId="5CE06042" w:rsidR="00630438" w:rsidRDefault="00630438" w:rsidP="009C774C">
      <w:pPr>
        <w:pStyle w:val="Heading2"/>
        <w:ind w:left="567" w:hanging="567"/>
      </w:pPr>
      <w:bookmarkStart w:id="29" w:name="_Toc189219383"/>
      <w:r>
        <w:t>Strategic Actions</w:t>
      </w:r>
      <w:bookmarkEnd w:id="28"/>
      <w:bookmarkEnd w:id="29"/>
    </w:p>
    <w:p w14:paraId="5FDC7967" w14:textId="77777777" w:rsidR="00630438" w:rsidRPr="00630438" w:rsidRDefault="00630438" w:rsidP="000E47F8">
      <w:r w:rsidRPr="00630438">
        <w:t xml:space="preserve">A list of strategic actions that disclose councils key funding priorities over the next ten years. By adopting the strategic actions in conjunction with the annual adoption of the Financial Plan, council is demonstrating its key financial strategies </w:t>
      </w:r>
      <w:proofErr w:type="gramStart"/>
      <w:r w:rsidRPr="00630438">
        <w:t>in order to</w:t>
      </w:r>
      <w:proofErr w:type="gramEnd"/>
      <w:r w:rsidRPr="00630438">
        <w:t xml:space="preserve"> ensure ongoing financial sustainability.  </w:t>
      </w:r>
    </w:p>
    <w:p w14:paraId="282A5EC7" w14:textId="77777777" w:rsidR="00630438" w:rsidRPr="00630438" w:rsidRDefault="00630438" w:rsidP="000E47F8">
      <w:r w:rsidRPr="00630438">
        <w:t>The strategic actions are included to the 10-year financial plan and, where appropriate, referenced in the commentary associated with the 10-year Comprehensive Income Statement and the 10-year Statement of Capital Works.</w:t>
      </w:r>
    </w:p>
    <w:p w14:paraId="24D4FAD1" w14:textId="77777777" w:rsidR="00233C0D" w:rsidRPr="00233C0D" w:rsidRDefault="00233C0D" w:rsidP="000E47F8">
      <w:bookmarkStart w:id="30" w:name="_Toc95736468"/>
    </w:p>
    <w:p w14:paraId="729FA18F" w14:textId="080A9FBC" w:rsidR="00630438" w:rsidRDefault="00630438" w:rsidP="009C774C">
      <w:pPr>
        <w:pStyle w:val="Heading2"/>
        <w:ind w:right="-7"/>
      </w:pPr>
      <w:bookmarkStart w:id="31" w:name="_Toc189219384"/>
      <w:r>
        <w:t>Assumptions to the Comprehensive Income Statement</w:t>
      </w:r>
      <w:bookmarkEnd w:id="30"/>
      <w:bookmarkEnd w:id="31"/>
    </w:p>
    <w:p w14:paraId="7105DDD0" w14:textId="77777777" w:rsidR="00630438" w:rsidRPr="00630438" w:rsidRDefault="00630438" w:rsidP="000E47F8">
      <w:proofErr w:type="gramStart"/>
      <w:r w:rsidRPr="00630438">
        <w:t>In order to</w:t>
      </w:r>
      <w:proofErr w:type="gramEnd"/>
      <w:r w:rsidRPr="00630438">
        <w:t xml:space="preserve"> inform the ten-year view of projected income and expenditure the Financial Plan should include:</w:t>
      </w:r>
    </w:p>
    <w:p w14:paraId="091B5FF0" w14:textId="77777777" w:rsidR="00630438" w:rsidRPr="00EE7022" w:rsidRDefault="00630438" w:rsidP="00457D77">
      <w:pPr>
        <w:pStyle w:val="ListParagraph"/>
        <w:numPr>
          <w:ilvl w:val="0"/>
          <w:numId w:val="28"/>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a table of annual percentage escalations for the next ten years comprising:</w:t>
      </w:r>
    </w:p>
    <w:p w14:paraId="7A3C38E6" w14:textId="77777777" w:rsidR="00630438" w:rsidRPr="00EE7022" w:rsidRDefault="00630438" w:rsidP="00630438">
      <w:pPr>
        <w:pStyle w:val="ListParagraph"/>
        <w:ind w:left="1080"/>
        <w:rPr>
          <w:rFonts w:asciiTheme="minorHAnsi" w:eastAsia="Times" w:hAnsiTheme="minorHAnsi" w:cs="Arial"/>
          <w:i/>
          <w:iCs/>
          <w:color w:val="000000" w:themeColor="text1"/>
          <w:sz w:val="20"/>
        </w:rPr>
      </w:pPr>
    </w:p>
    <w:p w14:paraId="735FD107"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major line items included to the ten-year Comprehensive Income Statement</w:t>
      </w:r>
    </w:p>
    <w:p w14:paraId="3DE2F4F3"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 xml:space="preserve">the estimated annual CPI increases </w:t>
      </w:r>
    </w:p>
    <w:p w14:paraId="46DBEE69"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estimated annual percentage growth rate for the municipality</w:t>
      </w:r>
    </w:p>
    <w:p w14:paraId="7E560DB4" w14:textId="77777777" w:rsidR="00630438" w:rsidRPr="00EE7022" w:rsidRDefault="00630438" w:rsidP="00630438">
      <w:pPr>
        <w:pStyle w:val="ListParagraph"/>
        <w:ind w:left="1800"/>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 xml:space="preserve"> </w:t>
      </w:r>
    </w:p>
    <w:p w14:paraId="4658B13F" w14:textId="77777777" w:rsidR="00630438" w:rsidRPr="00EE7022" w:rsidRDefault="00630438" w:rsidP="00457D77">
      <w:pPr>
        <w:pStyle w:val="ListParagraph"/>
        <w:numPr>
          <w:ilvl w:val="0"/>
          <w:numId w:val="28"/>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an explanation of the reasons for the ten-year escalations for each major income and expense line item particularly where the annual escalations exceed the estimated annual CPI increase.</w:t>
      </w:r>
    </w:p>
    <w:p w14:paraId="5394854B" w14:textId="77777777" w:rsidR="00630438" w:rsidRPr="00EE7022" w:rsidRDefault="00630438" w:rsidP="00630438">
      <w:pPr>
        <w:pStyle w:val="ListParagraph"/>
        <w:ind w:left="1080"/>
        <w:rPr>
          <w:rFonts w:asciiTheme="minorHAnsi" w:eastAsia="Times" w:hAnsiTheme="minorHAnsi" w:cs="Arial"/>
          <w:i/>
          <w:iCs/>
          <w:color w:val="000000" w:themeColor="text1"/>
          <w:sz w:val="20"/>
        </w:rPr>
      </w:pPr>
    </w:p>
    <w:p w14:paraId="03CA6C0F" w14:textId="77777777" w:rsidR="00630438" w:rsidRPr="00EE7022" w:rsidRDefault="00630438" w:rsidP="00457D77">
      <w:pPr>
        <w:pStyle w:val="ListParagraph"/>
        <w:numPr>
          <w:ilvl w:val="0"/>
          <w:numId w:val="28"/>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Major income and expense line items are to comprise:</w:t>
      </w:r>
    </w:p>
    <w:p w14:paraId="07A03ED0" w14:textId="77777777" w:rsidR="00630438" w:rsidRPr="00EE7022" w:rsidRDefault="00630438" w:rsidP="00630438">
      <w:pPr>
        <w:pStyle w:val="ListParagraph"/>
        <w:rPr>
          <w:rFonts w:asciiTheme="minorHAnsi" w:eastAsia="Times" w:hAnsiTheme="minorHAnsi" w:cs="Arial"/>
          <w:i/>
          <w:iCs/>
          <w:color w:val="000000" w:themeColor="text1"/>
          <w:sz w:val="20"/>
        </w:rPr>
      </w:pPr>
    </w:p>
    <w:p w14:paraId="2996705B"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Rates and charges</w:t>
      </w:r>
    </w:p>
    <w:p w14:paraId="0B610EC8"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Statutory fees and fines</w:t>
      </w:r>
    </w:p>
    <w:p w14:paraId="2580B938"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User fees</w:t>
      </w:r>
    </w:p>
    <w:p w14:paraId="564E536A"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Grants – operating</w:t>
      </w:r>
    </w:p>
    <w:p w14:paraId="15E2DA95"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Grants – capital</w:t>
      </w:r>
    </w:p>
    <w:p w14:paraId="3AE84E23"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Contributions</w:t>
      </w:r>
    </w:p>
    <w:p w14:paraId="7D0A5D8B"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Other income</w:t>
      </w:r>
    </w:p>
    <w:p w14:paraId="11B38C9E"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Employee costs</w:t>
      </w:r>
    </w:p>
    <w:p w14:paraId="30264B43"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Materials and services</w:t>
      </w:r>
    </w:p>
    <w:p w14:paraId="48221637"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Depreciation and amortisation</w:t>
      </w:r>
    </w:p>
    <w:p w14:paraId="5EBB23C1"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Borrowing costs</w:t>
      </w:r>
    </w:p>
    <w:p w14:paraId="4C5792E8"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Other expenses</w:t>
      </w:r>
    </w:p>
    <w:p w14:paraId="1268FE6B" w14:textId="02DE7F12" w:rsidR="00630438" w:rsidRPr="00630438" w:rsidRDefault="00630438" w:rsidP="000E47F8">
      <w:r w:rsidRPr="00630438">
        <w:t xml:space="preserve">CPI and wage inflation - individual councils may choose to source CPI and wage inflation rates from the Victorian budget or budget update published by the Department of Treasury and Finance (DTF). </w:t>
      </w:r>
      <w:r w:rsidR="00A750A6">
        <w:t>Other sources include those published by the Australian Bureau of Statistics and other commercial sources of data.</w:t>
      </w:r>
    </w:p>
    <w:p w14:paraId="60F517C6" w14:textId="2E6018FA" w:rsidR="00630438" w:rsidRPr="00630438" w:rsidRDefault="00630438" w:rsidP="000E47F8">
      <w:r w:rsidRPr="00630438">
        <w:lastRenderedPageBreak/>
        <w:t xml:space="preserve">Rate cap projections - it is </w:t>
      </w:r>
      <w:r w:rsidR="00C427BD">
        <w:t xml:space="preserve">desirable that </w:t>
      </w:r>
      <w:r w:rsidRPr="00630438">
        <w:t xml:space="preserve">each council </w:t>
      </w:r>
      <w:r w:rsidR="00466EDD">
        <w:t xml:space="preserve">determines its own rate </w:t>
      </w:r>
      <w:r w:rsidR="00211F96">
        <w:t>revenue</w:t>
      </w:r>
      <w:r w:rsidR="00466EDD">
        <w:t xml:space="preserve"> projections. These should be </w:t>
      </w:r>
      <w:r w:rsidR="005F3FCF">
        <w:t xml:space="preserve">primarily </w:t>
      </w:r>
      <w:r w:rsidR="00466EDD">
        <w:t xml:space="preserve">informed by the anticipated </w:t>
      </w:r>
      <w:r w:rsidR="00112C61">
        <w:t>rate revenue requirements of the council itself</w:t>
      </w:r>
      <w:r w:rsidR="005F3FCF">
        <w:t>, not assumed rate cap amounts</w:t>
      </w:r>
      <w:r w:rsidR="00112C61">
        <w:t xml:space="preserve">. </w:t>
      </w:r>
      <w:r w:rsidR="00862AF5">
        <w:t xml:space="preserve">Projections should </w:t>
      </w:r>
      <w:r w:rsidR="00456616">
        <w:t>assist</w:t>
      </w:r>
      <w:r w:rsidR="00862AF5">
        <w:t xml:space="preserve"> councils to consider future applications for a higher rate cap amount via the Essential Services Commission</w:t>
      </w:r>
      <w:r w:rsidR="00F62290">
        <w:t xml:space="preserve">. </w:t>
      </w:r>
    </w:p>
    <w:p w14:paraId="359DFD05" w14:textId="116386B1" w:rsidR="00630438" w:rsidRPr="00630438" w:rsidRDefault="00630438" w:rsidP="000E47F8">
      <w:r w:rsidRPr="00630438">
        <w:t>For consistency the assumptions should align with the assumptions and escalation factors published in the 4</w:t>
      </w:r>
      <w:r w:rsidR="00EE7022">
        <w:t>-</w:t>
      </w:r>
      <w:r w:rsidRPr="00630438">
        <w:t>year budget document</w:t>
      </w:r>
      <w:r w:rsidR="00F62290">
        <w:t xml:space="preserve"> and updated </w:t>
      </w:r>
      <w:r w:rsidR="0002255B">
        <w:t>as required</w:t>
      </w:r>
      <w:r w:rsidRPr="00630438">
        <w:t>.</w:t>
      </w:r>
    </w:p>
    <w:p w14:paraId="0900667C" w14:textId="37AB0C7B" w:rsidR="00630438" w:rsidRDefault="00630438" w:rsidP="00630438">
      <w:pPr>
        <w:spacing w:line="276" w:lineRule="auto"/>
      </w:pPr>
    </w:p>
    <w:p w14:paraId="6F686954" w14:textId="77777777" w:rsidR="00630438" w:rsidRDefault="00630438" w:rsidP="009C774C">
      <w:pPr>
        <w:pStyle w:val="Heading2"/>
        <w:ind w:right="-7"/>
      </w:pPr>
      <w:bookmarkStart w:id="32" w:name="_Toc95736469"/>
      <w:bookmarkStart w:id="33" w:name="_Toc189219385"/>
      <w:r>
        <w:t>Financial Plan Statements</w:t>
      </w:r>
      <w:bookmarkEnd w:id="32"/>
      <w:bookmarkEnd w:id="33"/>
    </w:p>
    <w:p w14:paraId="139DA3E5" w14:textId="77777777" w:rsidR="00630438" w:rsidRPr="00630438" w:rsidRDefault="00630438" w:rsidP="000E47F8">
      <w:r w:rsidRPr="00630438">
        <w:t>The Financial Plan Statements comprise the following statements for the ensuing 10 years:</w:t>
      </w:r>
    </w:p>
    <w:p w14:paraId="21A53CB8"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Comprehensive Income Statement</w:t>
      </w:r>
    </w:p>
    <w:p w14:paraId="5B171EFB"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Balance Sheet</w:t>
      </w:r>
    </w:p>
    <w:p w14:paraId="210C6F9B"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Changes in Equity</w:t>
      </w:r>
    </w:p>
    <w:p w14:paraId="752260C7"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Cash Flows</w:t>
      </w:r>
    </w:p>
    <w:p w14:paraId="42E79978"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Capital Works</w:t>
      </w:r>
    </w:p>
    <w:p w14:paraId="49F76F14"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Human Resources</w:t>
      </w:r>
    </w:p>
    <w:p w14:paraId="5B89B63F" w14:textId="77777777" w:rsidR="00630438" w:rsidRPr="00630438" w:rsidRDefault="00630438" w:rsidP="000E47F8">
      <w:r w:rsidRPr="00630438">
        <w:t xml:space="preserve">Where possible the first 4 years of the 10-year Financial Plan Statements should align to the Budget as it relates to the same financial years. Alignment will ensure consistent financial year projections for both the Financial Plan and the Budget. </w:t>
      </w:r>
    </w:p>
    <w:p w14:paraId="4D217457" w14:textId="77777777" w:rsidR="00630438" w:rsidRDefault="00630438" w:rsidP="009C774C">
      <w:pPr>
        <w:pStyle w:val="Heading2"/>
        <w:ind w:right="-7"/>
      </w:pPr>
      <w:bookmarkStart w:id="34" w:name="_Toc95736470"/>
      <w:bookmarkStart w:id="35" w:name="_Toc189219386"/>
      <w:r>
        <w:t>Financial Performance Indicators</w:t>
      </w:r>
      <w:bookmarkEnd w:id="34"/>
      <w:bookmarkEnd w:id="35"/>
    </w:p>
    <w:p w14:paraId="17790533" w14:textId="12F7A33C" w:rsidR="00630438" w:rsidRPr="00630438" w:rsidRDefault="00630438" w:rsidP="000E47F8">
      <w:r w:rsidRPr="00630438">
        <w:t>A range of financial indicators should be used to demonstrate the financial sustainability of the ten</w:t>
      </w:r>
      <w:r w:rsidR="00EE7022">
        <w:t>-</w:t>
      </w:r>
      <w:r w:rsidRPr="00630438">
        <w:t>year Financial Plan and allow the reader to gain a better understanding of key measures such as indebtedness and liquidity which are often hidden when financial information is presented in financial statement format. The use of indicators over a ten</w:t>
      </w:r>
      <w:r w:rsidR="00EE7022">
        <w:t>-</w:t>
      </w:r>
      <w:r w:rsidRPr="00630438">
        <w:t>year horizon also allows trends to be assessed helping the reader to confirm the council’s service delivery, infrastructure renewal, rating and debt strategies.</w:t>
      </w:r>
      <w:r w:rsidRPr="00630438">
        <w:rPr>
          <w:rFonts w:ascii="Cambria" w:hAnsi="Cambria" w:cs="Cambria"/>
        </w:rPr>
        <w:t> </w:t>
      </w:r>
    </w:p>
    <w:p w14:paraId="18C935F8" w14:textId="77777777" w:rsidR="00630438" w:rsidRPr="00630438" w:rsidRDefault="00630438" w:rsidP="000E47F8">
      <w:r w:rsidRPr="00630438">
        <w:t>The</w:t>
      </w:r>
      <w:r w:rsidRPr="00630438">
        <w:rPr>
          <w:rFonts w:ascii="Cambria" w:hAnsi="Cambria" w:cs="Cambria"/>
        </w:rPr>
        <w:t> </w:t>
      </w:r>
      <w:r w:rsidRPr="00630438">
        <w:t>financial performance indicators</w:t>
      </w:r>
      <w:r w:rsidRPr="00630438">
        <w:rPr>
          <w:rFonts w:ascii="Cambria" w:hAnsi="Cambria" w:cs="Cambria"/>
        </w:rPr>
        <w:t> </w:t>
      </w:r>
      <w:r w:rsidRPr="00630438">
        <w:t>are also included in the Model Budget and are the prescribed</w:t>
      </w:r>
      <w:r w:rsidRPr="00630438">
        <w:rPr>
          <w:rFonts w:ascii="Cambria" w:hAnsi="Cambria" w:cs="Cambria"/>
        </w:rPr>
        <w:t> </w:t>
      </w:r>
      <w:r w:rsidRPr="00630438">
        <w:t>financial performance indicators</w:t>
      </w:r>
      <w:r w:rsidRPr="00630438">
        <w:rPr>
          <w:rFonts w:ascii="Cambria" w:hAnsi="Cambria" w:cs="Cambria"/>
        </w:rPr>
        <w:t> </w:t>
      </w:r>
      <w:r w:rsidRPr="00630438">
        <w:t>contained in the Regulations. Results against these indicators are also reported in council</w:t>
      </w:r>
      <w:r w:rsidRPr="00630438">
        <w:rPr>
          <w:rFonts w:ascii="VIC" w:hAnsi="VIC" w:cs="VIC"/>
        </w:rPr>
        <w:t>’</w:t>
      </w:r>
      <w:r w:rsidRPr="00630438">
        <w:t>s performance statement included in the annual report.</w:t>
      </w:r>
      <w:r w:rsidRPr="00630438">
        <w:rPr>
          <w:rFonts w:ascii="Cambria" w:hAnsi="Cambria" w:cs="Cambria"/>
        </w:rPr>
        <w:t> </w:t>
      </w:r>
    </w:p>
    <w:p w14:paraId="7A2826A9" w14:textId="77777777" w:rsidR="00630438" w:rsidRPr="00630438" w:rsidRDefault="00630438" w:rsidP="000E47F8">
      <w:r w:rsidRPr="00630438">
        <w:t xml:space="preserve">The Act and regulations require councils to report actual results against these indicators, together with the other prescribed indicators contained in the regulations. </w:t>
      </w:r>
    </w:p>
    <w:p w14:paraId="71600ABE" w14:textId="2FEC1F1B" w:rsidR="00630438" w:rsidRDefault="00630438" w:rsidP="000E47F8">
      <w:r w:rsidRPr="00630438">
        <w:lastRenderedPageBreak/>
        <w:t>Individual councils may consider the inclusion of additional sustainable capacity indicators, such as indicators included in the Local Government Performance Reporting Framework (LGPRF).</w:t>
      </w:r>
    </w:p>
    <w:p w14:paraId="1F575EE5" w14:textId="75E0469D" w:rsidR="008F5175" w:rsidRDefault="008F5175">
      <w:pPr>
        <w:snapToGrid/>
        <w:spacing w:after="0" w:line="240" w:lineRule="auto"/>
        <w:rPr>
          <w:sz w:val="20"/>
          <w:szCs w:val="20"/>
        </w:rPr>
      </w:pPr>
      <w:r>
        <w:rPr>
          <w:sz w:val="20"/>
          <w:szCs w:val="20"/>
        </w:rPr>
        <w:br w:type="page"/>
      </w:r>
    </w:p>
    <w:p w14:paraId="0C8903DA" w14:textId="77777777" w:rsidR="00630438" w:rsidRDefault="00630438" w:rsidP="009C774C">
      <w:pPr>
        <w:pStyle w:val="Heading2"/>
        <w:ind w:right="-7"/>
      </w:pPr>
      <w:bookmarkStart w:id="36" w:name="_Toc95736471"/>
      <w:bookmarkStart w:id="37" w:name="_Toc189219387"/>
      <w:r>
        <w:lastRenderedPageBreak/>
        <w:t>Borrowing Strategy</w:t>
      </w:r>
      <w:bookmarkEnd w:id="36"/>
      <w:bookmarkEnd w:id="37"/>
    </w:p>
    <w:p w14:paraId="7F657A2A" w14:textId="77777777" w:rsidR="00630438" w:rsidRPr="00630438" w:rsidRDefault="00630438" w:rsidP="000E47F8">
      <w:r w:rsidRPr="00630438">
        <w:t>A schedule and commentary of existing borrowings that comprise the current loan balance.</w:t>
      </w:r>
    </w:p>
    <w:p w14:paraId="730C9165" w14:textId="0265D02E" w:rsidR="00630438" w:rsidRPr="00630438" w:rsidRDefault="00630438" w:rsidP="000E47F8">
      <w:r w:rsidRPr="00630438">
        <w:t>An explanation of the current debt position and a ten</w:t>
      </w:r>
      <w:r w:rsidR="00EE7022">
        <w:t>-</w:t>
      </w:r>
      <w:r w:rsidRPr="00630438">
        <w:t>year projection that discloses the debt position at the end of each financial year comprising:</w:t>
      </w:r>
    </w:p>
    <w:p w14:paraId="4432BE83" w14:textId="77777777" w:rsidR="00630438" w:rsidRPr="00EE7022" w:rsidRDefault="00630438" w:rsidP="00457D77">
      <w:pPr>
        <w:pStyle w:val="ListParagraph"/>
        <w:numPr>
          <w:ilvl w:val="0"/>
          <w:numId w:val="29"/>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new loan borrowings</w:t>
      </w:r>
    </w:p>
    <w:p w14:paraId="69C373F1" w14:textId="77777777" w:rsidR="00630438" w:rsidRPr="00EE7022" w:rsidRDefault="00630438" w:rsidP="00457D77">
      <w:pPr>
        <w:pStyle w:val="ListParagraph"/>
        <w:numPr>
          <w:ilvl w:val="0"/>
          <w:numId w:val="29"/>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amount of loan repayment</w:t>
      </w:r>
    </w:p>
    <w:p w14:paraId="0A43C1EA" w14:textId="77777777" w:rsidR="00630438" w:rsidRPr="00EE7022" w:rsidRDefault="00630438" w:rsidP="00457D77">
      <w:pPr>
        <w:pStyle w:val="ListParagraph"/>
        <w:numPr>
          <w:ilvl w:val="0"/>
          <w:numId w:val="29"/>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amount of interest payments</w:t>
      </w:r>
    </w:p>
    <w:p w14:paraId="6472EDEB" w14:textId="77777777" w:rsidR="00630438" w:rsidRPr="00EE7022" w:rsidRDefault="00630438" w:rsidP="00457D77">
      <w:pPr>
        <w:pStyle w:val="ListParagraph"/>
        <w:numPr>
          <w:ilvl w:val="0"/>
          <w:numId w:val="29"/>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opening and closing debt balance</w:t>
      </w:r>
    </w:p>
    <w:p w14:paraId="281E4E41" w14:textId="26357E72" w:rsidR="00630438" w:rsidRPr="00630438" w:rsidRDefault="00630438" w:rsidP="000E47F8">
      <w:r w:rsidRPr="00630438">
        <w:t>Financial performance indicators that disclose for each year of the ten</w:t>
      </w:r>
      <w:r w:rsidR="005667BC">
        <w:t>-</w:t>
      </w:r>
      <w:r w:rsidRPr="00630438">
        <w:t>year Financial Plan:</w:t>
      </w:r>
    </w:p>
    <w:p w14:paraId="2DACCD16" w14:textId="77777777" w:rsidR="00630438" w:rsidRPr="005667BC" w:rsidRDefault="00630438" w:rsidP="00457D77">
      <w:pPr>
        <w:pStyle w:val="ListParagraph"/>
        <w:numPr>
          <w:ilvl w:val="0"/>
          <w:numId w:val="30"/>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the total borrowings divided by rate revenue</w:t>
      </w:r>
    </w:p>
    <w:p w14:paraId="594484AE" w14:textId="77777777" w:rsidR="00630438" w:rsidRPr="005667BC" w:rsidRDefault="00630438" w:rsidP="00457D77">
      <w:pPr>
        <w:pStyle w:val="ListParagraph"/>
        <w:numPr>
          <w:ilvl w:val="0"/>
          <w:numId w:val="30"/>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total debt servicing (interest payments) divided by rate revenue</w:t>
      </w:r>
    </w:p>
    <w:p w14:paraId="34A2F030" w14:textId="77777777" w:rsidR="00630438" w:rsidRPr="005667BC" w:rsidRDefault="00630438" w:rsidP="00457D77">
      <w:pPr>
        <w:pStyle w:val="ListParagraph"/>
        <w:numPr>
          <w:ilvl w:val="0"/>
          <w:numId w:val="30"/>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 xml:space="preserve">total debt commitment (interest and </w:t>
      </w:r>
      <w:proofErr w:type="gramStart"/>
      <w:r w:rsidRPr="005667BC">
        <w:rPr>
          <w:rFonts w:asciiTheme="minorHAnsi" w:eastAsia="Times" w:hAnsiTheme="minorHAnsi" w:cs="Arial"/>
          <w:i/>
          <w:iCs/>
          <w:color w:val="000000" w:themeColor="text1"/>
          <w:sz w:val="20"/>
        </w:rPr>
        <w:t>principle</w:t>
      </w:r>
      <w:proofErr w:type="gramEnd"/>
      <w:r w:rsidRPr="005667BC">
        <w:rPr>
          <w:rFonts w:asciiTheme="minorHAnsi" w:eastAsia="Times" w:hAnsiTheme="minorHAnsi" w:cs="Arial"/>
          <w:i/>
          <w:iCs/>
          <w:color w:val="000000" w:themeColor="text1"/>
          <w:sz w:val="20"/>
        </w:rPr>
        <w:t xml:space="preserve"> repayments) divided by rate revenue</w:t>
      </w:r>
    </w:p>
    <w:p w14:paraId="69E52745" w14:textId="77777777" w:rsidR="00630438" w:rsidRPr="005667BC" w:rsidRDefault="00630438" w:rsidP="00457D77">
      <w:pPr>
        <w:pStyle w:val="ListParagraph"/>
        <w:numPr>
          <w:ilvl w:val="0"/>
          <w:numId w:val="30"/>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total indebtedness divided by own source revenue</w:t>
      </w:r>
    </w:p>
    <w:p w14:paraId="172066FF" w14:textId="273ED331" w:rsidR="00630438" w:rsidRPr="00630438" w:rsidRDefault="00630438" w:rsidP="000E47F8">
      <w:r w:rsidRPr="00630438">
        <w:t>An explanation of the performance of each indicator over the life of the ten</w:t>
      </w:r>
      <w:r w:rsidR="005667BC">
        <w:t>-</w:t>
      </w:r>
      <w:r w:rsidRPr="00630438">
        <w:t xml:space="preserve">year plan. </w:t>
      </w:r>
      <w:r w:rsidR="00BB23F4">
        <w:t>E</w:t>
      </w:r>
      <w:r w:rsidRPr="00630438">
        <w:t>ach Council may choose to amend the target performance measures to suit their individual circumstances.</w:t>
      </w:r>
    </w:p>
    <w:p w14:paraId="3CE435D9" w14:textId="77777777" w:rsidR="00630438" w:rsidRDefault="00630438" w:rsidP="009C774C">
      <w:pPr>
        <w:pStyle w:val="Heading2"/>
        <w:ind w:right="-7"/>
      </w:pPr>
      <w:bookmarkStart w:id="38" w:name="_Toc95736472"/>
      <w:bookmarkStart w:id="39" w:name="_Toc189219388"/>
      <w:r>
        <w:t>Reserves Strategy</w:t>
      </w:r>
      <w:bookmarkEnd w:id="38"/>
      <w:bookmarkEnd w:id="39"/>
    </w:p>
    <w:p w14:paraId="19F2A525" w14:textId="3038D80B" w:rsidR="00630438" w:rsidRPr="00630438" w:rsidRDefault="00630438" w:rsidP="000E47F8">
      <w:r w:rsidRPr="00630438">
        <w:t>Reserves are allocations set aside for specific purposes in later years</w:t>
      </w:r>
      <w:r w:rsidR="005F1394">
        <w:t>, typically of a statutory nat</w:t>
      </w:r>
      <w:r w:rsidR="00EF3D8F">
        <w:t>u</w:t>
      </w:r>
      <w:r w:rsidR="005F1394">
        <w:t>r</w:t>
      </w:r>
      <w:r w:rsidR="00EF3D8F">
        <w:t>e</w:t>
      </w:r>
      <w:r w:rsidRPr="00630438">
        <w:t xml:space="preserve">. The following </w:t>
      </w:r>
      <w:r w:rsidR="005A1435">
        <w:t xml:space="preserve">minimum </w:t>
      </w:r>
      <w:r w:rsidRPr="00630438">
        <w:t>disclosures are recommended.</w:t>
      </w:r>
    </w:p>
    <w:p w14:paraId="0CB631B8" w14:textId="77777777" w:rsidR="00630438" w:rsidRPr="003E45E5" w:rsidRDefault="00630438" w:rsidP="003E45E5">
      <w:pPr>
        <w:pStyle w:val="ListParagraph"/>
        <w:numPr>
          <w:ilvl w:val="0"/>
          <w:numId w:val="31"/>
        </w:numPr>
        <w:ind w:left="851" w:hanging="425"/>
        <w:rPr>
          <w:rFonts w:asciiTheme="minorHAnsi" w:eastAsia="Times" w:hAnsiTheme="minorHAnsi" w:cs="Arial"/>
          <w:color w:val="000000" w:themeColor="text1"/>
          <w:sz w:val="20"/>
        </w:rPr>
      </w:pPr>
      <w:r w:rsidRPr="003E45E5">
        <w:rPr>
          <w:rFonts w:asciiTheme="minorHAnsi" w:eastAsia="Times" w:hAnsiTheme="minorHAnsi" w:cs="Arial"/>
          <w:color w:val="000000" w:themeColor="text1"/>
          <w:sz w:val="20"/>
        </w:rPr>
        <w:t>A list of each reserve indicating if restricted or discretionary in nature.</w:t>
      </w:r>
    </w:p>
    <w:p w14:paraId="449E18F0" w14:textId="66FE1417" w:rsidR="00630438" w:rsidRPr="003E45E5" w:rsidRDefault="00630438" w:rsidP="003E45E5">
      <w:pPr>
        <w:pStyle w:val="ListParagraph"/>
        <w:numPr>
          <w:ilvl w:val="0"/>
          <w:numId w:val="31"/>
        </w:numPr>
        <w:ind w:left="851" w:hanging="425"/>
        <w:rPr>
          <w:rFonts w:asciiTheme="minorHAnsi" w:eastAsia="Times" w:hAnsiTheme="minorHAnsi" w:cs="Arial"/>
          <w:color w:val="000000" w:themeColor="text1"/>
          <w:sz w:val="20"/>
        </w:rPr>
      </w:pPr>
      <w:r w:rsidRPr="003E45E5">
        <w:rPr>
          <w:rFonts w:asciiTheme="minorHAnsi" w:eastAsia="Times" w:hAnsiTheme="minorHAnsi" w:cs="Arial"/>
          <w:color w:val="000000" w:themeColor="text1"/>
          <w:sz w:val="20"/>
        </w:rPr>
        <w:t xml:space="preserve">A table that discloses </w:t>
      </w:r>
      <w:r w:rsidR="003E45E5" w:rsidRPr="003E45E5">
        <w:rPr>
          <w:rFonts w:asciiTheme="minorHAnsi" w:eastAsia="Times" w:hAnsiTheme="minorHAnsi" w:cs="Arial"/>
          <w:color w:val="000000" w:themeColor="text1"/>
          <w:sz w:val="20"/>
        </w:rPr>
        <w:t xml:space="preserve">the </w:t>
      </w:r>
      <w:r w:rsidRPr="003E45E5">
        <w:rPr>
          <w:rFonts w:asciiTheme="minorHAnsi" w:eastAsia="Times" w:hAnsiTheme="minorHAnsi" w:cs="Arial"/>
          <w:color w:val="000000" w:themeColor="text1"/>
          <w:sz w:val="20"/>
        </w:rPr>
        <w:t>ten</w:t>
      </w:r>
      <w:r w:rsidR="005667BC" w:rsidRPr="003E45E5">
        <w:rPr>
          <w:rFonts w:asciiTheme="minorHAnsi" w:eastAsia="Times" w:hAnsiTheme="minorHAnsi" w:cs="Arial"/>
          <w:color w:val="000000" w:themeColor="text1"/>
          <w:sz w:val="20"/>
        </w:rPr>
        <w:t>-</w:t>
      </w:r>
      <w:r w:rsidRPr="003E45E5">
        <w:rPr>
          <w:rFonts w:asciiTheme="minorHAnsi" w:eastAsia="Times" w:hAnsiTheme="minorHAnsi" w:cs="Arial"/>
          <w:color w:val="000000" w:themeColor="text1"/>
          <w:sz w:val="20"/>
        </w:rPr>
        <w:t>year reserve movements comprising:</w:t>
      </w:r>
    </w:p>
    <w:p w14:paraId="002F98C4" w14:textId="77777777" w:rsidR="00630438" w:rsidRPr="005667BC" w:rsidRDefault="00630438" w:rsidP="003E45E5">
      <w:pPr>
        <w:pStyle w:val="ListParagraph"/>
        <w:numPr>
          <w:ilvl w:val="1"/>
          <w:numId w:val="31"/>
        </w:numPr>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the opening balance of each reserve</w:t>
      </w:r>
    </w:p>
    <w:p w14:paraId="3D04480F" w14:textId="77777777" w:rsidR="00630438" w:rsidRPr="005667BC" w:rsidRDefault="00630438" w:rsidP="003E45E5">
      <w:pPr>
        <w:pStyle w:val="ListParagraph"/>
        <w:numPr>
          <w:ilvl w:val="1"/>
          <w:numId w:val="31"/>
        </w:numPr>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the value transferred into each reserve per annum</w:t>
      </w:r>
    </w:p>
    <w:p w14:paraId="684D2B69" w14:textId="77777777" w:rsidR="00630438" w:rsidRPr="005667BC" w:rsidRDefault="00630438" w:rsidP="003E45E5">
      <w:pPr>
        <w:pStyle w:val="ListParagraph"/>
        <w:numPr>
          <w:ilvl w:val="1"/>
          <w:numId w:val="31"/>
        </w:numPr>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the value transferred from each reserve per annum</w:t>
      </w:r>
    </w:p>
    <w:p w14:paraId="738739B4" w14:textId="77777777" w:rsidR="00630438" w:rsidRPr="005667BC" w:rsidRDefault="00630438" w:rsidP="003E45E5">
      <w:pPr>
        <w:pStyle w:val="ListParagraph"/>
        <w:numPr>
          <w:ilvl w:val="1"/>
          <w:numId w:val="31"/>
        </w:numPr>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 xml:space="preserve">the closing balance of each reserve </w:t>
      </w:r>
    </w:p>
    <w:p w14:paraId="25BD9113" w14:textId="77777777" w:rsidR="00630438" w:rsidRPr="00630438" w:rsidRDefault="00630438" w:rsidP="000E47F8">
      <w:r w:rsidRPr="00630438">
        <w:t xml:space="preserve">Transfers into each reserve should include a description of the source and frequency of funding that may include either receipt of income from external sources or appropriation from council’s existing cash funds. </w:t>
      </w:r>
    </w:p>
    <w:p w14:paraId="747341EB" w14:textId="77777777" w:rsidR="00630438" w:rsidRPr="00630438" w:rsidRDefault="00630438" w:rsidP="000E47F8">
      <w:r w:rsidRPr="00630438">
        <w:t>Transfers out of each reserve should include an explanation of how each reserve is used to fund operating and capital expenditure within the Financial Plan.</w:t>
      </w:r>
    </w:p>
    <w:p w14:paraId="04B4C12C" w14:textId="6348FE49" w:rsidR="00630438" w:rsidRPr="00630438" w:rsidRDefault="00630438" w:rsidP="000E47F8">
      <w:r w:rsidRPr="00630438">
        <w:t xml:space="preserve">The Reserves Strategy </w:t>
      </w:r>
      <w:r w:rsidR="00D27F0E">
        <w:t>should</w:t>
      </w:r>
      <w:r w:rsidRPr="00630438">
        <w:t xml:space="preserve"> include a description of the nature and purpose of each reserve including any usage restrictions. </w:t>
      </w:r>
    </w:p>
    <w:p w14:paraId="25635E92" w14:textId="77777777" w:rsidR="00630438" w:rsidRDefault="00630438" w:rsidP="000E47F8">
      <w:r w:rsidRPr="00630438">
        <w:t>The total reserves are required to balance to the Other Reserves within the Statement of Changes in Equity.</w:t>
      </w:r>
    </w:p>
    <w:p w14:paraId="69996D91" w14:textId="02502BF0" w:rsidR="005A1435" w:rsidRDefault="00D928B3" w:rsidP="000E47F8">
      <w:r>
        <w:t>As reserves comprise public mo</w:t>
      </w:r>
      <w:r w:rsidR="00AA2726">
        <w:t>n</w:t>
      </w:r>
      <w:r w:rsidR="005402F2">
        <w:t>ey</w:t>
      </w:r>
      <w:r w:rsidR="0021324C">
        <w:t xml:space="preserve"> or </w:t>
      </w:r>
      <w:r w:rsidR="00AD7F0C">
        <w:t>contingencies</w:t>
      </w:r>
      <w:r w:rsidR="00302144">
        <w:t xml:space="preserve"> and this money </w:t>
      </w:r>
      <w:r w:rsidR="00567BD7">
        <w:t>can</w:t>
      </w:r>
      <w:r w:rsidR="00302144">
        <w:t xml:space="preserve"> be effectively tied up for a duration</w:t>
      </w:r>
      <w:r>
        <w:t xml:space="preserve"> councils </w:t>
      </w:r>
      <w:r w:rsidR="00D02A08">
        <w:t xml:space="preserve">should be highly transparent </w:t>
      </w:r>
      <w:r w:rsidR="00511D0E">
        <w:t>in their disclosures</w:t>
      </w:r>
      <w:r w:rsidR="00AE41D3">
        <w:t>.</w:t>
      </w:r>
      <w:r w:rsidR="00302144">
        <w:t xml:space="preserve"> This includes disclosure </w:t>
      </w:r>
      <w:r w:rsidR="004D0351">
        <w:t xml:space="preserve">as to when the reserve is likely to be utilised, as well as indicating </w:t>
      </w:r>
      <w:r w:rsidR="009A1877">
        <w:t xml:space="preserve">when </w:t>
      </w:r>
      <w:r w:rsidR="004D0351">
        <w:t>reporting to council</w:t>
      </w:r>
      <w:r w:rsidR="009A1877">
        <w:t xml:space="preserve"> is to occur</w:t>
      </w:r>
      <w:r w:rsidR="00567BD7">
        <w:t xml:space="preserve">. </w:t>
      </w:r>
      <w:r w:rsidR="00CB30F9">
        <w:t xml:space="preserve">A reserves strategy should </w:t>
      </w:r>
      <w:r w:rsidR="00CB30F9">
        <w:lastRenderedPageBreak/>
        <w:t>also clarify why such reserves are necessary, and why it is the optimal approach compared for example to borrowing</w:t>
      </w:r>
      <w:r w:rsidR="006B71FA">
        <w:t>, use of existing cash</w:t>
      </w:r>
      <w:r w:rsidR="00CB30F9">
        <w:t xml:space="preserve"> or sale of assets</w:t>
      </w:r>
      <w:r w:rsidR="0027138F">
        <w:t>, especially in instances where a reserve fund is discretionary.</w:t>
      </w:r>
      <w:r w:rsidR="00AE41D3">
        <w:t xml:space="preserve"> </w:t>
      </w:r>
    </w:p>
    <w:p w14:paraId="6CA7B695" w14:textId="3DB88442" w:rsidR="00714C40" w:rsidRPr="008610C7" w:rsidRDefault="003642EE" w:rsidP="00441C95">
      <w:pPr>
        <w:pStyle w:val="Heading2"/>
        <w:ind w:right="-7"/>
        <w:rPr>
          <w:highlight w:val="yellow"/>
        </w:rPr>
      </w:pPr>
      <w:bookmarkStart w:id="40" w:name="_Toc189219389"/>
      <w:r w:rsidRPr="008610C7">
        <w:rPr>
          <w:highlight w:val="yellow"/>
        </w:rPr>
        <w:t>Treasury M</w:t>
      </w:r>
      <w:r w:rsidR="009E16B0" w:rsidRPr="008610C7">
        <w:rPr>
          <w:highlight w:val="yellow"/>
        </w:rPr>
        <w:t>a</w:t>
      </w:r>
      <w:r w:rsidRPr="008610C7">
        <w:rPr>
          <w:highlight w:val="yellow"/>
        </w:rPr>
        <w:t>nagement</w:t>
      </w:r>
      <w:r w:rsidR="00324C7B" w:rsidRPr="008610C7">
        <w:rPr>
          <w:highlight w:val="yellow"/>
        </w:rPr>
        <w:t xml:space="preserve"> Approach</w:t>
      </w:r>
      <w:bookmarkEnd w:id="40"/>
    </w:p>
    <w:p w14:paraId="38179F62" w14:textId="623A1196" w:rsidR="009E16B0" w:rsidRPr="008610C7" w:rsidRDefault="009E16B0" w:rsidP="000E47F8">
      <w:pPr>
        <w:rPr>
          <w:highlight w:val="yellow"/>
        </w:rPr>
      </w:pPr>
      <w:r w:rsidRPr="008610C7">
        <w:rPr>
          <w:highlight w:val="yellow"/>
        </w:rPr>
        <w:t xml:space="preserve">Treasury </w:t>
      </w:r>
      <w:r w:rsidR="006507C0" w:rsidRPr="008610C7">
        <w:rPr>
          <w:highlight w:val="yellow"/>
        </w:rPr>
        <w:t xml:space="preserve">management </w:t>
      </w:r>
      <w:r w:rsidR="00324C7B" w:rsidRPr="008610C7">
        <w:rPr>
          <w:highlight w:val="yellow"/>
        </w:rPr>
        <w:t>refers to</w:t>
      </w:r>
      <w:r w:rsidR="006507C0" w:rsidRPr="008610C7">
        <w:rPr>
          <w:highlight w:val="yellow"/>
        </w:rPr>
        <w:t xml:space="preserve"> the practices associated with the </w:t>
      </w:r>
      <w:r w:rsidR="007E1FFE" w:rsidRPr="008610C7">
        <w:rPr>
          <w:highlight w:val="yellow"/>
        </w:rPr>
        <w:t>day-to-day</w:t>
      </w:r>
      <w:r w:rsidR="000B14C7" w:rsidRPr="008610C7">
        <w:rPr>
          <w:highlight w:val="yellow"/>
        </w:rPr>
        <w:t xml:space="preserve"> </w:t>
      </w:r>
      <w:r w:rsidR="00AD7F0C" w:rsidRPr="008610C7">
        <w:rPr>
          <w:highlight w:val="yellow"/>
        </w:rPr>
        <w:t>administration</w:t>
      </w:r>
      <w:r w:rsidR="000B14C7" w:rsidRPr="008610C7">
        <w:rPr>
          <w:highlight w:val="yellow"/>
        </w:rPr>
        <w:t xml:space="preserve"> of a</w:t>
      </w:r>
      <w:r w:rsidR="00324C7B" w:rsidRPr="008610C7">
        <w:rPr>
          <w:highlight w:val="yellow"/>
        </w:rPr>
        <w:t>n entity’s</w:t>
      </w:r>
      <w:r w:rsidR="000B14C7" w:rsidRPr="008610C7">
        <w:rPr>
          <w:highlight w:val="yellow"/>
        </w:rPr>
        <w:t xml:space="preserve"> </w:t>
      </w:r>
      <w:r w:rsidR="00855094" w:rsidRPr="008610C7">
        <w:rPr>
          <w:highlight w:val="yellow"/>
        </w:rPr>
        <w:t>financial resources, primarily c</w:t>
      </w:r>
      <w:r w:rsidR="00AD7F0C" w:rsidRPr="008610C7">
        <w:rPr>
          <w:highlight w:val="yellow"/>
        </w:rPr>
        <w:t>ash and other liquid assets</w:t>
      </w:r>
      <w:r w:rsidR="009451E4" w:rsidRPr="008610C7">
        <w:rPr>
          <w:highlight w:val="yellow"/>
        </w:rPr>
        <w:t>.</w:t>
      </w:r>
    </w:p>
    <w:p w14:paraId="7D4C5082" w14:textId="00B03E71" w:rsidR="00A642FA" w:rsidRPr="008610C7" w:rsidRDefault="005E63ED" w:rsidP="000E47F8">
      <w:pPr>
        <w:rPr>
          <w:highlight w:val="yellow"/>
        </w:rPr>
      </w:pPr>
      <w:r w:rsidRPr="008610C7">
        <w:rPr>
          <w:highlight w:val="yellow"/>
        </w:rPr>
        <w:t>Counc</w:t>
      </w:r>
      <w:r w:rsidR="00441C95" w:rsidRPr="008610C7">
        <w:rPr>
          <w:highlight w:val="yellow"/>
        </w:rPr>
        <w:t xml:space="preserve">ils should set out in their </w:t>
      </w:r>
      <w:r w:rsidR="00505E6F" w:rsidRPr="008610C7">
        <w:rPr>
          <w:highlight w:val="yellow"/>
        </w:rPr>
        <w:t>F</w:t>
      </w:r>
      <w:r w:rsidR="00441C95" w:rsidRPr="008610C7">
        <w:rPr>
          <w:highlight w:val="yellow"/>
        </w:rPr>
        <w:t xml:space="preserve">inancial </w:t>
      </w:r>
      <w:r w:rsidR="00505E6F" w:rsidRPr="008610C7">
        <w:rPr>
          <w:highlight w:val="yellow"/>
        </w:rPr>
        <w:t>P</w:t>
      </w:r>
      <w:r w:rsidR="00441C95" w:rsidRPr="008610C7">
        <w:rPr>
          <w:highlight w:val="yellow"/>
        </w:rPr>
        <w:t xml:space="preserve">lan their proposed approach to </w:t>
      </w:r>
      <w:r w:rsidR="007E1FFE" w:rsidRPr="008610C7">
        <w:rPr>
          <w:highlight w:val="yellow"/>
        </w:rPr>
        <w:t xml:space="preserve">managing their cash and other liquid assets. </w:t>
      </w:r>
      <w:r w:rsidR="009D6B90" w:rsidRPr="008610C7">
        <w:rPr>
          <w:highlight w:val="yellow"/>
        </w:rPr>
        <w:t xml:space="preserve">This will comprise a combination of </w:t>
      </w:r>
      <w:r w:rsidR="00505E6F" w:rsidRPr="008610C7">
        <w:rPr>
          <w:highlight w:val="yellow"/>
        </w:rPr>
        <w:t>short-term</w:t>
      </w:r>
      <w:r w:rsidR="009D6B90" w:rsidRPr="008610C7">
        <w:rPr>
          <w:highlight w:val="yellow"/>
        </w:rPr>
        <w:t xml:space="preserve"> cash flow </w:t>
      </w:r>
      <w:r w:rsidR="00A642FA" w:rsidRPr="008610C7">
        <w:rPr>
          <w:highlight w:val="yellow"/>
        </w:rPr>
        <w:t>considerations, along with longer term investment</w:t>
      </w:r>
      <w:r w:rsidR="00324C7B" w:rsidRPr="008610C7">
        <w:rPr>
          <w:highlight w:val="yellow"/>
        </w:rPr>
        <w:t>/return</w:t>
      </w:r>
      <w:r w:rsidR="00A642FA" w:rsidRPr="008610C7">
        <w:rPr>
          <w:highlight w:val="yellow"/>
        </w:rPr>
        <w:t xml:space="preserve"> considerations</w:t>
      </w:r>
      <w:r w:rsidR="00E67D78" w:rsidRPr="008610C7">
        <w:rPr>
          <w:highlight w:val="yellow"/>
        </w:rPr>
        <w:t xml:space="preserve"> (see more below in ‘Investment Strategy’)</w:t>
      </w:r>
      <w:r w:rsidR="00A642FA" w:rsidRPr="008610C7">
        <w:rPr>
          <w:highlight w:val="yellow"/>
        </w:rPr>
        <w:t>.</w:t>
      </w:r>
    </w:p>
    <w:p w14:paraId="29A8BBEC" w14:textId="35A644D2" w:rsidR="009451E4" w:rsidRPr="008610C7" w:rsidRDefault="008E2867" w:rsidP="000E47F8">
      <w:pPr>
        <w:rPr>
          <w:highlight w:val="yellow"/>
        </w:rPr>
      </w:pPr>
      <w:r w:rsidRPr="008610C7">
        <w:rPr>
          <w:highlight w:val="yellow"/>
        </w:rPr>
        <w:t>This</w:t>
      </w:r>
      <w:r w:rsidR="00C5784A" w:rsidRPr="008610C7">
        <w:rPr>
          <w:highlight w:val="yellow"/>
        </w:rPr>
        <w:t xml:space="preserve"> commentary</w:t>
      </w:r>
      <w:r w:rsidRPr="008610C7">
        <w:rPr>
          <w:highlight w:val="yellow"/>
        </w:rPr>
        <w:t xml:space="preserve"> may include:</w:t>
      </w:r>
    </w:p>
    <w:p w14:paraId="26A11272" w14:textId="4D1215BD" w:rsidR="008E2867" w:rsidRPr="008610C7" w:rsidRDefault="008E2867" w:rsidP="008D103D">
      <w:pPr>
        <w:pStyle w:val="ListParagraph"/>
        <w:numPr>
          <w:ilvl w:val="0"/>
          <w:numId w:val="29"/>
        </w:numPr>
        <w:ind w:left="851" w:hanging="425"/>
        <w:rPr>
          <w:rFonts w:asciiTheme="minorHAnsi" w:eastAsia="Times" w:hAnsiTheme="minorHAnsi" w:cs="Arial"/>
          <w:i/>
          <w:iCs/>
          <w:color w:val="000000" w:themeColor="text1"/>
          <w:sz w:val="20"/>
          <w:highlight w:val="yellow"/>
        </w:rPr>
      </w:pPr>
      <w:r w:rsidRPr="008610C7">
        <w:rPr>
          <w:rFonts w:asciiTheme="minorHAnsi" w:eastAsia="Times" w:hAnsiTheme="minorHAnsi" w:cs="Arial"/>
          <w:i/>
          <w:iCs/>
          <w:color w:val="000000" w:themeColor="text1"/>
          <w:sz w:val="20"/>
          <w:highlight w:val="yellow"/>
        </w:rPr>
        <w:t xml:space="preserve">Proposed </w:t>
      </w:r>
      <w:r w:rsidR="00CB21B0" w:rsidRPr="008610C7">
        <w:rPr>
          <w:rFonts w:asciiTheme="minorHAnsi" w:eastAsia="Times" w:hAnsiTheme="minorHAnsi" w:cs="Arial"/>
          <w:i/>
          <w:iCs/>
          <w:color w:val="000000" w:themeColor="text1"/>
          <w:sz w:val="20"/>
          <w:highlight w:val="yellow"/>
        </w:rPr>
        <w:t xml:space="preserve">desired </w:t>
      </w:r>
      <w:r w:rsidRPr="008610C7">
        <w:rPr>
          <w:rFonts w:asciiTheme="minorHAnsi" w:eastAsia="Times" w:hAnsiTheme="minorHAnsi" w:cs="Arial"/>
          <w:i/>
          <w:iCs/>
          <w:color w:val="000000" w:themeColor="text1"/>
          <w:sz w:val="20"/>
          <w:highlight w:val="yellow"/>
        </w:rPr>
        <w:t>maximum</w:t>
      </w:r>
      <w:r w:rsidR="00CB21B0" w:rsidRPr="008610C7">
        <w:rPr>
          <w:rFonts w:asciiTheme="minorHAnsi" w:eastAsia="Times" w:hAnsiTheme="minorHAnsi" w:cs="Arial"/>
          <w:i/>
          <w:iCs/>
          <w:color w:val="000000" w:themeColor="text1"/>
          <w:sz w:val="20"/>
          <w:highlight w:val="yellow"/>
        </w:rPr>
        <w:t>/minimum</w:t>
      </w:r>
      <w:r w:rsidRPr="008610C7">
        <w:rPr>
          <w:rFonts w:asciiTheme="minorHAnsi" w:eastAsia="Times" w:hAnsiTheme="minorHAnsi" w:cs="Arial"/>
          <w:i/>
          <w:iCs/>
          <w:color w:val="000000" w:themeColor="text1"/>
          <w:sz w:val="20"/>
          <w:highlight w:val="yellow"/>
        </w:rPr>
        <w:t xml:space="preserve"> </w:t>
      </w:r>
      <w:r w:rsidR="00CB21B0" w:rsidRPr="008610C7">
        <w:rPr>
          <w:rFonts w:asciiTheme="minorHAnsi" w:eastAsia="Times" w:hAnsiTheme="minorHAnsi" w:cs="Arial"/>
          <w:i/>
          <w:iCs/>
          <w:color w:val="000000" w:themeColor="text1"/>
          <w:sz w:val="20"/>
          <w:highlight w:val="yellow"/>
        </w:rPr>
        <w:t xml:space="preserve">liquidity </w:t>
      </w:r>
      <w:r w:rsidRPr="008610C7">
        <w:rPr>
          <w:rFonts w:asciiTheme="minorHAnsi" w:eastAsia="Times" w:hAnsiTheme="minorHAnsi" w:cs="Arial"/>
          <w:i/>
          <w:iCs/>
          <w:color w:val="000000" w:themeColor="text1"/>
          <w:sz w:val="20"/>
          <w:highlight w:val="yellow"/>
        </w:rPr>
        <w:t>levels</w:t>
      </w:r>
    </w:p>
    <w:p w14:paraId="44A2BBC9" w14:textId="77777777" w:rsidR="00CB21B0" w:rsidRPr="008610C7" w:rsidRDefault="008E2867" w:rsidP="008D103D">
      <w:pPr>
        <w:pStyle w:val="ListParagraph"/>
        <w:numPr>
          <w:ilvl w:val="0"/>
          <w:numId w:val="29"/>
        </w:numPr>
        <w:ind w:left="851" w:hanging="425"/>
        <w:rPr>
          <w:rFonts w:asciiTheme="minorHAnsi" w:eastAsia="Times" w:hAnsiTheme="minorHAnsi" w:cs="Arial"/>
          <w:i/>
          <w:iCs/>
          <w:color w:val="000000" w:themeColor="text1"/>
          <w:sz w:val="20"/>
          <w:highlight w:val="yellow"/>
        </w:rPr>
      </w:pPr>
      <w:r w:rsidRPr="008610C7">
        <w:rPr>
          <w:rFonts w:asciiTheme="minorHAnsi" w:eastAsia="Times" w:hAnsiTheme="minorHAnsi" w:cs="Arial"/>
          <w:i/>
          <w:iCs/>
          <w:color w:val="000000" w:themeColor="text1"/>
          <w:sz w:val="20"/>
          <w:highlight w:val="yellow"/>
        </w:rPr>
        <w:t xml:space="preserve">Thresholds for </w:t>
      </w:r>
      <w:r w:rsidR="00EB3B83" w:rsidRPr="008610C7">
        <w:rPr>
          <w:rFonts w:asciiTheme="minorHAnsi" w:eastAsia="Times" w:hAnsiTheme="minorHAnsi" w:cs="Arial"/>
          <w:i/>
          <w:iCs/>
          <w:color w:val="000000" w:themeColor="text1"/>
          <w:sz w:val="20"/>
          <w:highlight w:val="yellow"/>
        </w:rPr>
        <w:t>allocation of surplus cash into investments</w:t>
      </w:r>
    </w:p>
    <w:p w14:paraId="7E45D961" w14:textId="263C4582" w:rsidR="00FC6E69" w:rsidRPr="008610C7" w:rsidRDefault="006A3CEB" w:rsidP="008D103D">
      <w:pPr>
        <w:pStyle w:val="ListParagraph"/>
        <w:numPr>
          <w:ilvl w:val="0"/>
          <w:numId w:val="29"/>
        </w:numPr>
        <w:ind w:left="851" w:hanging="425"/>
        <w:rPr>
          <w:rFonts w:asciiTheme="minorHAnsi" w:eastAsia="Times" w:hAnsiTheme="minorHAnsi" w:cs="Arial"/>
          <w:i/>
          <w:iCs/>
          <w:color w:val="000000" w:themeColor="text1"/>
          <w:sz w:val="20"/>
          <w:highlight w:val="yellow"/>
        </w:rPr>
      </w:pPr>
      <w:r w:rsidRPr="008610C7">
        <w:rPr>
          <w:rFonts w:asciiTheme="minorHAnsi" w:eastAsia="Times" w:hAnsiTheme="minorHAnsi" w:cs="Arial"/>
          <w:i/>
          <w:iCs/>
          <w:color w:val="000000" w:themeColor="text1"/>
          <w:sz w:val="20"/>
          <w:highlight w:val="yellow"/>
        </w:rPr>
        <w:t xml:space="preserve">Description of the types of </w:t>
      </w:r>
      <w:r w:rsidR="000B071F" w:rsidRPr="008610C7">
        <w:rPr>
          <w:rFonts w:asciiTheme="minorHAnsi" w:eastAsia="Times" w:hAnsiTheme="minorHAnsi" w:cs="Arial"/>
          <w:i/>
          <w:iCs/>
          <w:color w:val="000000" w:themeColor="text1"/>
          <w:sz w:val="20"/>
          <w:highlight w:val="yellow"/>
        </w:rPr>
        <w:t>treasury management</w:t>
      </w:r>
      <w:r w:rsidR="00220939" w:rsidRPr="008610C7">
        <w:rPr>
          <w:rFonts w:asciiTheme="minorHAnsi" w:eastAsia="Times" w:hAnsiTheme="minorHAnsi" w:cs="Arial"/>
          <w:i/>
          <w:iCs/>
          <w:color w:val="000000" w:themeColor="text1"/>
          <w:sz w:val="20"/>
          <w:highlight w:val="yellow"/>
        </w:rPr>
        <w:t xml:space="preserve"> instruments</w:t>
      </w:r>
      <w:r w:rsidRPr="008610C7">
        <w:rPr>
          <w:rFonts w:asciiTheme="minorHAnsi" w:eastAsia="Times" w:hAnsiTheme="minorHAnsi" w:cs="Arial"/>
          <w:i/>
          <w:iCs/>
          <w:color w:val="000000" w:themeColor="text1"/>
          <w:sz w:val="20"/>
          <w:highlight w:val="yellow"/>
        </w:rPr>
        <w:t xml:space="preserve"> the council intends to use (i.e. </w:t>
      </w:r>
      <w:r w:rsidR="00163EC5" w:rsidRPr="008610C7">
        <w:rPr>
          <w:rFonts w:asciiTheme="minorHAnsi" w:eastAsia="Times" w:hAnsiTheme="minorHAnsi" w:cs="Arial"/>
          <w:i/>
          <w:iCs/>
          <w:color w:val="000000" w:themeColor="text1"/>
          <w:sz w:val="20"/>
          <w:highlight w:val="yellow"/>
        </w:rPr>
        <w:t xml:space="preserve">types of investments, </w:t>
      </w:r>
      <w:r w:rsidRPr="008610C7">
        <w:rPr>
          <w:rFonts w:asciiTheme="minorHAnsi" w:eastAsia="Times" w:hAnsiTheme="minorHAnsi" w:cs="Arial"/>
          <w:i/>
          <w:iCs/>
          <w:color w:val="000000" w:themeColor="text1"/>
          <w:sz w:val="20"/>
          <w:highlight w:val="yellow"/>
        </w:rPr>
        <w:t>duration</w:t>
      </w:r>
      <w:r w:rsidR="00431816" w:rsidRPr="008610C7">
        <w:rPr>
          <w:rFonts w:asciiTheme="minorHAnsi" w:eastAsia="Times" w:hAnsiTheme="minorHAnsi" w:cs="Arial"/>
          <w:i/>
          <w:iCs/>
          <w:color w:val="000000" w:themeColor="text1"/>
          <w:sz w:val="20"/>
          <w:highlight w:val="yellow"/>
        </w:rPr>
        <w:t>s</w:t>
      </w:r>
      <w:r w:rsidR="00565A6B" w:rsidRPr="008610C7">
        <w:rPr>
          <w:rFonts w:asciiTheme="minorHAnsi" w:eastAsia="Times" w:hAnsiTheme="minorHAnsi" w:cs="Arial"/>
          <w:i/>
          <w:iCs/>
          <w:color w:val="000000" w:themeColor="text1"/>
          <w:sz w:val="20"/>
          <w:highlight w:val="yellow"/>
        </w:rPr>
        <w:t xml:space="preserve">, </w:t>
      </w:r>
      <w:r w:rsidR="000B071F" w:rsidRPr="008610C7">
        <w:rPr>
          <w:rFonts w:asciiTheme="minorHAnsi" w:eastAsia="Times" w:hAnsiTheme="minorHAnsi" w:cs="Arial"/>
          <w:i/>
          <w:iCs/>
          <w:color w:val="000000" w:themeColor="text1"/>
          <w:sz w:val="20"/>
          <w:highlight w:val="yellow"/>
        </w:rPr>
        <w:t xml:space="preserve">term deposits, </w:t>
      </w:r>
      <w:r w:rsidR="00565A6B" w:rsidRPr="008610C7">
        <w:rPr>
          <w:rFonts w:asciiTheme="minorHAnsi" w:eastAsia="Times" w:hAnsiTheme="minorHAnsi" w:cs="Arial"/>
          <w:i/>
          <w:iCs/>
          <w:color w:val="000000" w:themeColor="text1"/>
          <w:sz w:val="20"/>
          <w:highlight w:val="yellow"/>
        </w:rPr>
        <w:t>overnight deposits</w:t>
      </w:r>
      <w:r w:rsidR="00431816" w:rsidRPr="008610C7">
        <w:rPr>
          <w:rFonts w:asciiTheme="minorHAnsi" w:eastAsia="Times" w:hAnsiTheme="minorHAnsi" w:cs="Arial"/>
          <w:i/>
          <w:iCs/>
          <w:color w:val="000000" w:themeColor="text1"/>
          <w:sz w:val="20"/>
          <w:highlight w:val="yellow"/>
        </w:rPr>
        <w:t>)</w:t>
      </w:r>
    </w:p>
    <w:p w14:paraId="1D8436D9" w14:textId="184E53B0" w:rsidR="00CB21B0" w:rsidRPr="008610C7" w:rsidRDefault="00CB21B0" w:rsidP="008D103D">
      <w:pPr>
        <w:pStyle w:val="ListParagraph"/>
        <w:numPr>
          <w:ilvl w:val="0"/>
          <w:numId w:val="29"/>
        </w:numPr>
        <w:ind w:left="851" w:hanging="425"/>
        <w:rPr>
          <w:rFonts w:asciiTheme="minorHAnsi" w:eastAsia="Times" w:hAnsiTheme="minorHAnsi" w:cs="Arial"/>
          <w:i/>
          <w:iCs/>
          <w:color w:val="000000" w:themeColor="text1"/>
          <w:sz w:val="20"/>
          <w:highlight w:val="yellow"/>
        </w:rPr>
      </w:pPr>
      <w:r w:rsidRPr="008610C7">
        <w:rPr>
          <w:rFonts w:asciiTheme="minorHAnsi" w:eastAsia="Times" w:hAnsiTheme="minorHAnsi" w:cs="Arial"/>
          <w:i/>
          <w:iCs/>
          <w:color w:val="000000" w:themeColor="text1"/>
          <w:sz w:val="20"/>
          <w:highlight w:val="yellow"/>
        </w:rPr>
        <w:t xml:space="preserve">Consideration of </w:t>
      </w:r>
      <w:r w:rsidR="008D103D" w:rsidRPr="008610C7">
        <w:rPr>
          <w:rFonts w:asciiTheme="minorHAnsi" w:eastAsia="Times" w:hAnsiTheme="minorHAnsi" w:cs="Arial"/>
          <w:i/>
          <w:iCs/>
          <w:color w:val="000000" w:themeColor="text1"/>
          <w:sz w:val="20"/>
          <w:highlight w:val="yellow"/>
        </w:rPr>
        <w:t>tools such as overdrafts or similar measures to ensure sufficient liquidity when the need arises.</w:t>
      </w:r>
    </w:p>
    <w:p w14:paraId="4BB04B72" w14:textId="15742AC6" w:rsidR="008242CF" w:rsidRPr="008610C7" w:rsidRDefault="008242CF" w:rsidP="000E47F8">
      <w:pPr>
        <w:rPr>
          <w:highlight w:val="yellow"/>
        </w:rPr>
      </w:pPr>
      <w:r w:rsidRPr="008610C7">
        <w:rPr>
          <w:highlight w:val="yellow"/>
        </w:rPr>
        <w:t xml:space="preserve">A treasury management or </w:t>
      </w:r>
      <w:r w:rsidR="00420682" w:rsidRPr="008610C7">
        <w:rPr>
          <w:highlight w:val="yellow"/>
        </w:rPr>
        <w:t>investment plan may also include a schedule setting out a range of investment options</w:t>
      </w:r>
      <w:r w:rsidR="00525665" w:rsidRPr="008610C7">
        <w:rPr>
          <w:highlight w:val="yellow"/>
        </w:rPr>
        <w:t xml:space="preserve"> to balance returns with risk in accordance with the broader Financial Plan</w:t>
      </w:r>
      <w:r w:rsidR="00EC6C40" w:rsidRPr="008610C7">
        <w:rPr>
          <w:highlight w:val="yellow"/>
        </w:rPr>
        <w:t xml:space="preserve"> (more below)</w:t>
      </w:r>
      <w:r w:rsidR="00525665" w:rsidRPr="008610C7">
        <w:rPr>
          <w:highlight w:val="yellow"/>
        </w:rPr>
        <w:t xml:space="preserve">. </w:t>
      </w:r>
      <w:r w:rsidR="00420682" w:rsidRPr="008610C7">
        <w:rPr>
          <w:highlight w:val="yellow"/>
        </w:rPr>
        <w:t xml:space="preserve"> </w:t>
      </w:r>
    </w:p>
    <w:p w14:paraId="68DAF1EF" w14:textId="7CB60793" w:rsidR="00335797" w:rsidRPr="008610C7" w:rsidRDefault="00335797" w:rsidP="000E47F8">
      <w:pPr>
        <w:rPr>
          <w:highlight w:val="yellow"/>
        </w:rPr>
      </w:pPr>
      <w:r w:rsidRPr="008610C7">
        <w:rPr>
          <w:highlight w:val="yellow"/>
        </w:rPr>
        <w:t>Councils may also set out consideration of the risk levels</w:t>
      </w:r>
      <w:r w:rsidR="00C5784A" w:rsidRPr="008610C7">
        <w:rPr>
          <w:highlight w:val="yellow"/>
        </w:rPr>
        <w:t xml:space="preserve"> acceptable to the council in terms of practices, as well as the risks associated with </w:t>
      </w:r>
      <w:r w:rsidR="0051567D" w:rsidRPr="008610C7">
        <w:rPr>
          <w:highlight w:val="yellow"/>
        </w:rPr>
        <w:t xml:space="preserve">different investment approaches such as those of </w:t>
      </w:r>
      <w:r w:rsidR="00836D59" w:rsidRPr="008610C7">
        <w:rPr>
          <w:highlight w:val="yellow"/>
        </w:rPr>
        <w:t>different</w:t>
      </w:r>
      <w:r w:rsidR="0051567D" w:rsidRPr="008610C7">
        <w:rPr>
          <w:highlight w:val="yellow"/>
        </w:rPr>
        <w:t xml:space="preserve"> Authorised Deposit Institutions</w:t>
      </w:r>
      <w:r w:rsidR="00132E64" w:rsidRPr="008610C7">
        <w:rPr>
          <w:highlight w:val="yellow"/>
        </w:rPr>
        <w:t xml:space="preserve"> and other securities in accordance with s.103</w:t>
      </w:r>
      <w:r w:rsidR="00AE41D3" w:rsidRPr="008610C7">
        <w:rPr>
          <w:highlight w:val="yellow"/>
        </w:rPr>
        <w:t xml:space="preserve"> of the </w:t>
      </w:r>
      <w:r w:rsidR="00AE41D3" w:rsidRPr="008610C7">
        <w:rPr>
          <w:i/>
          <w:iCs/>
          <w:highlight w:val="yellow"/>
        </w:rPr>
        <w:t>Local Government Act 2020</w:t>
      </w:r>
      <w:r w:rsidR="0051567D" w:rsidRPr="008610C7">
        <w:rPr>
          <w:highlight w:val="yellow"/>
        </w:rPr>
        <w:t>.</w:t>
      </w:r>
      <w:r w:rsidRPr="008610C7">
        <w:rPr>
          <w:highlight w:val="yellow"/>
        </w:rPr>
        <w:t xml:space="preserve"> </w:t>
      </w:r>
    </w:p>
    <w:p w14:paraId="1D0E5B07" w14:textId="1C9C0260" w:rsidR="008E2867" w:rsidRPr="008610C7" w:rsidRDefault="0088137F" w:rsidP="00DA0215">
      <w:pPr>
        <w:pStyle w:val="Heading2"/>
        <w:ind w:right="-7"/>
        <w:rPr>
          <w:highlight w:val="yellow"/>
        </w:rPr>
      </w:pPr>
      <w:bookmarkStart w:id="41" w:name="_Toc189219390"/>
      <w:r w:rsidRPr="008610C7">
        <w:rPr>
          <w:highlight w:val="yellow"/>
        </w:rPr>
        <w:t>Investment Strategy</w:t>
      </w:r>
      <w:bookmarkEnd w:id="41"/>
    </w:p>
    <w:p w14:paraId="604D25C3" w14:textId="3E103BB1" w:rsidR="0088137F" w:rsidRPr="008610C7" w:rsidRDefault="0088137F" w:rsidP="000E47F8">
      <w:pPr>
        <w:rPr>
          <w:highlight w:val="yellow"/>
        </w:rPr>
      </w:pPr>
      <w:r w:rsidRPr="008610C7">
        <w:rPr>
          <w:highlight w:val="yellow"/>
        </w:rPr>
        <w:t>Related to treasury management previously, a council should set out its approach to</w:t>
      </w:r>
      <w:r w:rsidR="001F182D" w:rsidRPr="008610C7">
        <w:rPr>
          <w:highlight w:val="yellow"/>
        </w:rPr>
        <w:t xml:space="preserve"> longer term</w:t>
      </w:r>
      <w:r w:rsidRPr="008610C7">
        <w:rPr>
          <w:highlight w:val="yellow"/>
        </w:rPr>
        <w:t xml:space="preserve"> </w:t>
      </w:r>
      <w:r w:rsidR="00F12E29" w:rsidRPr="008610C7">
        <w:rPr>
          <w:highlight w:val="yellow"/>
        </w:rPr>
        <w:t>investment</w:t>
      </w:r>
      <w:r w:rsidR="001F182D" w:rsidRPr="008610C7">
        <w:rPr>
          <w:highlight w:val="yellow"/>
        </w:rPr>
        <w:t>s</w:t>
      </w:r>
      <w:r w:rsidR="00F12E29" w:rsidRPr="008610C7">
        <w:rPr>
          <w:highlight w:val="yellow"/>
        </w:rPr>
        <w:t>.</w:t>
      </w:r>
    </w:p>
    <w:p w14:paraId="03299043" w14:textId="6494142E" w:rsidR="00F12E29" w:rsidRPr="008610C7" w:rsidRDefault="00F12E29" w:rsidP="000E47F8">
      <w:pPr>
        <w:rPr>
          <w:highlight w:val="yellow"/>
        </w:rPr>
      </w:pPr>
      <w:r w:rsidRPr="008610C7">
        <w:rPr>
          <w:highlight w:val="yellow"/>
        </w:rPr>
        <w:t xml:space="preserve">This is especially relevant for councils that have large cash balances such as those arising from developer contributions over </w:t>
      </w:r>
      <w:r w:rsidR="00714FD2" w:rsidRPr="008610C7">
        <w:rPr>
          <w:highlight w:val="yellow"/>
        </w:rPr>
        <w:t>many</w:t>
      </w:r>
      <w:r w:rsidRPr="008610C7">
        <w:rPr>
          <w:highlight w:val="yellow"/>
        </w:rPr>
        <w:t xml:space="preserve"> years</w:t>
      </w:r>
      <w:r w:rsidR="00661289" w:rsidRPr="008610C7">
        <w:rPr>
          <w:highlight w:val="yellow"/>
        </w:rPr>
        <w:t xml:space="preserve"> or councils </w:t>
      </w:r>
      <w:r w:rsidR="00D33635" w:rsidRPr="008610C7">
        <w:rPr>
          <w:highlight w:val="yellow"/>
        </w:rPr>
        <w:t>with large land holdings and other assets</w:t>
      </w:r>
      <w:r w:rsidRPr="008610C7">
        <w:rPr>
          <w:highlight w:val="yellow"/>
        </w:rPr>
        <w:t xml:space="preserve">. In these instances, a council should set out its proposed approach </w:t>
      </w:r>
      <w:r w:rsidR="00BB67DC" w:rsidRPr="008610C7">
        <w:rPr>
          <w:highlight w:val="yellow"/>
        </w:rPr>
        <w:t>to managing</w:t>
      </w:r>
      <w:r w:rsidRPr="008610C7">
        <w:rPr>
          <w:highlight w:val="yellow"/>
        </w:rPr>
        <w:t xml:space="preserve"> such </w:t>
      </w:r>
      <w:r w:rsidR="00BB67DC" w:rsidRPr="008610C7">
        <w:rPr>
          <w:highlight w:val="yellow"/>
        </w:rPr>
        <w:t xml:space="preserve">assets and be transparent about </w:t>
      </w:r>
      <w:r w:rsidR="00714FD2" w:rsidRPr="008610C7">
        <w:rPr>
          <w:highlight w:val="yellow"/>
        </w:rPr>
        <w:t>the</w:t>
      </w:r>
      <w:r w:rsidR="008336F3" w:rsidRPr="008610C7">
        <w:rPr>
          <w:highlight w:val="yellow"/>
        </w:rPr>
        <w:t>ir</w:t>
      </w:r>
      <w:r w:rsidR="00BB67DC" w:rsidRPr="008610C7">
        <w:rPr>
          <w:highlight w:val="yellow"/>
        </w:rPr>
        <w:t xml:space="preserve"> </w:t>
      </w:r>
      <w:r w:rsidR="000918A8" w:rsidRPr="008610C7">
        <w:rPr>
          <w:highlight w:val="yellow"/>
        </w:rPr>
        <w:t>longer-term</w:t>
      </w:r>
      <w:r w:rsidR="00BB67DC" w:rsidRPr="008610C7">
        <w:rPr>
          <w:highlight w:val="yellow"/>
        </w:rPr>
        <w:t xml:space="preserve"> intentions </w:t>
      </w:r>
      <w:r w:rsidR="00111DF5" w:rsidRPr="008610C7">
        <w:rPr>
          <w:highlight w:val="yellow"/>
        </w:rPr>
        <w:t>to benefit the municipality</w:t>
      </w:r>
      <w:r w:rsidR="00D410BE" w:rsidRPr="008610C7">
        <w:rPr>
          <w:highlight w:val="yellow"/>
        </w:rPr>
        <w:t xml:space="preserve"> in accordance with the overarching governance principles set out in s.9 of the </w:t>
      </w:r>
      <w:r w:rsidR="00D410BE" w:rsidRPr="008610C7">
        <w:rPr>
          <w:i/>
          <w:iCs/>
          <w:highlight w:val="yellow"/>
        </w:rPr>
        <w:t>Local Government Act 2020.</w:t>
      </w:r>
      <w:r w:rsidR="00D410BE" w:rsidRPr="008610C7">
        <w:rPr>
          <w:highlight w:val="yellow"/>
        </w:rPr>
        <w:t xml:space="preserve"> </w:t>
      </w:r>
    </w:p>
    <w:p w14:paraId="3FDD6687" w14:textId="63A69E91" w:rsidR="00714FD2" w:rsidRPr="008610C7" w:rsidRDefault="00714FD2" w:rsidP="000E47F8">
      <w:pPr>
        <w:rPr>
          <w:highlight w:val="yellow"/>
        </w:rPr>
      </w:pPr>
      <w:r w:rsidRPr="008610C7">
        <w:rPr>
          <w:highlight w:val="yellow"/>
        </w:rPr>
        <w:t xml:space="preserve">This section should include a commentary on what sort of </w:t>
      </w:r>
      <w:r w:rsidR="000918A8" w:rsidRPr="008610C7">
        <w:rPr>
          <w:highlight w:val="yellow"/>
        </w:rPr>
        <w:t>longer-term</w:t>
      </w:r>
      <w:r w:rsidRPr="008610C7">
        <w:rPr>
          <w:highlight w:val="yellow"/>
        </w:rPr>
        <w:t xml:space="preserve"> investments a council may</w:t>
      </w:r>
      <w:r w:rsidR="00C45DB1" w:rsidRPr="008610C7">
        <w:rPr>
          <w:highlight w:val="yellow"/>
        </w:rPr>
        <w:t xml:space="preserve"> have and/or</w:t>
      </w:r>
      <w:r w:rsidRPr="008610C7">
        <w:rPr>
          <w:highlight w:val="yellow"/>
        </w:rPr>
        <w:t xml:space="preserve"> wish to</w:t>
      </w:r>
      <w:r w:rsidR="00A85B7F" w:rsidRPr="008610C7">
        <w:rPr>
          <w:highlight w:val="yellow"/>
        </w:rPr>
        <w:t xml:space="preserve"> pursue including:</w:t>
      </w:r>
    </w:p>
    <w:p w14:paraId="551C4FA4" w14:textId="766B1A05" w:rsidR="00A97E98" w:rsidRPr="008610C7" w:rsidRDefault="00A97E98" w:rsidP="000918A8">
      <w:pPr>
        <w:pStyle w:val="ListParagraph"/>
        <w:numPr>
          <w:ilvl w:val="0"/>
          <w:numId w:val="29"/>
        </w:numPr>
        <w:ind w:left="851" w:hanging="425"/>
        <w:rPr>
          <w:rFonts w:asciiTheme="minorHAnsi" w:eastAsia="Times" w:hAnsiTheme="minorHAnsi" w:cs="Arial"/>
          <w:i/>
          <w:iCs/>
          <w:color w:val="000000" w:themeColor="text1"/>
          <w:sz w:val="20"/>
          <w:highlight w:val="yellow"/>
        </w:rPr>
      </w:pPr>
      <w:r w:rsidRPr="008610C7">
        <w:rPr>
          <w:rFonts w:asciiTheme="minorHAnsi" w:eastAsia="Times" w:hAnsiTheme="minorHAnsi" w:cs="Arial"/>
          <w:i/>
          <w:iCs/>
          <w:color w:val="000000" w:themeColor="text1"/>
          <w:sz w:val="20"/>
          <w:highlight w:val="yellow"/>
        </w:rPr>
        <w:t xml:space="preserve">Approach to </w:t>
      </w:r>
      <w:proofErr w:type="gramStart"/>
      <w:r w:rsidRPr="008610C7">
        <w:rPr>
          <w:rFonts w:asciiTheme="minorHAnsi" w:eastAsia="Times" w:hAnsiTheme="minorHAnsi" w:cs="Arial"/>
          <w:i/>
          <w:iCs/>
          <w:color w:val="000000" w:themeColor="text1"/>
          <w:sz w:val="20"/>
          <w:highlight w:val="yellow"/>
        </w:rPr>
        <w:t>medium and longer term</w:t>
      </w:r>
      <w:proofErr w:type="gramEnd"/>
      <w:r w:rsidRPr="008610C7">
        <w:rPr>
          <w:rFonts w:asciiTheme="minorHAnsi" w:eastAsia="Times" w:hAnsiTheme="minorHAnsi" w:cs="Arial"/>
          <w:i/>
          <w:iCs/>
          <w:color w:val="000000" w:themeColor="text1"/>
          <w:sz w:val="20"/>
          <w:highlight w:val="yellow"/>
        </w:rPr>
        <w:t xml:space="preserve"> liquid asset management such as</w:t>
      </w:r>
      <w:r w:rsidR="007119E0" w:rsidRPr="008610C7">
        <w:rPr>
          <w:rFonts w:asciiTheme="minorHAnsi" w:eastAsia="Times" w:hAnsiTheme="minorHAnsi" w:cs="Arial"/>
          <w:i/>
          <w:iCs/>
          <w:color w:val="000000" w:themeColor="text1"/>
          <w:sz w:val="20"/>
          <w:highlight w:val="yellow"/>
        </w:rPr>
        <w:t xml:space="preserve"> use of</w:t>
      </w:r>
      <w:r w:rsidRPr="008610C7">
        <w:rPr>
          <w:rFonts w:asciiTheme="minorHAnsi" w:eastAsia="Times" w:hAnsiTheme="minorHAnsi" w:cs="Arial"/>
          <w:i/>
          <w:iCs/>
          <w:color w:val="000000" w:themeColor="text1"/>
          <w:sz w:val="20"/>
          <w:highlight w:val="yellow"/>
        </w:rPr>
        <w:t xml:space="preserve"> term deposits</w:t>
      </w:r>
      <w:r w:rsidR="004B1CAF" w:rsidRPr="008610C7">
        <w:rPr>
          <w:rFonts w:asciiTheme="minorHAnsi" w:eastAsia="Times" w:hAnsiTheme="minorHAnsi" w:cs="Arial"/>
          <w:i/>
          <w:iCs/>
          <w:color w:val="000000" w:themeColor="text1"/>
          <w:sz w:val="20"/>
          <w:highlight w:val="yellow"/>
        </w:rPr>
        <w:t xml:space="preserve"> (2-3 plus years)</w:t>
      </w:r>
      <w:r w:rsidRPr="008610C7">
        <w:rPr>
          <w:rFonts w:asciiTheme="minorHAnsi" w:eastAsia="Times" w:hAnsiTheme="minorHAnsi" w:cs="Arial"/>
          <w:i/>
          <w:iCs/>
          <w:color w:val="000000" w:themeColor="text1"/>
          <w:sz w:val="20"/>
          <w:highlight w:val="yellow"/>
        </w:rPr>
        <w:t xml:space="preserve"> and </w:t>
      </w:r>
      <w:r w:rsidR="0093136F" w:rsidRPr="008610C7">
        <w:rPr>
          <w:rFonts w:asciiTheme="minorHAnsi" w:eastAsia="Times" w:hAnsiTheme="minorHAnsi" w:cs="Arial"/>
          <w:i/>
          <w:iCs/>
          <w:color w:val="000000" w:themeColor="text1"/>
          <w:sz w:val="20"/>
          <w:highlight w:val="yellow"/>
        </w:rPr>
        <w:t>other</w:t>
      </w:r>
      <w:r w:rsidR="004B1CAF" w:rsidRPr="008610C7">
        <w:rPr>
          <w:rFonts w:asciiTheme="minorHAnsi" w:eastAsia="Times" w:hAnsiTheme="minorHAnsi" w:cs="Arial"/>
          <w:i/>
          <w:iCs/>
          <w:color w:val="000000" w:themeColor="text1"/>
          <w:sz w:val="20"/>
          <w:highlight w:val="yellow"/>
        </w:rPr>
        <w:t xml:space="preserve"> investments</w:t>
      </w:r>
    </w:p>
    <w:p w14:paraId="5928A6BA" w14:textId="3090191F" w:rsidR="00A85B7F" w:rsidRPr="008610C7" w:rsidRDefault="00A85B7F" w:rsidP="000918A8">
      <w:pPr>
        <w:pStyle w:val="ListParagraph"/>
        <w:numPr>
          <w:ilvl w:val="0"/>
          <w:numId w:val="29"/>
        </w:numPr>
        <w:ind w:left="851" w:hanging="425"/>
        <w:rPr>
          <w:rFonts w:asciiTheme="minorHAnsi" w:eastAsia="Times" w:hAnsiTheme="minorHAnsi" w:cs="Arial"/>
          <w:i/>
          <w:iCs/>
          <w:color w:val="000000" w:themeColor="text1"/>
          <w:sz w:val="20"/>
          <w:highlight w:val="yellow"/>
        </w:rPr>
      </w:pPr>
      <w:r w:rsidRPr="008610C7">
        <w:rPr>
          <w:rFonts w:asciiTheme="minorHAnsi" w:eastAsia="Times" w:hAnsiTheme="minorHAnsi" w:cs="Arial"/>
          <w:i/>
          <w:iCs/>
          <w:color w:val="000000" w:themeColor="text1"/>
          <w:sz w:val="20"/>
          <w:highlight w:val="yellow"/>
        </w:rPr>
        <w:t xml:space="preserve">Acquisition and/or </w:t>
      </w:r>
      <w:r w:rsidR="000918A8" w:rsidRPr="008610C7">
        <w:rPr>
          <w:rFonts w:asciiTheme="minorHAnsi" w:eastAsia="Times" w:hAnsiTheme="minorHAnsi" w:cs="Arial"/>
          <w:i/>
          <w:iCs/>
          <w:color w:val="000000" w:themeColor="text1"/>
          <w:sz w:val="20"/>
          <w:highlight w:val="yellow"/>
        </w:rPr>
        <w:t xml:space="preserve">subsequent </w:t>
      </w:r>
      <w:r w:rsidRPr="008610C7">
        <w:rPr>
          <w:rFonts w:asciiTheme="minorHAnsi" w:eastAsia="Times" w:hAnsiTheme="minorHAnsi" w:cs="Arial"/>
          <w:i/>
          <w:iCs/>
          <w:color w:val="000000" w:themeColor="text1"/>
          <w:sz w:val="20"/>
          <w:highlight w:val="yellow"/>
        </w:rPr>
        <w:t xml:space="preserve">disposal of </w:t>
      </w:r>
      <w:r w:rsidR="001E2B78" w:rsidRPr="008610C7">
        <w:rPr>
          <w:rFonts w:asciiTheme="minorHAnsi" w:eastAsia="Times" w:hAnsiTheme="minorHAnsi" w:cs="Arial"/>
          <w:i/>
          <w:iCs/>
          <w:color w:val="000000" w:themeColor="text1"/>
          <w:sz w:val="20"/>
          <w:highlight w:val="yellow"/>
        </w:rPr>
        <w:t>assets such as land</w:t>
      </w:r>
      <w:r w:rsidR="00C45DB1" w:rsidRPr="008610C7">
        <w:rPr>
          <w:rFonts w:asciiTheme="minorHAnsi" w:eastAsia="Times" w:hAnsiTheme="minorHAnsi" w:cs="Arial"/>
          <w:i/>
          <w:iCs/>
          <w:color w:val="000000" w:themeColor="text1"/>
          <w:sz w:val="20"/>
          <w:highlight w:val="yellow"/>
        </w:rPr>
        <w:t>, buildings</w:t>
      </w:r>
      <w:r w:rsidR="001E2B78" w:rsidRPr="008610C7">
        <w:rPr>
          <w:rFonts w:asciiTheme="minorHAnsi" w:eastAsia="Times" w:hAnsiTheme="minorHAnsi" w:cs="Arial"/>
          <w:i/>
          <w:iCs/>
          <w:color w:val="000000" w:themeColor="text1"/>
          <w:sz w:val="20"/>
          <w:highlight w:val="yellow"/>
        </w:rPr>
        <w:t xml:space="preserve"> and other illiquid assets</w:t>
      </w:r>
    </w:p>
    <w:p w14:paraId="79BD015D" w14:textId="11D4DE15" w:rsidR="001E2B78" w:rsidRPr="008610C7" w:rsidRDefault="001F182D" w:rsidP="000918A8">
      <w:pPr>
        <w:pStyle w:val="ListParagraph"/>
        <w:numPr>
          <w:ilvl w:val="0"/>
          <w:numId w:val="29"/>
        </w:numPr>
        <w:ind w:left="851" w:hanging="425"/>
        <w:rPr>
          <w:rFonts w:asciiTheme="minorHAnsi" w:eastAsia="Times" w:hAnsiTheme="minorHAnsi" w:cs="Arial"/>
          <w:i/>
          <w:iCs/>
          <w:color w:val="000000" w:themeColor="text1"/>
          <w:sz w:val="20"/>
          <w:highlight w:val="yellow"/>
        </w:rPr>
      </w:pPr>
      <w:r w:rsidRPr="008610C7">
        <w:rPr>
          <w:rFonts w:asciiTheme="minorHAnsi" w:eastAsia="Times" w:hAnsiTheme="minorHAnsi" w:cs="Arial"/>
          <w:i/>
          <w:iCs/>
          <w:color w:val="000000" w:themeColor="text1"/>
          <w:sz w:val="20"/>
          <w:highlight w:val="yellow"/>
        </w:rPr>
        <w:lastRenderedPageBreak/>
        <w:t>Desire levels of return and risks associated with longer term investments</w:t>
      </w:r>
    </w:p>
    <w:p w14:paraId="79F6D4A0" w14:textId="07757D08" w:rsidR="001F182D" w:rsidRPr="008610C7" w:rsidRDefault="001F182D" w:rsidP="000918A8">
      <w:pPr>
        <w:pStyle w:val="ListParagraph"/>
        <w:numPr>
          <w:ilvl w:val="0"/>
          <w:numId w:val="29"/>
        </w:numPr>
        <w:ind w:left="851" w:hanging="425"/>
        <w:rPr>
          <w:rFonts w:asciiTheme="minorHAnsi" w:eastAsia="Times" w:hAnsiTheme="minorHAnsi" w:cs="Arial"/>
          <w:i/>
          <w:iCs/>
          <w:color w:val="000000" w:themeColor="text1"/>
          <w:sz w:val="20"/>
          <w:highlight w:val="yellow"/>
        </w:rPr>
      </w:pPr>
      <w:r w:rsidRPr="008610C7">
        <w:rPr>
          <w:rFonts w:asciiTheme="minorHAnsi" w:eastAsia="Times" w:hAnsiTheme="minorHAnsi" w:cs="Arial"/>
          <w:i/>
          <w:iCs/>
          <w:color w:val="000000" w:themeColor="text1"/>
          <w:sz w:val="20"/>
          <w:highlight w:val="yellow"/>
        </w:rPr>
        <w:t xml:space="preserve">Consideration of </w:t>
      </w:r>
      <w:r w:rsidR="001A60B6" w:rsidRPr="008610C7">
        <w:rPr>
          <w:rFonts w:asciiTheme="minorHAnsi" w:eastAsia="Times" w:hAnsiTheme="minorHAnsi" w:cs="Arial"/>
          <w:i/>
          <w:iCs/>
          <w:color w:val="000000" w:themeColor="text1"/>
          <w:sz w:val="20"/>
          <w:highlight w:val="yellow"/>
        </w:rPr>
        <w:t xml:space="preserve">other forms of </w:t>
      </w:r>
      <w:r w:rsidR="000918A8" w:rsidRPr="008610C7">
        <w:rPr>
          <w:rFonts w:asciiTheme="minorHAnsi" w:eastAsia="Times" w:hAnsiTheme="minorHAnsi" w:cs="Arial"/>
          <w:i/>
          <w:iCs/>
          <w:color w:val="000000" w:themeColor="text1"/>
          <w:sz w:val="20"/>
          <w:highlight w:val="yellow"/>
        </w:rPr>
        <w:t>longer-term</w:t>
      </w:r>
      <w:r w:rsidR="001A60B6" w:rsidRPr="008610C7">
        <w:rPr>
          <w:rFonts w:asciiTheme="minorHAnsi" w:eastAsia="Times" w:hAnsiTheme="minorHAnsi" w:cs="Arial"/>
          <w:i/>
          <w:iCs/>
          <w:color w:val="000000" w:themeColor="text1"/>
          <w:sz w:val="20"/>
          <w:highlight w:val="yellow"/>
        </w:rPr>
        <w:t xml:space="preserve"> investment such as acquisition or establishment of commercial </w:t>
      </w:r>
      <w:r w:rsidR="00A10237" w:rsidRPr="008610C7">
        <w:rPr>
          <w:rFonts w:asciiTheme="minorHAnsi" w:eastAsia="Times" w:hAnsiTheme="minorHAnsi" w:cs="Arial"/>
          <w:i/>
          <w:iCs/>
          <w:color w:val="000000" w:themeColor="text1"/>
          <w:sz w:val="20"/>
          <w:highlight w:val="yellow"/>
        </w:rPr>
        <w:t>entities and enterprises and associated assets.</w:t>
      </w:r>
    </w:p>
    <w:p w14:paraId="17A322DC" w14:textId="6E315116" w:rsidR="001F182D" w:rsidRPr="00D410BE" w:rsidRDefault="00A10237" w:rsidP="000E47F8">
      <w:r w:rsidRPr="008610C7">
        <w:rPr>
          <w:highlight w:val="yellow"/>
        </w:rPr>
        <w:t xml:space="preserve">Councils </w:t>
      </w:r>
      <w:proofErr w:type="gramStart"/>
      <w:r w:rsidRPr="008610C7">
        <w:rPr>
          <w:highlight w:val="yellow"/>
        </w:rPr>
        <w:t>should – at all times</w:t>
      </w:r>
      <w:proofErr w:type="gramEnd"/>
      <w:r w:rsidRPr="008610C7">
        <w:rPr>
          <w:highlight w:val="yellow"/>
        </w:rPr>
        <w:t xml:space="preserve"> </w:t>
      </w:r>
      <w:r w:rsidR="000918A8" w:rsidRPr="008610C7">
        <w:rPr>
          <w:highlight w:val="yellow"/>
        </w:rPr>
        <w:t>–</w:t>
      </w:r>
      <w:r w:rsidRPr="008610C7">
        <w:rPr>
          <w:highlight w:val="yellow"/>
        </w:rPr>
        <w:t xml:space="preserve"> </w:t>
      </w:r>
      <w:r w:rsidR="000918A8" w:rsidRPr="008610C7">
        <w:rPr>
          <w:highlight w:val="yellow"/>
        </w:rPr>
        <w:t>ensure an investment strategy aligns</w:t>
      </w:r>
      <w:r w:rsidR="00B00FA9" w:rsidRPr="008610C7">
        <w:rPr>
          <w:highlight w:val="yellow"/>
        </w:rPr>
        <w:t xml:space="preserve"> and supports the goals set out in their </w:t>
      </w:r>
      <w:r w:rsidR="000918A8" w:rsidRPr="008610C7">
        <w:rPr>
          <w:highlight w:val="yellow"/>
        </w:rPr>
        <w:t>Council Plan and Community Vision.</w:t>
      </w:r>
    </w:p>
    <w:p w14:paraId="05E07385" w14:textId="77777777" w:rsidR="00062808" w:rsidRDefault="00062808" w:rsidP="00062808">
      <w:pPr>
        <w:widowControl w:val="0"/>
        <w:autoSpaceDE w:val="0"/>
        <w:autoSpaceDN w:val="0"/>
        <w:adjustRightInd w:val="0"/>
        <w:spacing w:line="288" w:lineRule="auto"/>
        <w:jc w:val="both"/>
        <w:textAlignment w:val="center"/>
        <w:rPr>
          <w:rFonts w:asciiTheme="majorHAnsi" w:eastAsia="Cambria" w:hAnsiTheme="majorHAnsi" w:cstheme="majorHAnsi"/>
          <w:szCs w:val="22"/>
        </w:rPr>
      </w:pPr>
      <w:bookmarkStart w:id="42" w:name="_Toc472421927"/>
      <w:bookmarkStart w:id="43" w:name="_Toc27478391"/>
      <w:bookmarkStart w:id="44" w:name="_Toc31200512"/>
      <w:bookmarkStart w:id="45" w:name="_Toc31630495"/>
      <w:bookmarkStart w:id="46" w:name="_Toc31630549"/>
      <w:bookmarkStart w:id="47" w:name="_Toc31631066"/>
      <w:bookmarkStart w:id="48" w:name="_Toc31631131"/>
      <w:bookmarkStart w:id="49" w:name="_Toc31631514"/>
      <w:bookmarkStart w:id="50" w:name="_Toc122089146"/>
      <w:bookmarkEnd w:id="9"/>
      <w:bookmarkEnd w:id="10"/>
      <w:bookmarkEnd w:id="11"/>
    </w:p>
    <w:p w14:paraId="7445BC98" w14:textId="63DE687C" w:rsidR="00062808" w:rsidRDefault="00062808" w:rsidP="00BE28AD">
      <w:pPr>
        <w:pStyle w:val="Heading2"/>
        <w:spacing w:after="0"/>
        <w:ind w:left="578" w:hanging="578"/>
        <w:rPr>
          <w:rFonts w:eastAsia="Cambria"/>
        </w:rPr>
      </w:pPr>
    </w:p>
    <w:p w14:paraId="665B4AF7" w14:textId="5757D17A" w:rsidR="003F3796" w:rsidRDefault="003F3796">
      <w:pPr>
        <w:snapToGrid/>
        <w:spacing w:after="0" w:line="240" w:lineRule="auto"/>
      </w:pPr>
      <w:r>
        <w:br w:type="page"/>
      </w:r>
    </w:p>
    <w:p w14:paraId="69D6DCA4" w14:textId="3D89CC66" w:rsidR="003F3796" w:rsidRPr="001B7166" w:rsidRDefault="00004D19" w:rsidP="003F3796">
      <w:pPr>
        <w:pStyle w:val="Heading1"/>
        <w:rPr>
          <w:rFonts w:eastAsia="Cambria"/>
        </w:rPr>
      </w:pPr>
      <w:bookmarkStart w:id="51" w:name="_Toc472421976"/>
      <w:bookmarkStart w:id="52" w:name="_Toc27731853"/>
      <w:bookmarkStart w:id="53" w:name="_Toc31633599"/>
      <w:bookmarkStart w:id="54" w:name="_Toc33024518"/>
      <w:bookmarkStart w:id="55" w:name="_Toc122615953"/>
      <w:bookmarkStart w:id="56" w:name="_Toc189219391"/>
      <w:r>
        <w:rPr>
          <w:rFonts w:eastAsia="Cambria"/>
        </w:rPr>
        <w:lastRenderedPageBreak/>
        <w:t>R</w:t>
      </w:r>
      <w:r w:rsidR="003F3796" w:rsidRPr="001B7166">
        <w:rPr>
          <w:rFonts w:eastAsia="Cambria"/>
        </w:rPr>
        <w:t>eferences</w:t>
      </w:r>
      <w:bookmarkEnd w:id="51"/>
      <w:bookmarkEnd w:id="52"/>
      <w:bookmarkEnd w:id="53"/>
      <w:bookmarkEnd w:id="54"/>
      <w:bookmarkEnd w:id="55"/>
      <w:bookmarkEnd w:id="56"/>
    </w:p>
    <w:p w14:paraId="72DB646E" w14:textId="42B4D4A9"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sidR="00166BDE">
        <w:rPr>
          <w:rFonts w:eastAsia="Cambria" w:cstheme="minorHAnsi"/>
          <w:color w:val="auto"/>
          <w:sz w:val="20"/>
        </w:rPr>
        <w:t>Government Services</w:t>
      </w:r>
      <w:r w:rsidRPr="002104D7">
        <w:rPr>
          <w:rFonts w:eastAsia="Cambria" w:cstheme="minorHAnsi"/>
          <w:color w:val="auto"/>
          <w:sz w:val="20"/>
        </w:rPr>
        <w:t xml:space="preserve"> (20</w:t>
      </w:r>
      <w:r>
        <w:rPr>
          <w:rFonts w:eastAsia="Cambria" w:cstheme="minorHAnsi"/>
          <w:color w:val="auto"/>
          <w:sz w:val="20"/>
        </w:rPr>
        <w:t>2</w:t>
      </w:r>
      <w:r w:rsidR="00940A17">
        <w:rPr>
          <w:rFonts w:eastAsia="Cambria" w:cstheme="minorHAnsi"/>
          <w:color w:val="auto"/>
          <w:sz w:val="20"/>
        </w:rPr>
        <w:t>4</w:t>
      </w:r>
      <w:r w:rsidRPr="002104D7">
        <w:rPr>
          <w:rFonts w:eastAsia="Cambria" w:cstheme="minorHAnsi"/>
          <w:color w:val="auto"/>
          <w:sz w:val="20"/>
        </w:rPr>
        <w:t xml:space="preserve">), </w:t>
      </w:r>
      <w:r w:rsidRPr="002104D7">
        <w:rPr>
          <w:rFonts w:eastAsia="Cambria" w:cstheme="minorHAnsi"/>
          <w:i/>
          <w:iCs/>
          <w:color w:val="auto"/>
          <w:sz w:val="20"/>
        </w:rPr>
        <w:t>Local Government Model Financial Report</w:t>
      </w:r>
      <w:r w:rsidRPr="002104D7">
        <w:rPr>
          <w:rFonts w:eastAsia="Cambria" w:cstheme="minorHAnsi"/>
          <w:color w:val="auto"/>
          <w:sz w:val="20"/>
        </w:rPr>
        <w:t xml:space="preserve">, State of Victoria </w:t>
      </w:r>
      <w:bookmarkStart w:id="57" w:name="_Hlk95768974"/>
    </w:p>
    <w:p w14:paraId="65A8BC88" w14:textId="77777777" w:rsidR="003F3796" w:rsidRPr="002104D7" w:rsidRDefault="003F3796" w:rsidP="00602492">
      <w:pPr>
        <w:widowControl w:val="0"/>
        <w:autoSpaceDE w:val="0"/>
        <w:autoSpaceDN w:val="0"/>
        <w:adjustRightInd w:val="0"/>
        <w:spacing w:line="240" w:lineRule="auto"/>
        <w:ind w:left="68"/>
        <w:jc w:val="both"/>
        <w:textAlignment w:val="center"/>
        <w:rPr>
          <w:rFonts w:eastAsia="Cambria" w:cstheme="minorHAnsi"/>
          <w:color w:val="auto"/>
          <w:sz w:val="20"/>
        </w:rPr>
      </w:pPr>
      <w:hyperlink r:id="rId17" w:history="1">
        <w:r w:rsidRPr="00884DFC">
          <w:rPr>
            <w:rStyle w:val="Hyperlink"/>
            <w:rFonts w:eastAsia="Cambria" w:cstheme="minorHAnsi"/>
            <w:sz w:val="20"/>
          </w:rPr>
          <w:t>https://www.localgovernment.vic.gov.au/strengthening-councils/sector-guidance-planning-and-reporting</w:t>
        </w:r>
      </w:hyperlink>
      <w:bookmarkEnd w:id="57"/>
    </w:p>
    <w:p w14:paraId="15558EE4" w14:textId="471DBA2E"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sidR="00166BDE">
        <w:rPr>
          <w:rFonts w:eastAsia="Cambria" w:cstheme="minorHAnsi"/>
          <w:color w:val="auto"/>
          <w:sz w:val="20"/>
        </w:rPr>
        <w:t>Government Services</w:t>
      </w:r>
      <w:r w:rsidRPr="002104D7">
        <w:rPr>
          <w:rFonts w:eastAsia="Cambria" w:cstheme="minorHAnsi"/>
          <w:color w:val="auto"/>
          <w:sz w:val="20"/>
        </w:rPr>
        <w:t xml:space="preserve"> (20</w:t>
      </w:r>
      <w:r>
        <w:rPr>
          <w:rFonts w:eastAsia="Cambria" w:cstheme="minorHAnsi"/>
          <w:color w:val="auto"/>
          <w:sz w:val="20"/>
        </w:rPr>
        <w:t>2</w:t>
      </w:r>
      <w:r w:rsidR="004A7E38">
        <w:rPr>
          <w:rFonts w:eastAsia="Cambria" w:cstheme="minorHAnsi"/>
          <w:color w:val="auto"/>
          <w:sz w:val="20"/>
        </w:rPr>
        <w:t>4</w:t>
      </w:r>
      <w:r w:rsidRPr="002104D7">
        <w:rPr>
          <w:rFonts w:eastAsia="Cambria" w:cstheme="minorHAnsi"/>
          <w:color w:val="auto"/>
          <w:sz w:val="20"/>
        </w:rPr>
        <w:t xml:space="preserve">), </w:t>
      </w:r>
      <w:r w:rsidR="004A7E38" w:rsidRPr="004A7E38">
        <w:rPr>
          <w:rFonts w:eastAsia="Cambria" w:cstheme="minorHAnsi"/>
          <w:i/>
          <w:iCs/>
          <w:color w:val="auto"/>
          <w:sz w:val="20"/>
        </w:rPr>
        <w:t>Preparing Council’s Annual Report 2023-24</w:t>
      </w:r>
      <w:r w:rsidRPr="002104D7">
        <w:rPr>
          <w:rFonts w:eastAsia="Cambria" w:cstheme="minorHAnsi"/>
          <w:color w:val="auto"/>
          <w:sz w:val="20"/>
        </w:rPr>
        <w:t xml:space="preserve">, State of Victoria </w:t>
      </w:r>
    </w:p>
    <w:p w14:paraId="0E57805F" w14:textId="77777777" w:rsidR="003F3796" w:rsidRPr="002104D7" w:rsidRDefault="003F3796" w:rsidP="00602492">
      <w:pPr>
        <w:widowControl w:val="0"/>
        <w:autoSpaceDE w:val="0"/>
        <w:autoSpaceDN w:val="0"/>
        <w:adjustRightInd w:val="0"/>
        <w:spacing w:line="240" w:lineRule="auto"/>
        <w:ind w:left="68"/>
        <w:jc w:val="both"/>
        <w:textAlignment w:val="center"/>
        <w:rPr>
          <w:rFonts w:eastAsia="Cambria" w:cstheme="minorHAnsi"/>
          <w:color w:val="auto"/>
          <w:sz w:val="20"/>
        </w:rPr>
      </w:pPr>
      <w:hyperlink r:id="rId18" w:history="1">
        <w:r w:rsidRPr="00884DFC">
          <w:rPr>
            <w:rStyle w:val="Hyperlink"/>
            <w:rFonts w:eastAsia="Cambria" w:cstheme="minorHAnsi"/>
            <w:sz w:val="20"/>
          </w:rPr>
          <w:t>https://www.localgovernment.vic.gov.au/strengthening-councils/sector-guidance-planning-and-reporting</w:t>
        </w:r>
      </w:hyperlink>
    </w:p>
    <w:p w14:paraId="4DE47130" w14:textId="48258D8F"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sidR="00817648">
        <w:rPr>
          <w:rFonts w:eastAsia="Cambria" w:cstheme="minorHAnsi"/>
          <w:color w:val="auto"/>
          <w:sz w:val="20"/>
        </w:rPr>
        <w:t>Government Services</w:t>
      </w:r>
      <w:r w:rsidRPr="002104D7">
        <w:rPr>
          <w:rFonts w:eastAsia="Cambria" w:cstheme="minorHAnsi"/>
          <w:color w:val="auto"/>
          <w:sz w:val="20"/>
        </w:rPr>
        <w:t xml:space="preserve"> (20</w:t>
      </w:r>
      <w:r>
        <w:rPr>
          <w:rFonts w:eastAsia="Cambria" w:cstheme="minorHAnsi"/>
          <w:color w:val="auto"/>
          <w:sz w:val="20"/>
        </w:rPr>
        <w:t>2</w:t>
      </w:r>
      <w:r w:rsidR="004A7E38">
        <w:rPr>
          <w:rFonts w:eastAsia="Cambria" w:cstheme="minorHAnsi"/>
          <w:color w:val="auto"/>
          <w:sz w:val="20"/>
        </w:rPr>
        <w:t>4</w:t>
      </w:r>
      <w:r w:rsidRPr="002104D7">
        <w:rPr>
          <w:rFonts w:eastAsia="Cambria" w:cstheme="minorHAnsi"/>
          <w:color w:val="auto"/>
          <w:sz w:val="20"/>
        </w:rPr>
        <w:t xml:space="preserve">), </w:t>
      </w:r>
      <w:r w:rsidR="00686570">
        <w:rPr>
          <w:rFonts w:eastAsia="Cambria" w:cstheme="minorHAnsi"/>
          <w:color w:val="auto"/>
          <w:sz w:val="20"/>
        </w:rPr>
        <w:t xml:space="preserve">Model Performance Statement </w:t>
      </w:r>
      <w:r>
        <w:rPr>
          <w:rFonts w:eastAsia="Cambria" w:cstheme="minorHAnsi"/>
          <w:i/>
          <w:iCs/>
          <w:color w:val="auto"/>
          <w:sz w:val="20"/>
        </w:rPr>
        <w:t>Better Practice Guide 202</w:t>
      </w:r>
      <w:r w:rsidR="0019311C">
        <w:rPr>
          <w:rFonts w:eastAsia="Cambria" w:cstheme="minorHAnsi"/>
          <w:i/>
          <w:iCs/>
          <w:color w:val="auto"/>
          <w:sz w:val="20"/>
        </w:rPr>
        <w:t>3</w:t>
      </w:r>
      <w:r>
        <w:rPr>
          <w:rFonts w:eastAsia="Cambria" w:cstheme="minorHAnsi"/>
          <w:i/>
          <w:iCs/>
          <w:color w:val="auto"/>
          <w:sz w:val="20"/>
        </w:rPr>
        <w:t>-2</w:t>
      </w:r>
      <w:r w:rsidR="0019311C">
        <w:rPr>
          <w:rFonts w:eastAsia="Cambria" w:cstheme="minorHAnsi"/>
          <w:i/>
          <w:iCs/>
          <w:color w:val="auto"/>
          <w:sz w:val="20"/>
        </w:rPr>
        <w:t>4</w:t>
      </w:r>
      <w:r w:rsidRPr="002104D7">
        <w:rPr>
          <w:rFonts w:eastAsia="Cambria" w:cstheme="minorHAnsi"/>
          <w:color w:val="auto"/>
          <w:sz w:val="20"/>
        </w:rPr>
        <w:t>, State of Victoria</w:t>
      </w:r>
      <w:r>
        <w:rPr>
          <w:rFonts w:eastAsia="Cambria" w:cstheme="minorHAnsi"/>
          <w:color w:val="auto"/>
          <w:sz w:val="20"/>
        </w:rPr>
        <w:t xml:space="preserve"> </w:t>
      </w:r>
    </w:p>
    <w:p w14:paraId="4FD70C83" w14:textId="77777777" w:rsidR="003F3796" w:rsidRPr="00602492" w:rsidRDefault="003F3796" w:rsidP="00602492">
      <w:pPr>
        <w:widowControl w:val="0"/>
        <w:autoSpaceDE w:val="0"/>
        <w:autoSpaceDN w:val="0"/>
        <w:adjustRightInd w:val="0"/>
        <w:spacing w:before="120" w:line="240" w:lineRule="auto"/>
        <w:ind w:left="68"/>
        <w:jc w:val="both"/>
        <w:textAlignment w:val="center"/>
        <w:rPr>
          <w:rFonts w:eastAsia="Cambria" w:cstheme="minorHAnsi"/>
          <w:color w:val="auto"/>
          <w:sz w:val="20"/>
          <w:szCs w:val="20"/>
        </w:rPr>
      </w:pPr>
      <w:hyperlink r:id="rId19" w:history="1">
        <w:r w:rsidRPr="00602492">
          <w:rPr>
            <w:rStyle w:val="Hyperlink"/>
            <w:rFonts w:eastAsia="Cambria" w:cstheme="minorHAnsi"/>
            <w:sz w:val="20"/>
            <w:szCs w:val="20"/>
          </w:rPr>
          <w:t>https://www.localgovernment.vic.gov.au/strengthening-councils/sector-guidance-planning-and-reporting</w:t>
        </w:r>
      </w:hyperlink>
    </w:p>
    <w:p w14:paraId="5F0C16CD" w14:textId="77777777" w:rsidR="003F3796" w:rsidRPr="003F3796" w:rsidRDefault="003F3796" w:rsidP="003F3796"/>
    <w:bookmarkEnd w:id="42"/>
    <w:bookmarkEnd w:id="43"/>
    <w:bookmarkEnd w:id="44"/>
    <w:bookmarkEnd w:id="45"/>
    <w:bookmarkEnd w:id="46"/>
    <w:bookmarkEnd w:id="47"/>
    <w:bookmarkEnd w:id="48"/>
    <w:bookmarkEnd w:id="49"/>
    <w:bookmarkEnd w:id="50"/>
    <w:p w14:paraId="4D44D53F" w14:textId="77777777" w:rsidR="00062808" w:rsidRDefault="00062808" w:rsidP="00BE28AD">
      <w:pPr>
        <w:pStyle w:val="Heading2"/>
        <w:spacing w:after="0"/>
        <w:ind w:left="578" w:hanging="578"/>
        <w:rPr>
          <w:rFonts w:eastAsia="Cambria"/>
        </w:rPr>
      </w:pPr>
    </w:p>
    <w:sectPr w:rsidR="00062808"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70375" w14:textId="77777777" w:rsidR="00BC7FD7" w:rsidRDefault="00BC7FD7" w:rsidP="002F6A6E">
      <w:r>
        <w:separator/>
      </w:r>
    </w:p>
    <w:p w14:paraId="04DC462C" w14:textId="77777777" w:rsidR="00BC7FD7" w:rsidRDefault="00BC7FD7"/>
    <w:p w14:paraId="117CAEF9" w14:textId="77777777" w:rsidR="00BC7FD7" w:rsidRDefault="00BC7FD7"/>
  </w:endnote>
  <w:endnote w:type="continuationSeparator" w:id="0">
    <w:p w14:paraId="04365FD5" w14:textId="77777777" w:rsidR="00BC7FD7" w:rsidRDefault="00BC7FD7" w:rsidP="002F6A6E">
      <w:r>
        <w:continuationSeparator/>
      </w:r>
    </w:p>
    <w:p w14:paraId="35072E98" w14:textId="77777777" w:rsidR="00BC7FD7" w:rsidRDefault="00BC7FD7"/>
    <w:p w14:paraId="6F934A3E" w14:textId="77777777" w:rsidR="00BC7FD7" w:rsidRDefault="00BC7FD7"/>
  </w:endnote>
  <w:endnote w:type="continuationNotice" w:id="1">
    <w:p w14:paraId="4DF23F6C" w14:textId="77777777" w:rsidR="00BC7FD7" w:rsidRDefault="00BC7F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ourier New"/>
    <w:charset w:val="00"/>
    <w:family w:val="auto"/>
    <w:pitch w:val="variable"/>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F922D3"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29A321C6" w:rsidR="00F922D3" w:rsidRPr="00157BA8" w:rsidRDefault="001603D1" w:rsidP="000F18C6">
    <w:pPr>
      <w:pStyle w:val="Heading9"/>
      <w:ind w:right="1127"/>
    </w:pPr>
    <w:r>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fldSimple w:instr=" TITLE  \* MERGEFORMAT ">
      <w:r w:rsidR="00587919">
        <w:t>Local Government Model Financial Plan 2025/26 - Better Practice Guide</w:t>
      </w:r>
    </w:fldSimple>
    <w:bookmarkEnd w:id="0"/>
    <w:r w:rsidR="005A6919" w:rsidRPr="00157BA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EA971" w14:textId="77777777" w:rsidR="00BC7FD7" w:rsidRDefault="00BC7FD7" w:rsidP="002F6A6E">
      <w:r>
        <w:separator/>
      </w:r>
    </w:p>
    <w:p w14:paraId="5A671CF4" w14:textId="77777777" w:rsidR="00BC7FD7" w:rsidRDefault="00BC7FD7"/>
    <w:p w14:paraId="40CEB2BA" w14:textId="77777777" w:rsidR="00BC7FD7" w:rsidRDefault="00BC7FD7"/>
  </w:footnote>
  <w:footnote w:type="continuationSeparator" w:id="0">
    <w:p w14:paraId="4F98733A" w14:textId="77777777" w:rsidR="00BC7FD7" w:rsidRDefault="00BC7FD7" w:rsidP="002F6A6E">
      <w:r>
        <w:continuationSeparator/>
      </w:r>
    </w:p>
    <w:p w14:paraId="26896073" w14:textId="77777777" w:rsidR="00BC7FD7" w:rsidRDefault="00BC7FD7"/>
    <w:p w14:paraId="7F45D039" w14:textId="77777777" w:rsidR="00BC7FD7" w:rsidRDefault="00BC7FD7"/>
  </w:footnote>
  <w:footnote w:type="continuationNotice" w:id="1">
    <w:p w14:paraId="4DB9A490" w14:textId="77777777" w:rsidR="00BC7FD7" w:rsidRDefault="00BC7FD7">
      <w:pPr>
        <w:spacing w:after="0" w:line="240" w:lineRule="auto"/>
      </w:pPr>
    </w:p>
  </w:footnote>
  <w:footnote w:id="2">
    <w:p w14:paraId="77354E8A" w14:textId="77777777" w:rsidR="00630438" w:rsidRDefault="00630438" w:rsidP="00630438">
      <w:pPr>
        <w:pStyle w:val="FootnoteText"/>
        <w:rPr>
          <w:sz w:val="16"/>
          <w:szCs w:val="16"/>
        </w:rPr>
      </w:pPr>
      <w:r>
        <w:rPr>
          <w:rStyle w:val="FootnoteReference"/>
          <w:sz w:val="16"/>
          <w:szCs w:val="16"/>
        </w:rPr>
        <w:footnoteRef/>
      </w:r>
      <w:r>
        <w:rPr>
          <w:sz w:val="16"/>
          <w:szCs w:val="16"/>
        </w:rPr>
        <w:t xml:space="preserve"> Section 89(2)(a) of the </w:t>
      </w:r>
      <w:r>
        <w:rPr>
          <w:i/>
          <w:iCs/>
          <w:sz w:val="16"/>
          <w:szCs w:val="16"/>
        </w:rPr>
        <w:t>Local Government Act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12DA738A" w:rsidR="00F922D3"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91A0" w14:textId="70E108AF" w:rsidR="008142D6" w:rsidRDefault="008142D6">
    <w:r w:rsidRPr="001C74DF">
      <w:rPr>
        <w:noProof/>
      </w:rPr>
      <w:drawing>
        <wp:anchor distT="0" distB="0" distL="114300" distR="114300" simplePos="0" relativeHeight="251660291"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0" name="Picture 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3306ED6"/>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851E58C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59ED8C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FE32AE"/>
    <w:multiLevelType w:val="hybridMultilevel"/>
    <w:tmpl w:val="002E3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8F5318"/>
    <w:multiLevelType w:val="hybridMultilevel"/>
    <w:tmpl w:val="2188A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7672ED7"/>
    <w:multiLevelType w:val="hybridMultilevel"/>
    <w:tmpl w:val="5F827F90"/>
    <w:lvl w:ilvl="0" w:tplc="42E26C94">
      <w:start w:val="1"/>
      <w:numFmt w:val="decimal"/>
      <w:pStyle w:val="GreenLightPlanNumbersList"/>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DFF2469"/>
    <w:multiLevelType w:val="hybridMultilevel"/>
    <w:tmpl w:val="93BAF3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FB2573F"/>
    <w:multiLevelType w:val="hybridMultilevel"/>
    <w:tmpl w:val="D18EE714"/>
    <w:name w:val="TableFootnotes"/>
    <w:lvl w:ilvl="0" w:tplc="B748CF88">
      <w:start w:val="1"/>
      <w:numFmt w:val="lowerLetter"/>
      <w:pStyle w:val="Footnotes"/>
      <w:lvlText w:val="%1."/>
      <w:lvlJc w:val="left"/>
      <w:pPr>
        <w:ind w:left="284" w:hanging="284"/>
      </w:pPr>
      <w:rPr>
        <w:rFonts w:hint="default"/>
        <w:spacing w:val="-10"/>
      </w:rPr>
    </w:lvl>
    <w:lvl w:ilvl="1" w:tplc="2306F4A8">
      <w:start w:val="1"/>
      <w:numFmt w:val="lowerRoman"/>
      <w:pStyle w:val="Footnotes2"/>
      <w:lvlText w:val="%2."/>
      <w:lvlJc w:val="left"/>
      <w:pPr>
        <w:tabs>
          <w:tab w:val="num" w:pos="567"/>
        </w:tabs>
        <w:ind w:left="567" w:hanging="283"/>
      </w:pPr>
      <w:rPr>
        <w:rFonts w:hint="default"/>
        <w:spacing w:val="0"/>
        <w:w w:val="100"/>
        <w:kern w:val="0"/>
        <w:position w:val="0"/>
      </w:rPr>
    </w:lvl>
    <w:lvl w:ilvl="2" w:tplc="80BAF970">
      <w:start w:val="1"/>
      <w:numFmt w:val="none"/>
      <w:lvlRestart w:val="1"/>
      <w:lvlText w:val=""/>
      <w:lvlJc w:val="left"/>
      <w:pPr>
        <w:tabs>
          <w:tab w:val="num" w:pos="0"/>
        </w:tabs>
        <w:ind w:left="0" w:firstLine="0"/>
      </w:pPr>
      <w:rPr>
        <w:rFonts w:hint="default"/>
        <w:color w:val="auto"/>
        <w:spacing w:val="-4"/>
      </w:rPr>
    </w:lvl>
    <w:lvl w:ilvl="3" w:tplc="BECAF1E6">
      <w:start w:val="1"/>
      <w:numFmt w:val="none"/>
      <w:lvlText w:val=""/>
      <w:lvlJc w:val="left"/>
      <w:pPr>
        <w:tabs>
          <w:tab w:val="num" w:pos="0"/>
        </w:tabs>
        <w:ind w:left="0" w:hanging="5670"/>
      </w:pPr>
      <w:rPr>
        <w:rFonts w:hint="default"/>
        <w:spacing w:val="-10"/>
        <w:w w:val="100"/>
      </w:rPr>
    </w:lvl>
    <w:lvl w:ilvl="4" w:tplc="B994051E">
      <w:start w:val="1"/>
      <w:numFmt w:val="none"/>
      <w:lvlText w:val=""/>
      <w:lvlJc w:val="left"/>
      <w:pPr>
        <w:tabs>
          <w:tab w:val="num" w:pos="0"/>
        </w:tabs>
        <w:ind w:left="0" w:firstLine="0"/>
      </w:pPr>
      <w:rPr>
        <w:rFonts w:hint="default"/>
      </w:rPr>
    </w:lvl>
    <w:lvl w:ilvl="5" w:tplc="9BBC0FF8">
      <w:start w:val="1"/>
      <w:numFmt w:val="none"/>
      <w:lvlText w:val=""/>
      <w:lvlJc w:val="left"/>
      <w:pPr>
        <w:tabs>
          <w:tab w:val="num" w:pos="0"/>
        </w:tabs>
        <w:ind w:left="0" w:firstLine="0"/>
      </w:pPr>
      <w:rPr>
        <w:rFonts w:hint="default"/>
      </w:rPr>
    </w:lvl>
    <w:lvl w:ilvl="6" w:tplc="17961E14">
      <w:start w:val="1"/>
      <w:numFmt w:val="none"/>
      <w:lvlRestart w:val="1"/>
      <w:lvlText w:val="%7"/>
      <w:lvlJc w:val="left"/>
      <w:pPr>
        <w:tabs>
          <w:tab w:val="num" w:pos="0"/>
        </w:tabs>
        <w:ind w:left="0" w:firstLine="0"/>
      </w:pPr>
      <w:rPr>
        <w:rFonts w:hint="default"/>
      </w:rPr>
    </w:lvl>
    <w:lvl w:ilvl="7" w:tplc="34FE4D64">
      <w:start w:val="1"/>
      <w:numFmt w:val="none"/>
      <w:lvlText w:val="%8."/>
      <w:lvlJc w:val="left"/>
      <w:pPr>
        <w:tabs>
          <w:tab w:val="num" w:pos="0"/>
        </w:tabs>
        <w:ind w:left="0" w:firstLine="0"/>
      </w:pPr>
      <w:rPr>
        <w:rFonts w:hint="default"/>
        <w:position w:val="0"/>
      </w:rPr>
    </w:lvl>
    <w:lvl w:ilvl="8" w:tplc="699AC96E">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23F2D76"/>
    <w:multiLevelType w:val="hybridMultilevel"/>
    <w:tmpl w:val="8A8EEC42"/>
    <w:lvl w:ilvl="0" w:tplc="0C090017">
      <w:start w:val="1"/>
      <w:numFmt w:val="lowerLetter"/>
      <w:lvlText w:val="%1)"/>
      <w:lvlJc w:val="left"/>
      <w:pPr>
        <w:ind w:left="740" w:hanging="38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16904BE8"/>
    <w:multiLevelType w:val="hybridMultilevel"/>
    <w:tmpl w:val="943A0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C273C97"/>
    <w:multiLevelType w:val="hybridMultilevel"/>
    <w:tmpl w:val="49F00292"/>
    <w:name w:val="DEPIListNumbering2"/>
    <w:lvl w:ilvl="0" w:tplc="0C090017">
      <w:start w:val="1"/>
      <w:numFmt w:val="lowerLetter"/>
      <w:lvlText w:val="%1)"/>
      <w:lvlJc w:val="left"/>
      <w:pPr>
        <w:ind w:left="1012" w:hanging="360"/>
      </w:pPr>
    </w:lvl>
    <w:lvl w:ilvl="1" w:tplc="0C090019">
      <w:start w:val="1"/>
      <w:numFmt w:val="lowerLetter"/>
      <w:lvlText w:val="%2."/>
      <w:lvlJc w:val="left"/>
      <w:pPr>
        <w:ind w:left="1732" w:hanging="360"/>
      </w:pPr>
    </w:lvl>
    <w:lvl w:ilvl="2" w:tplc="0C09001B">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15" w15:restartNumberingAfterBreak="0">
    <w:nsid w:val="1E6E2349"/>
    <w:multiLevelType w:val="hybridMultilevel"/>
    <w:tmpl w:val="22D6E52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1F275C51"/>
    <w:multiLevelType w:val="hybridMultilevel"/>
    <w:tmpl w:val="14E88F38"/>
    <w:name w:val="DEPIListAlpha"/>
    <w:lvl w:ilvl="0" w:tplc="5FD2697A">
      <w:start w:val="1"/>
      <w:numFmt w:val="lowerLetter"/>
      <w:pStyle w:val="ListAlpha"/>
      <w:lvlText w:val="%1."/>
      <w:lvlJc w:val="left"/>
      <w:pPr>
        <w:ind w:left="340" w:hanging="340"/>
      </w:pPr>
      <w:rPr>
        <w:rFonts w:hint="default"/>
      </w:rPr>
    </w:lvl>
    <w:lvl w:ilvl="1" w:tplc="FF24C20C">
      <w:start w:val="1"/>
      <w:numFmt w:val="lowerRoman"/>
      <w:pStyle w:val="ListAlpha2"/>
      <w:lvlText w:val="%2."/>
      <w:lvlJc w:val="left"/>
      <w:pPr>
        <w:ind w:left="709" w:hanging="369"/>
      </w:pPr>
      <w:rPr>
        <w:rFonts w:hint="default"/>
      </w:rPr>
    </w:lvl>
    <w:lvl w:ilvl="2" w:tplc="FFBEC218">
      <w:start w:val="1"/>
      <w:numFmt w:val="bullet"/>
      <w:pStyle w:val="ListAlpha3"/>
      <w:lvlText w:val="–"/>
      <w:lvlJc w:val="left"/>
      <w:pPr>
        <w:ind w:left="1049" w:hanging="340"/>
      </w:pPr>
      <w:rPr>
        <w:rFonts w:ascii="Arial" w:hAnsi="Arial" w:hint="default"/>
        <w:color w:val="auto"/>
      </w:rPr>
    </w:lvl>
    <w:lvl w:ilvl="3" w:tplc="B97E8590">
      <w:start w:val="1"/>
      <w:numFmt w:val="decimal"/>
      <w:lvlText w:val="%4."/>
      <w:lvlJc w:val="left"/>
      <w:pPr>
        <w:ind w:left="1816" w:hanging="454"/>
      </w:pPr>
      <w:rPr>
        <w:rFonts w:hint="default"/>
      </w:rPr>
    </w:lvl>
    <w:lvl w:ilvl="4" w:tplc="4450338E">
      <w:start w:val="1"/>
      <w:numFmt w:val="lowerLetter"/>
      <w:lvlText w:val="%5."/>
      <w:lvlJc w:val="left"/>
      <w:pPr>
        <w:ind w:left="2270" w:hanging="454"/>
      </w:pPr>
      <w:rPr>
        <w:rFonts w:hint="default"/>
      </w:rPr>
    </w:lvl>
    <w:lvl w:ilvl="5" w:tplc="2F901644">
      <w:start w:val="1"/>
      <w:numFmt w:val="lowerRoman"/>
      <w:lvlText w:val="%6."/>
      <w:lvlJc w:val="right"/>
      <w:pPr>
        <w:ind w:left="2724" w:hanging="454"/>
      </w:pPr>
      <w:rPr>
        <w:rFonts w:hint="default"/>
      </w:rPr>
    </w:lvl>
    <w:lvl w:ilvl="6" w:tplc="B7026324">
      <w:start w:val="1"/>
      <w:numFmt w:val="decimal"/>
      <w:lvlText w:val="%7."/>
      <w:lvlJc w:val="left"/>
      <w:pPr>
        <w:ind w:left="3178" w:hanging="454"/>
      </w:pPr>
      <w:rPr>
        <w:rFonts w:hint="default"/>
      </w:rPr>
    </w:lvl>
    <w:lvl w:ilvl="7" w:tplc="EB3E4198">
      <w:start w:val="1"/>
      <w:numFmt w:val="lowerLetter"/>
      <w:lvlText w:val="%8."/>
      <w:lvlJc w:val="left"/>
      <w:pPr>
        <w:ind w:left="3632" w:hanging="454"/>
      </w:pPr>
      <w:rPr>
        <w:rFonts w:hint="default"/>
      </w:rPr>
    </w:lvl>
    <w:lvl w:ilvl="8" w:tplc="C576B250">
      <w:start w:val="1"/>
      <w:numFmt w:val="lowerRoman"/>
      <w:lvlText w:val="%9."/>
      <w:lvlJc w:val="right"/>
      <w:pPr>
        <w:ind w:left="4086" w:hanging="454"/>
      </w:pPr>
      <w:rPr>
        <w:rFonts w:hint="default"/>
      </w:rPr>
    </w:lvl>
  </w:abstractNum>
  <w:abstractNum w:abstractNumId="17" w15:restartNumberingAfterBreak="0">
    <w:nsid w:val="22A31265"/>
    <w:multiLevelType w:val="hybridMultilevel"/>
    <w:tmpl w:val="ABF2F7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C72580B"/>
    <w:multiLevelType w:val="hybridMultilevel"/>
    <w:tmpl w:val="151AC338"/>
    <w:name w:val="PullOutBoxNumbering"/>
    <w:lvl w:ilvl="0" w:tplc="2C169A5A">
      <w:start w:val="1"/>
      <w:numFmt w:val="decimal"/>
      <w:pStyle w:val="PullOutBoxNumbered"/>
      <w:lvlText w:val="%1."/>
      <w:lvlJc w:val="left"/>
      <w:pPr>
        <w:tabs>
          <w:tab w:val="num" w:pos="482"/>
        </w:tabs>
        <w:ind w:left="482" w:hanging="340"/>
      </w:pPr>
      <w:rPr>
        <w:rFonts w:hint="default"/>
      </w:rPr>
    </w:lvl>
    <w:lvl w:ilvl="1" w:tplc="1F704F84">
      <w:start w:val="1"/>
      <w:numFmt w:val="lowerLetter"/>
      <w:pStyle w:val="PullOutBoxNumbered2"/>
      <w:lvlText w:val="%2."/>
      <w:lvlJc w:val="left"/>
      <w:pPr>
        <w:tabs>
          <w:tab w:val="num" w:pos="822"/>
        </w:tabs>
        <w:ind w:left="822" w:hanging="340"/>
      </w:pPr>
      <w:rPr>
        <w:rFonts w:hint="default"/>
        <w:color w:val="000000" w:themeColor="text1"/>
      </w:rPr>
    </w:lvl>
    <w:lvl w:ilvl="2" w:tplc="D7C2BD34">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tplc="27DEEBCE">
      <w:start w:val="1"/>
      <w:numFmt w:val="none"/>
      <w:lvlText w:val=""/>
      <w:lvlJc w:val="left"/>
      <w:pPr>
        <w:ind w:left="1440" w:hanging="360"/>
      </w:pPr>
      <w:rPr>
        <w:rFonts w:hint="default"/>
      </w:rPr>
    </w:lvl>
    <w:lvl w:ilvl="4" w:tplc="C48265DA">
      <w:start w:val="1"/>
      <w:numFmt w:val="none"/>
      <w:lvlText w:val=""/>
      <w:lvlJc w:val="left"/>
      <w:pPr>
        <w:ind w:left="1800" w:hanging="360"/>
      </w:pPr>
      <w:rPr>
        <w:rFonts w:hint="default"/>
      </w:rPr>
    </w:lvl>
    <w:lvl w:ilvl="5" w:tplc="BB203196">
      <w:start w:val="1"/>
      <w:numFmt w:val="none"/>
      <w:lvlText w:val=""/>
      <w:lvlJc w:val="left"/>
      <w:pPr>
        <w:ind w:left="2160" w:hanging="360"/>
      </w:pPr>
      <w:rPr>
        <w:rFonts w:hint="default"/>
      </w:rPr>
    </w:lvl>
    <w:lvl w:ilvl="6" w:tplc="8F066FC2">
      <w:start w:val="1"/>
      <w:numFmt w:val="none"/>
      <w:lvlText w:val=""/>
      <w:lvlJc w:val="left"/>
      <w:pPr>
        <w:ind w:left="2520" w:hanging="360"/>
      </w:pPr>
      <w:rPr>
        <w:rFonts w:hint="default"/>
      </w:rPr>
    </w:lvl>
    <w:lvl w:ilvl="7" w:tplc="CB4A69D6">
      <w:start w:val="1"/>
      <w:numFmt w:val="none"/>
      <w:lvlText w:val=""/>
      <w:lvlJc w:val="left"/>
      <w:pPr>
        <w:ind w:left="2880" w:hanging="360"/>
      </w:pPr>
      <w:rPr>
        <w:rFonts w:hint="default"/>
      </w:rPr>
    </w:lvl>
    <w:lvl w:ilvl="8" w:tplc="9124A184">
      <w:start w:val="1"/>
      <w:numFmt w:val="none"/>
      <w:lvlText w:val=""/>
      <w:lvlJc w:val="left"/>
      <w:pPr>
        <w:ind w:left="3240" w:hanging="360"/>
      </w:pPr>
      <w:rPr>
        <w:rFonts w:hint="default"/>
      </w:rPr>
    </w:lvl>
  </w:abstractNum>
  <w:abstractNum w:abstractNumId="20" w15:restartNumberingAfterBreak="0">
    <w:nsid w:val="33DE1564"/>
    <w:multiLevelType w:val="hybridMultilevel"/>
    <w:tmpl w:val="3E9AF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8723AD4"/>
    <w:multiLevelType w:val="hybridMultilevel"/>
    <w:tmpl w:val="C3FC21F4"/>
    <w:name w:val="DEPIPullOutBoxBullets"/>
    <w:lvl w:ilvl="0" w:tplc="E07A6E1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tplc="CBDC45FE">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tplc="7660E2D0">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tplc="FD1E1D86">
      <w:start w:val="1"/>
      <w:numFmt w:val="none"/>
      <w:lvlText w:val=""/>
      <w:lvlJc w:val="left"/>
      <w:pPr>
        <w:ind w:left="0" w:firstLine="0"/>
      </w:pPr>
      <w:rPr>
        <w:rFonts w:hint="default"/>
      </w:rPr>
    </w:lvl>
    <w:lvl w:ilvl="4" w:tplc="20A6003C">
      <w:start w:val="1"/>
      <w:numFmt w:val="none"/>
      <w:lvlText w:val=""/>
      <w:lvlJc w:val="left"/>
      <w:pPr>
        <w:ind w:left="0" w:firstLine="0"/>
      </w:pPr>
      <w:rPr>
        <w:rFonts w:hint="default"/>
      </w:rPr>
    </w:lvl>
    <w:lvl w:ilvl="5" w:tplc="77B854FC">
      <w:start w:val="1"/>
      <w:numFmt w:val="none"/>
      <w:lvlText w:val=""/>
      <w:lvlJc w:val="left"/>
      <w:pPr>
        <w:ind w:left="0" w:firstLine="0"/>
      </w:pPr>
      <w:rPr>
        <w:rFonts w:hint="default"/>
      </w:rPr>
    </w:lvl>
    <w:lvl w:ilvl="6" w:tplc="D7BE2B64">
      <w:start w:val="1"/>
      <w:numFmt w:val="none"/>
      <w:lvlText w:val=""/>
      <w:lvlJc w:val="left"/>
      <w:pPr>
        <w:ind w:left="0" w:firstLine="0"/>
      </w:pPr>
      <w:rPr>
        <w:rFonts w:hint="default"/>
      </w:rPr>
    </w:lvl>
    <w:lvl w:ilvl="7" w:tplc="0AB8A8EC">
      <w:start w:val="1"/>
      <w:numFmt w:val="none"/>
      <w:lvlText w:val=""/>
      <w:lvlJc w:val="left"/>
      <w:pPr>
        <w:ind w:left="0" w:firstLine="0"/>
      </w:pPr>
      <w:rPr>
        <w:rFonts w:hint="default"/>
      </w:rPr>
    </w:lvl>
    <w:lvl w:ilvl="8" w:tplc="0E867AA2">
      <w:start w:val="1"/>
      <w:numFmt w:val="none"/>
      <w:lvlText w:val=""/>
      <w:lvlJc w:val="left"/>
      <w:pPr>
        <w:ind w:left="0" w:firstLine="0"/>
      </w:pPr>
      <w:rPr>
        <w:rFonts w:hint="default"/>
      </w:rPr>
    </w:lvl>
  </w:abstractNum>
  <w:abstractNum w:abstractNumId="22" w15:restartNumberingAfterBreak="0">
    <w:nsid w:val="39842EB1"/>
    <w:multiLevelType w:val="hybridMultilevel"/>
    <w:tmpl w:val="DDFCA0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3"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5" w15:restartNumberingAfterBreak="0">
    <w:nsid w:val="41F21788"/>
    <w:multiLevelType w:val="hybridMultilevel"/>
    <w:tmpl w:val="AEEC30DE"/>
    <w:lvl w:ilvl="0" w:tplc="8FDC8F82">
      <w:start w:val="1"/>
      <w:numFmt w:val="bullet"/>
      <w:pStyle w:val="SmallBullet"/>
      <w:lvlText w:val="•"/>
      <w:lvlJc w:val="left"/>
      <w:pPr>
        <w:ind w:left="170" w:hanging="170"/>
      </w:pPr>
      <w:rPr>
        <w:rFonts w:ascii="Arial" w:hAnsi="Arial" w:hint="default"/>
        <w:color w:val="000000" w:themeColor="text1"/>
      </w:rPr>
    </w:lvl>
    <w:lvl w:ilvl="1" w:tplc="F106F4FA">
      <w:start w:val="1"/>
      <w:numFmt w:val="bullet"/>
      <w:lvlText w:val="o"/>
      <w:lvlJc w:val="left"/>
      <w:pPr>
        <w:ind w:left="1440" w:hanging="360"/>
      </w:pPr>
      <w:rPr>
        <w:rFonts w:ascii="Courier New" w:hAnsi="Courier New" w:cs="Courier New" w:hint="default"/>
      </w:rPr>
    </w:lvl>
    <w:lvl w:ilvl="2" w:tplc="A28A3004">
      <w:start w:val="1"/>
      <w:numFmt w:val="bullet"/>
      <w:lvlText w:val=""/>
      <w:lvlJc w:val="left"/>
      <w:pPr>
        <w:ind w:left="2160" w:hanging="360"/>
      </w:pPr>
      <w:rPr>
        <w:rFonts w:ascii="Wingdings" w:hAnsi="Wingdings" w:hint="default"/>
      </w:rPr>
    </w:lvl>
    <w:lvl w:ilvl="3" w:tplc="6C16F4F6">
      <w:start w:val="1"/>
      <w:numFmt w:val="bullet"/>
      <w:lvlText w:val=""/>
      <w:lvlJc w:val="left"/>
      <w:pPr>
        <w:ind w:left="2880" w:hanging="360"/>
      </w:pPr>
      <w:rPr>
        <w:rFonts w:ascii="Symbol" w:hAnsi="Symbol" w:hint="default"/>
      </w:rPr>
    </w:lvl>
    <w:lvl w:ilvl="4" w:tplc="1D84CC42">
      <w:start w:val="1"/>
      <w:numFmt w:val="bullet"/>
      <w:lvlText w:val="o"/>
      <w:lvlJc w:val="left"/>
      <w:pPr>
        <w:ind w:left="3600" w:hanging="360"/>
      </w:pPr>
      <w:rPr>
        <w:rFonts w:ascii="Courier New" w:hAnsi="Courier New" w:cs="Courier New" w:hint="default"/>
      </w:rPr>
    </w:lvl>
    <w:lvl w:ilvl="5" w:tplc="8146E170">
      <w:start w:val="1"/>
      <w:numFmt w:val="bullet"/>
      <w:lvlText w:val=""/>
      <w:lvlJc w:val="left"/>
      <w:pPr>
        <w:ind w:left="4320" w:hanging="360"/>
      </w:pPr>
      <w:rPr>
        <w:rFonts w:ascii="Wingdings" w:hAnsi="Wingdings" w:hint="default"/>
      </w:rPr>
    </w:lvl>
    <w:lvl w:ilvl="6" w:tplc="3F309736">
      <w:start w:val="1"/>
      <w:numFmt w:val="bullet"/>
      <w:lvlText w:val=""/>
      <w:lvlJc w:val="left"/>
      <w:pPr>
        <w:ind w:left="5040" w:hanging="360"/>
      </w:pPr>
      <w:rPr>
        <w:rFonts w:ascii="Symbol" w:hAnsi="Symbol" w:hint="default"/>
      </w:rPr>
    </w:lvl>
    <w:lvl w:ilvl="7" w:tplc="62166176">
      <w:start w:val="1"/>
      <w:numFmt w:val="bullet"/>
      <w:lvlText w:val="o"/>
      <w:lvlJc w:val="left"/>
      <w:pPr>
        <w:ind w:left="5760" w:hanging="360"/>
      </w:pPr>
      <w:rPr>
        <w:rFonts w:ascii="Courier New" w:hAnsi="Courier New" w:cs="Courier New" w:hint="default"/>
      </w:rPr>
    </w:lvl>
    <w:lvl w:ilvl="8" w:tplc="7D8CCEEA">
      <w:start w:val="1"/>
      <w:numFmt w:val="bullet"/>
      <w:lvlText w:val=""/>
      <w:lvlJc w:val="left"/>
      <w:pPr>
        <w:ind w:left="6480" w:hanging="360"/>
      </w:pPr>
      <w:rPr>
        <w:rFonts w:ascii="Wingdings" w:hAnsi="Wingdings" w:hint="default"/>
      </w:rPr>
    </w:lvl>
  </w:abstractNum>
  <w:abstractNum w:abstractNumId="26" w15:restartNumberingAfterBreak="0">
    <w:nsid w:val="472D5E3B"/>
    <w:multiLevelType w:val="multilevel"/>
    <w:tmpl w:val="6DD4FE36"/>
    <w:lvl w:ilvl="0">
      <w:start w:val="1"/>
      <w:numFmt w:val="decimal"/>
      <w:lvlText w:val="%1"/>
      <w:lvlJc w:val="left"/>
      <w:pPr>
        <w:ind w:left="450" w:hanging="450"/>
      </w:pPr>
    </w:lvl>
    <w:lvl w:ilvl="1">
      <w:start w:val="2"/>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4D0C186B"/>
    <w:multiLevelType w:val="hybridMultilevel"/>
    <w:tmpl w:val="F7E0FE60"/>
    <w:lvl w:ilvl="0" w:tplc="BA0E51DE">
      <w:start w:val="1"/>
      <w:numFmt w:val="bullet"/>
      <w:pStyle w:val="Procurementdotpoints"/>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45EC4"/>
    <w:multiLevelType w:val="hybridMultilevel"/>
    <w:tmpl w:val="357A087C"/>
    <w:name w:val="HighlightBoxBullet"/>
    <w:lvl w:ilvl="0" w:tplc="734205DC">
      <w:start w:val="1"/>
      <w:numFmt w:val="bullet"/>
      <w:lvlRestart w:val="0"/>
      <w:pStyle w:val="HighlightBoxBullet"/>
      <w:lvlText w:val="•"/>
      <w:lvlJc w:val="left"/>
      <w:pPr>
        <w:ind w:left="454" w:hanging="227"/>
      </w:pPr>
      <w:rPr>
        <w:rFonts w:ascii="Arial" w:hAnsi="Arial" w:cs="Arial" w:hint="default"/>
        <w:color w:val="FFFFFF"/>
        <w:sz w:val="24"/>
      </w:rPr>
    </w:lvl>
    <w:lvl w:ilvl="1" w:tplc="35DCC6BA">
      <w:start w:val="1"/>
      <w:numFmt w:val="bullet"/>
      <w:lvlText w:val="o"/>
      <w:lvlJc w:val="left"/>
      <w:pPr>
        <w:ind w:left="1667" w:hanging="360"/>
      </w:pPr>
      <w:rPr>
        <w:rFonts w:ascii="Courier New" w:hAnsi="Courier New" w:cs="Courier New" w:hint="default"/>
      </w:rPr>
    </w:lvl>
    <w:lvl w:ilvl="2" w:tplc="63DA2636">
      <w:start w:val="1"/>
      <w:numFmt w:val="bullet"/>
      <w:lvlText w:val=""/>
      <w:lvlJc w:val="left"/>
      <w:pPr>
        <w:ind w:left="2387" w:hanging="360"/>
      </w:pPr>
      <w:rPr>
        <w:rFonts w:ascii="Wingdings" w:hAnsi="Wingdings" w:hint="default"/>
      </w:rPr>
    </w:lvl>
    <w:lvl w:ilvl="3" w:tplc="5F5CD80C">
      <w:start w:val="1"/>
      <w:numFmt w:val="bullet"/>
      <w:lvlText w:val=""/>
      <w:lvlJc w:val="left"/>
      <w:pPr>
        <w:ind w:left="3107" w:hanging="360"/>
      </w:pPr>
      <w:rPr>
        <w:rFonts w:ascii="Symbol" w:hAnsi="Symbol" w:hint="default"/>
      </w:rPr>
    </w:lvl>
    <w:lvl w:ilvl="4" w:tplc="EF2C1F06">
      <w:start w:val="1"/>
      <w:numFmt w:val="bullet"/>
      <w:lvlText w:val="o"/>
      <w:lvlJc w:val="left"/>
      <w:pPr>
        <w:ind w:left="3827" w:hanging="360"/>
      </w:pPr>
      <w:rPr>
        <w:rFonts w:ascii="Courier New" w:hAnsi="Courier New" w:cs="Courier New" w:hint="default"/>
      </w:rPr>
    </w:lvl>
    <w:lvl w:ilvl="5" w:tplc="7CE6EBB2">
      <w:start w:val="1"/>
      <w:numFmt w:val="bullet"/>
      <w:lvlText w:val=""/>
      <w:lvlJc w:val="left"/>
      <w:pPr>
        <w:ind w:left="4547" w:hanging="360"/>
      </w:pPr>
      <w:rPr>
        <w:rFonts w:ascii="Wingdings" w:hAnsi="Wingdings" w:hint="default"/>
      </w:rPr>
    </w:lvl>
    <w:lvl w:ilvl="6" w:tplc="B3FC471A">
      <w:start w:val="1"/>
      <w:numFmt w:val="bullet"/>
      <w:lvlText w:val=""/>
      <w:lvlJc w:val="left"/>
      <w:pPr>
        <w:ind w:left="5267" w:hanging="360"/>
      </w:pPr>
      <w:rPr>
        <w:rFonts w:ascii="Symbol" w:hAnsi="Symbol" w:hint="default"/>
      </w:rPr>
    </w:lvl>
    <w:lvl w:ilvl="7" w:tplc="317A6A38">
      <w:start w:val="1"/>
      <w:numFmt w:val="bullet"/>
      <w:lvlText w:val="o"/>
      <w:lvlJc w:val="left"/>
      <w:pPr>
        <w:ind w:left="5987" w:hanging="360"/>
      </w:pPr>
      <w:rPr>
        <w:rFonts w:ascii="Courier New" w:hAnsi="Courier New" w:cs="Courier New" w:hint="default"/>
      </w:rPr>
    </w:lvl>
    <w:lvl w:ilvl="8" w:tplc="6AFE2626">
      <w:start w:val="1"/>
      <w:numFmt w:val="bullet"/>
      <w:lvlText w:val=""/>
      <w:lvlJc w:val="left"/>
      <w:pPr>
        <w:ind w:left="6707" w:hanging="360"/>
      </w:pPr>
      <w:rPr>
        <w:rFonts w:ascii="Wingdings" w:hAnsi="Wingdings" w:hint="default"/>
      </w:rPr>
    </w:lvl>
  </w:abstractNum>
  <w:abstractNum w:abstractNumId="29" w15:restartNumberingAfterBreak="0">
    <w:nsid w:val="556550E7"/>
    <w:multiLevelType w:val="hybridMultilevel"/>
    <w:tmpl w:val="22D6E52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656B74F0"/>
    <w:multiLevelType w:val="hybridMultilevel"/>
    <w:tmpl w:val="E8C671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62D0D8B"/>
    <w:multiLevelType w:val="hybridMultilevel"/>
    <w:tmpl w:val="A4B8C760"/>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D1D40AC"/>
    <w:multiLevelType w:val="hybridMultilevel"/>
    <w:tmpl w:val="4A4219B0"/>
    <w:name w:val="TableNumbering"/>
    <w:lvl w:ilvl="0" w:tplc="734249A6">
      <w:start w:val="1"/>
      <w:numFmt w:val="decimal"/>
      <w:pStyle w:val="TableTextNumbered"/>
      <w:lvlText w:val="%1."/>
      <w:lvlJc w:val="left"/>
      <w:pPr>
        <w:tabs>
          <w:tab w:val="num" w:pos="482"/>
        </w:tabs>
        <w:ind w:left="482" w:hanging="369"/>
      </w:pPr>
      <w:rPr>
        <w:rFonts w:hint="default"/>
      </w:rPr>
    </w:lvl>
    <w:lvl w:ilvl="1" w:tplc="F09E99A4">
      <w:start w:val="1"/>
      <w:numFmt w:val="lowerLetter"/>
      <w:pStyle w:val="TableTextNumbered2"/>
      <w:lvlText w:val="%2."/>
      <w:lvlJc w:val="left"/>
      <w:pPr>
        <w:tabs>
          <w:tab w:val="num" w:pos="822"/>
        </w:tabs>
        <w:ind w:left="822" w:hanging="340"/>
      </w:pPr>
      <w:rPr>
        <w:rFonts w:hint="default"/>
      </w:rPr>
    </w:lvl>
    <w:lvl w:ilvl="2" w:tplc="C1963136">
      <w:start w:val="1"/>
      <w:numFmt w:val="lowerRoman"/>
      <w:pStyle w:val="TableTextNumbered3"/>
      <w:lvlText w:val="%3."/>
      <w:lvlJc w:val="left"/>
      <w:pPr>
        <w:tabs>
          <w:tab w:val="num" w:pos="1219"/>
        </w:tabs>
        <w:ind w:left="1219" w:hanging="397"/>
      </w:pPr>
      <w:rPr>
        <w:rFonts w:hint="default"/>
      </w:rPr>
    </w:lvl>
    <w:lvl w:ilvl="3" w:tplc="690EC572">
      <w:start w:val="1"/>
      <w:numFmt w:val="none"/>
      <w:lvlText w:val=""/>
      <w:lvlJc w:val="left"/>
      <w:pPr>
        <w:ind w:left="1440" w:hanging="360"/>
      </w:pPr>
      <w:rPr>
        <w:rFonts w:hint="default"/>
      </w:rPr>
    </w:lvl>
    <w:lvl w:ilvl="4" w:tplc="61380B40">
      <w:start w:val="1"/>
      <w:numFmt w:val="none"/>
      <w:lvlText w:val=""/>
      <w:lvlJc w:val="left"/>
      <w:pPr>
        <w:ind w:left="1800" w:hanging="360"/>
      </w:pPr>
      <w:rPr>
        <w:rFonts w:hint="default"/>
      </w:rPr>
    </w:lvl>
    <w:lvl w:ilvl="5" w:tplc="148A64C2">
      <w:start w:val="1"/>
      <w:numFmt w:val="none"/>
      <w:lvlText w:val=""/>
      <w:lvlJc w:val="left"/>
      <w:pPr>
        <w:ind w:left="2160" w:hanging="360"/>
      </w:pPr>
      <w:rPr>
        <w:rFonts w:hint="default"/>
      </w:rPr>
    </w:lvl>
    <w:lvl w:ilvl="6" w:tplc="ED7AEE46">
      <w:start w:val="1"/>
      <w:numFmt w:val="none"/>
      <w:lvlText w:val=""/>
      <w:lvlJc w:val="left"/>
      <w:pPr>
        <w:ind w:left="2520" w:hanging="360"/>
      </w:pPr>
      <w:rPr>
        <w:rFonts w:hint="default"/>
      </w:rPr>
    </w:lvl>
    <w:lvl w:ilvl="7" w:tplc="AE0EDADA">
      <w:start w:val="1"/>
      <w:numFmt w:val="none"/>
      <w:lvlText w:val=""/>
      <w:lvlJc w:val="left"/>
      <w:pPr>
        <w:ind w:left="2880" w:hanging="360"/>
      </w:pPr>
      <w:rPr>
        <w:rFonts w:hint="default"/>
      </w:rPr>
    </w:lvl>
    <w:lvl w:ilvl="8" w:tplc="69CAF70C">
      <w:start w:val="1"/>
      <w:numFmt w:val="none"/>
      <w:lvlText w:val=""/>
      <w:lvlJc w:val="left"/>
      <w:pPr>
        <w:ind w:left="3240" w:hanging="360"/>
      </w:pPr>
      <w:rPr>
        <w:rFonts w:hint="default"/>
      </w:rPr>
    </w:lvl>
  </w:abstractNum>
  <w:abstractNum w:abstractNumId="35" w15:restartNumberingAfterBreak="0">
    <w:nsid w:val="70250B03"/>
    <w:multiLevelType w:val="hybridMultilevel"/>
    <w:tmpl w:val="F3EA2326"/>
    <w:name w:val="DEPIQuoteBullets"/>
    <w:lvl w:ilvl="0" w:tplc="C36454D6">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tplc="2E467A2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70A74FE">
      <w:start w:val="1"/>
      <w:numFmt w:val="bullet"/>
      <w:lvlText w:val="‒"/>
      <w:lvlJc w:val="left"/>
      <w:pPr>
        <w:tabs>
          <w:tab w:val="num" w:pos="1418"/>
        </w:tabs>
        <w:ind w:left="1418" w:hanging="283"/>
      </w:pPr>
      <w:rPr>
        <w:rFonts w:ascii="Calibri" w:hAnsi="Calibri" w:hint="default"/>
        <w:color w:val="545759" w:themeColor="text2"/>
      </w:rPr>
    </w:lvl>
    <w:lvl w:ilvl="3" w:tplc="B56A427C">
      <w:start w:val="1"/>
      <w:numFmt w:val="bullet"/>
      <w:lvlText w:val=""/>
      <w:lvlJc w:val="left"/>
      <w:pPr>
        <w:ind w:left="1136" w:firstLine="283"/>
      </w:pPr>
      <w:rPr>
        <w:rFonts w:ascii="Symbol" w:hAnsi="Symbol" w:hint="default"/>
      </w:rPr>
    </w:lvl>
    <w:lvl w:ilvl="4" w:tplc="03F2CF76">
      <w:start w:val="1"/>
      <w:numFmt w:val="bullet"/>
      <w:lvlText w:val=""/>
      <w:lvlJc w:val="left"/>
      <w:pPr>
        <w:ind w:left="1420" w:firstLine="283"/>
      </w:pPr>
      <w:rPr>
        <w:rFonts w:ascii="Symbol" w:hAnsi="Symbol" w:hint="default"/>
      </w:rPr>
    </w:lvl>
    <w:lvl w:ilvl="5" w:tplc="70C820B0">
      <w:start w:val="1"/>
      <w:numFmt w:val="bullet"/>
      <w:lvlText w:val=""/>
      <w:lvlJc w:val="left"/>
      <w:pPr>
        <w:ind w:left="1704" w:firstLine="283"/>
      </w:pPr>
      <w:rPr>
        <w:rFonts w:ascii="Wingdings" w:hAnsi="Wingdings" w:hint="default"/>
      </w:rPr>
    </w:lvl>
    <w:lvl w:ilvl="6" w:tplc="5142C672">
      <w:start w:val="1"/>
      <w:numFmt w:val="bullet"/>
      <w:lvlText w:val=""/>
      <w:lvlJc w:val="left"/>
      <w:pPr>
        <w:ind w:left="1988" w:firstLine="283"/>
      </w:pPr>
      <w:rPr>
        <w:rFonts w:ascii="Wingdings" w:hAnsi="Wingdings" w:hint="default"/>
      </w:rPr>
    </w:lvl>
    <w:lvl w:ilvl="7" w:tplc="81FC0B2A">
      <w:start w:val="1"/>
      <w:numFmt w:val="bullet"/>
      <w:lvlText w:val=""/>
      <w:lvlJc w:val="left"/>
      <w:pPr>
        <w:ind w:left="2272" w:firstLine="283"/>
      </w:pPr>
      <w:rPr>
        <w:rFonts w:ascii="Symbol" w:hAnsi="Symbol" w:hint="default"/>
      </w:rPr>
    </w:lvl>
    <w:lvl w:ilvl="8" w:tplc="CB10E45E">
      <w:start w:val="1"/>
      <w:numFmt w:val="bullet"/>
      <w:lvlText w:val=""/>
      <w:lvlJc w:val="left"/>
      <w:pPr>
        <w:ind w:left="2556" w:firstLine="283"/>
      </w:pPr>
      <w:rPr>
        <w:rFonts w:ascii="Symbol" w:hAnsi="Symbol" w:hint="default"/>
      </w:rPr>
    </w:lvl>
  </w:abstractNum>
  <w:abstractNum w:abstractNumId="36" w15:restartNumberingAfterBreak="0">
    <w:nsid w:val="73DF026C"/>
    <w:multiLevelType w:val="hybridMultilevel"/>
    <w:tmpl w:val="1AAA5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839021E"/>
    <w:multiLevelType w:val="hybridMultilevel"/>
    <w:tmpl w:val="BB5EB056"/>
    <w:name w:val="DEPIListNumbering"/>
    <w:lvl w:ilvl="0" w:tplc="6D98DA76">
      <w:start w:val="1"/>
      <w:numFmt w:val="decimal"/>
      <w:lvlText w:val="%1."/>
      <w:lvlJc w:val="left"/>
      <w:pPr>
        <w:tabs>
          <w:tab w:val="num" w:pos="340"/>
        </w:tabs>
        <w:ind w:left="340" w:hanging="340"/>
      </w:pPr>
      <w:rPr>
        <w:rFonts w:hint="default"/>
        <w:color w:val="000000" w:themeColor="text1"/>
        <w:spacing w:val="0"/>
        <w:sz w:val="20"/>
      </w:rPr>
    </w:lvl>
    <w:lvl w:ilvl="1" w:tplc="FFFFFFFF">
      <w:start w:val="1"/>
      <w:numFmt w:val="lowerLetter"/>
      <w:lvlText w:val="%2."/>
      <w:lvlJc w:val="left"/>
      <w:pPr>
        <w:tabs>
          <w:tab w:val="num" w:pos="680"/>
        </w:tabs>
        <w:ind w:left="680" w:hanging="340"/>
      </w:pPr>
      <w:rPr>
        <w:color w:val="000000" w:themeColor="text1"/>
        <w:spacing w:val="0"/>
        <w:sz w:val="20"/>
      </w:rPr>
    </w:lvl>
    <w:lvl w:ilvl="2" w:tplc="FFFFFFFF">
      <w:start w:val="1"/>
      <w:numFmt w:val="lowerRoman"/>
      <w:lvlText w:val="%3."/>
      <w:lvlJc w:val="left"/>
      <w:pPr>
        <w:tabs>
          <w:tab w:val="num" w:pos="1049"/>
        </w:tabs>
        <w:ind w:left="1049" w:hanging="369"/>
      </w:pPr>
      <w:rPr>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38" w15:restartNumberingAfterBreak="0">
    <w:nsid w:val="79883ADD"/>
    <w:multiLevelType w:val="hybridMultilevel"/>
    <w:tmpl w:val="F3E4052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9"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7EDF725C"/>
    <w:multiLevelType w:val="hybridMultilevel"/>
    <w:tmpl w:val="F0CAF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415976376">
    <w:abstractNumId w:val="2"/>
  </w:num>
  <w:num w:numId="2" w16cid:durableId="208882508">
    <w:abstractNumId w:val="18"/>
  </w:num>
  <w:num w:numId="3" w16cid:durableId="607542882">
    <w:abstractNumId w:val="32"/>
  </w:num>
  <w:num w:numId="4" w16cid:durableId="488133777">
    <w:abstractNumId w:val="0"/>
  </w:num>
  <w:num w:numId="5" w16cid:durableId="1779636963">
    <w:abstractNumId w:val="1"/>
  </w:num>
  <w:num w:numId="6" w16cid:durableId="482163217">
    <w:abstractNumId w:val="4"/>
  </w:num>
  <w:num w:numId="7" w16cid:durableId="1696729809">
    <w:abstractNumId w:val="5"/>
  </w:num>
  <w:num w:numId="8" w16cid:durableId="1068259921">
    <w:abstractNumId w:val="8"/>
  </w:num>
  <w:num w:numId="9" w16cid:durableId="220600531">
    <w:abstractNumId w:val="39"/>
  </w:num>
  <w:num w:numId="10" w16cid:durableId="2039886904">
    <w:abstractNumId w:val="33"/>
  </w:num>
  <w:num w:numId="11" w16cid:durableId="647393358">
    <w:abstractNumId w:val="23"/>
  </w:num>
  <w:num w:numId="12" w16cid:durableId="1952546155">
    <w:abstractNumId w:val="24"/>
  </w:num>
  <w:num w:numId="13" w16cid:durableId="138353149">
    <w:abstractNumId w:val="28"/>
  </w:num>
  <w:num w:numId="14" w16cid:durableId="1111166532">
    <w:abstractNumId w:val="34"/>
  </w:num>
  <w:num w:numId="15" w16cid:durableId="849371105">
    <w:abstractNumId w:val="19"/>
  </w:num>
  <w:num w:numId="16" w16cid:durableId="210461490">
    <w:abstractNumId w:val="10"/>
  </w:num>
  <w:num w:numId="17" w16cid:durableId="1171336935">
    <w:abstractNumId w:val="35"/>
  </w:num>
  <w:num w:numId="18" w16cid:durableId="472910636">
    <w:abstractNumId w:val="13"/>
  </w:num>
  <w:num w:numId="19" w16cid:durableId="1016663124">
    <w:abstractNumId w:val="21"/>
  </w:num>
  <w:num w:numId="20" w16cid:durableId="479008308">
    <w:abstractNumId w:val="16"/>
  </w:num>
  <w:num w:numId="21" w16cid:durableId="14114569">
    <w:abstractNumId w:val="25"/>
  </w:num>
  <w:num w:numId="22" w16cid:durableId="523640466">
    <w:abstractNumId w:val="7"/>
  </w:num>
  <w:num w:numId="23" w16cid:durableId="2017728326">
    <w:abstractNumId w:val="27"/>
  </w:num>
  <w:num w:numId="24" w16cid:durableId="801653825">
    <w:abstractNumId w:val="20"/>
  </w:num>
  <w:num w:numId="25" w16cid:durableId="1576357265">
    <w:abstractNumId w:val="36"/>
  </w:num>
  <w:num w:numId="26" w16cid:durableId="1855922805">
    <w:abstractNumId w:val="6"/>
  </w:num>
  <w:num w:numId="27" w16cid:durableId="694888805">
    <w:abstractNumId w:val="38"/>
  </w:num>
  <w:num w:numId="28" w16cid:durableId="2016178716">
    <w:abstractNumId w:val="22"/>
  </w:num>
  <w:num w:numId="29" w16cid:durableId="1193764481">
    <w:abstractNumId w:val="40"/>
  </w:num>
  <w:num w:numId="30" w16cid:durableId="1417089795">
    <w:abstractNumId w:val="17"/>
  </w:num>
  <w:num w:numId="31" w16cid:durableId="1598832394">
    <w:abstractNumId w:val="3"/>
  </w:num>
  <w:num w:numId="32" w16cid:durableId="20805923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6964765">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47828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38188838">
    <w:abstractNumId w:val="31"/>
    <w:lvlOverride w:ilvl="0">
      <w:startOverride w:val="1"/>
    </w:lvlOverride>
    <w:lvlOverride w:ilvl="1"/>
    <w:lvlOverride w:ilvl="2"/>
    <w:lvlOverride w:ilvl="3"/>
    <w:lvlOverride w:ilvl="4"/>
    <w:lvlOverride w:ilvl="5"/>
    <w:lvlOverride w:ilvl="6"/>
    <w:lvlOverride w:ilvl="7"/>
    <w:lvlOverride w:ilvl="8"/>
  </w:num>
  <w:num w:numId="36" w16cid:durableId="13278998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09472754">
    <w:abstractNumId w:val="12"/>
  </w:num>
  <w:num w:numId="38" w16cid:durableId="1979214277">
    <w:abstractNumId w:val="30"/>
  </w:num>
  <w:num w:numId="39" w16cid:durableId="1005549013">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4D19"/>
    <w:rsid w:val="00005D70"/>
    <w:rsid w:val="000117B1"/>
    <w:rsid w:val="0001232A"/>
    <w:rsid w:val="0001667E"/>
    <w:rsid w:val="000218D1"/>
    <w:rsid w:val="0002255B"/>
    <w:rsid w:val="000312ED"/>
    <w:rsid w:val="00032938"/>
    <w:rsid w:val="000348DC"/>
    <w:rsid w:val="00042209"/>
    <w:rsid w:val="000439B3"/>
    <w:rsid w:val="0004532E"/>
    <w:rsid w:val="00045959"/>
    <w:rsid w:val="00050B6E"/>
    <w:rsid w:val="00062808"/>
    <w:rsid w:val="000633AA"/>
    <w:rsid w:val="000651D0"/>
    <w:rsid w:val="0006581F"/>
    <w:rsid w:val="00076DAB"/>
    <w:rsid w:val="00086957"/>
    <w:rsid w:val="000918A8"/>
    <w:rsid w:val="000944CD"/>
    <w:rsid w:val="000948B0"/>
    <w:rsid w:val="00096EEB"/>
    <w:rsid w:val="000A0038"/>
    <w:rsid w:val="000A4021"/>
    <w:rsid w:val="000B071F"/>
    <w:rsid w:val="000B1291"/>
    <w:rsid w:val="000B14C7"/>
    <w:rsid w:val="000C4311"/>
    <w:rsid w:val="000C6C11"/>
    <w:rsid w:val="000D301B"/>
    <w:rsid w:val="000E25BF"/>
    <w:rsid w:val="000E2F39"/>
    <w:rsid w:val="000E47F8"/>
    <w:rsid w:val="000E4FCF"/>
    <w:rsid w:val="000E7B56"/>
    <w:rsid w:val="000F03E1"/>
    <w:rsid w:val="000F18C6"/>
    <w:rsid w:val="000F3D14"/>
    <w:rsid w:val="000F6A5D"/>
    <w:rsid w:val="001050D2"/>
    <w:rsid w:val="00107258"/>
    <w:rsid w:val="00111DF5"/>
    <w:rsid w:val="00112C61"/>
    <w:rsid w:val="00114374"/>
    <w:rsid w:val="00132E64"/>
    <w:rsid w:val="00133A8E"/>
    <w:rsid w:val="001459D4"/>
    <w:rsid w:val="00152FF0"/>
    <w:rsid w:val="00155ABA"/>
    <w:rsid w:val="00157BA8"/>
    <w:rsid w:val="001603D1"/>
    <w:rsid w:val="001624DD"/>
    <w:rsid w:val="00163EC5"/>
    <w:rsid w:val="00164907"/>
    <w:rsid w:val="001662A7"/>
    <w:rsid w:val="00166BDE"/>
    <w:rsid w:val="00170019"/>
    <w:rsid w:val="00176E57"/>
    <w:rsid w:val="00183FD8"/>
    <w:rsid w:val="00184717"/>
    <w:rsid w:val="00185CD3"/>
    <w:rsid w:val="00190CD8"/>
    <w:rsid w:val="0019311C"/>
    <w:rsid w:val="00193CA3"/>
    <w:rsid w:val="001A00AE"/>
    <w:rsid w:val="001A60B6"/>
    <w:rsid w:val="001B22DC"/>
    <w:rsid w:val="001C67EF"/>
    <w:rsid w:val="001C6CC2"/>
    <w:rsid w:val="001C74DF"/>
    <w:rsid w:val="001C7B61"/>
    <w:rsid w:val="001E2545"/>
    <w:rsid w:val="001E2B78"/>
    <w:rsid w:val="001E33F6"/>
    <w:rsid w:val="001E3A49"/>
    <w:rsid w:val="001E4103"/>
    <w:rsid w:val="001E7717"/>
    <w:rsid w:val="001F0D7C"/>
    <w:rsid w:val="001F182D"/>
    <w:rsid w:val="001F7E3E"/>
    <w:rsid w:val="002069D1"/>
    <w:rsid w:val="00211F96"/>
    <w:rsid w:val="0021324C"/>
    <w:rsid w:val="00214A95"/>
    <w:rsid w:val="00215525"/>
    <w:rsid w:val="00217D12"/>
    <w:rsid w:val="00220939"/>
    <w:rsid w:val="00221B92"/>
    <w:rsid w:val="002221A5"/>
    <w:rsid w:val="00227BDD"/>
    <w:rsid w:val="00231BA4"/>
    <w:rsid w:val="00233C0D"/>
    <w:rsid w:val="00235EF0"/>
    <w:rsid w:val="0024131D"/>
    <w:rsid w:val="00243DA5"/>
    <w:rsid w:val="00244064"/>
    <w:rsid w:val="00250702"/>
    <w:rsid w:val="00254F9A"/>
    <w:rsid w:val="00262D34"/>
    <w:rsid w:val="00262E24"/>
    <w:rsid w:val="0027138F"/>
    <w:rsid w:val="002749B3"/>
    <w:rsid w:val="00287988"/>
    <w:rsid w:val="00291D9B"/>
    <w:rsid w:val="002921A3"/>
    <w:rsid w:val="002960F2"/>
    <w:rsid w:val="002A190B"/>
    <w:rsid w:val="002A6DE5"/>
    <w:rsid w:val="002B1C88"/>
    <w:rsid w:val="002D05D0"/>
    <w:rsid w:val="002D4B11"/>
    <w:rsid w:val="002E032C"/>
    <w:rsid w:val="002E186D"/>
    <w:rsid w:val="002E25FF"/>
    <w:rsid w:val="002E70A6"/>
    <w:rsid w:val="002F195F"/>
    <w:rsid w:val="002F6A6E"/>
    <w:rsid w:val="002F7453"/>
    <w:rsid w:val="00300042"/>
    <w:rsid w:val="00302144"/>
    <w:rsid w:val="0030230F"/>
    <w:rsid w:val="00302841"/>
    <w:rsid w:val="00313947"/>
    <w:rsid w:val="00314133"/>
    <w:rsid w:val="00320409"/>
    <w:rsid w:val="00324C7B"/>
    <w:rsid w:val="00330B2B"/>
    <w:rsid w:val="00330C4B"/>
    <w:rsid w:val="00331056"/>
    <w:rsid w:val="003345C9"/>
    <w:rsid w:val="00335797"/>
    <w:rsid w:val="0034740F"/>
    <w:rsid w:val="003501B1"/>
    <w:rsid w:val="00354953"/>
    <w:rsid w:val="00357C09"/>
    <w:rsid w:val="00360FF2"/>
    <w:rsid w:val="003642EE"/>
    <w:rsid w:val="003647A3"/>
    <w:rsid w:val="00365FC8"/>
    <w:rsid w:val="003749ED"/>
    <w:rsid w:val="00382896"/>
    <w:rsid w:val="00386434"/>
    <w:rsid w:val="0039036C"/>
    <w:rsid w:val="003B78CC"/>
    <w:rsid w:val="003C5640"/>
    <w:rsid w:val="003D13B9"/>
    <w:rsid w:val="003D2AA7"/>
    <w:rsid w:val="003D54B1"/>
    <w:rsid w:val="003D6C0A"/>
    <w:rsid w:val="003D7D47"/>
    <w:rsid w:val="003E45E5"/>
    <w:rsid w:val="003F0AF3"/>
    <w:rsid w:val="003F25E3"/>
    <w:rsid w:val="003F28D1"/>
    <w:rsid w:val="003F3796"/>
    <w:rsid w:val="003F4161"/>
    <w:rsid w:val="00402DE1"/>
    <w:rsid w:val="00403A24"/>
    <w:rsid w:val="00412BDB"/>
    <w:rsid w:val="00412CB6"/>
    <w:rsid w:val="004200F4"/>
    <w:rsid w:val="00420682"/>
    <w:rsid w:val="004247DB"/>
    <w:rsid w:val="00431816"/>
    <w:rsid w:val="00431C60"/>
    <w:rsid w:val="00431F60"/>
    <w:rsid w:val="00441C95"/>
    <w:rsid w:val="004471D5"/>
    <w:rsid w:val="00456616"/>
    <w:rsid w:val="004574E6"/>
    <w:rsid w:val="00457D77"/>
    <w:rsid w:val="00466EDD"/>
    <w:rsid w:val="00472D94"/>
    <w:rsid w:val="00474562"/>
    <w:rsid w:val="00474FD1"/>
    <w:rsid w:val="004766BD"/>
    <w:rsid w:val="0048008A"/>
    <w:rsid w:val="004805CA"/>
    <w:rsid w:val="00480C84"/>
    <w:rsid w:val="004903E0"/>
    <w:rsid w:val="00493C85"/>
    <w:rsid w:val="004A439A"/>
    <w:rsid w:val="004A4594"/>
    <w:rsid w:val="004A5CBC"/>
    <w:rsid w:val="004A766C"/>
    <w:rsid w:val="004A7E38"/>
    <w:rsid w:val="004B1CAF"/>
    <w:rsid w:val="004B3D6B"/>
    <w:rsid w:val="004B6279"/>
    <w:rsid w:val="004B678F"/>
    <w:rsid w:val="004B7BF1"/>
    <w:rsid w:val="004C1120"/>
    <w:rsid w:val="004D0351"/>
    <w:rsid w:val="004D646E"/>
    <w:rsid w:val="004D6EF2"/>
    <w:rsid w:val="004E3FC3"/>
    <w:rsid w:val="004F0943"/>
    <w:rsid w:val="004F10D8"/>
    <w:rsid w:val="004F2F9D"/>
    <w:rsid w:val="00503BBB"/>
    <w:rsid w:val="00505E6F"/>
    <w:rsid w:val="00511D0E"/>
    <w:rsid w:val="00512801"/>
    <w:rsid w:val="0051567D"/>
    <w:rsid w:val="00525377"/>
    <w:rsid w:val="00525665"/>
    <w:rsid w:val="005321F3"/>
    <w:rsid w:val="005335AD"/>
    <w:rsid w:val="005355F1"/>
    <w:rsid w:val="005402F2"/>
    <w:rsid w:val="00543523"/>
    <w:rsid w:val="00543D3F"/>
    <w:rsid w:val="0055290C"/>
    <w:rsid w:val="00552F37"/>
    <w:rsid w:val="005616EA"/>
    <w:rsid w:val="0056415F"/>
    <w:rsid w:val="00565A6B"/>
    <w:rsid w:val="005667BC"/>
    <w:rsid w:val="00566E72"/>
    <w:rsid w:val="00567BD7"/>
    <w:rsid w:val="00570A30"/>
    <w:rsid w:val="00573B83"/>
    <w:rsid w:val="0057453D"/>
    <w:rsid w:val="00574ABF"/>
    <w:rsid w:val="005774BB"/>
    <w:rsid w:val="00580E04"/>
    <w:rsid w:val="005827A7"/>
    <w:rsid w:val="00587919"/>
    <w:rsid w:val="00593C33"/>
    <w:rsid w:val="00595A29"/>
    <w:rsid w:val="0059642F"/>
    <w:rsid w:val="005A1435"/>
    <w:rsid w:val="005A4AF1"/>
    <w:rsid w:val="005A6919"/>
    <w:rsid w:val="005A7958"/>
    <w:rsid w:val="005B28E3"/>
    <w:rsid w:val="005B5273"/>
    <w:rsid w:val="005B7AA4"/>
    <w:rsid w:val="005D0919"/>
    <w:rsid w:val="005D1C3C"/>
    <w:rsid w:val="005D2013"/>
    <w:rsid w:val="005E63ED"/>
    <w:rsid w:val="005F1394"/>
    <w:rsid w:val="005F3FCF"/>
    <w:rsid w:val="005F5285"/>
    <w:rsid w:val="005F6AAF"/>
    <w:rsid w:val="00600C01"/>
    <w:rsid w:val="00602492"/>
    <w:rsid w:val="0060376A"/>
    <w:rsid w:val="00605C77"/>
    <w:rsid w:val="006125E5"/>
    <w:rsid w:val="00614034"/>
    <w:rsid w:val="00630438"/>
    <w:rsid w:val="00634417"/>
    <w:rsid w:val="0063509B"/>
    <w:rsid w:val="006404F0"/>
    <w:rsid w:val="00640CF2"/>
    <w:rsid w:val="0064489A"/>
    <w:rsid w:val="006507C0"/>
    <w:rsid w:val="0065233C"/>
    <w:rsid w:val="00652593"/>
    <w:rsid w:val="00656D3E"/>
    <w:rsid w:val="00661289"/>
    <w:rsid w:val="00665065"/>
    <w:rsid w:val="0067101F"/>
    <w:rsid w:val="0067464E"/>
    <w:rsid w:val="006801CF"/>
    <w:rsid w:val="00680D8E"/>
    <w:rsid w:val="00684186"/>
    <w:rsid w:val="00686570"/>
    <w:rsid w:val="00687BA9"/>
    <w:rsid w:val="00691E5B"/>
    <w:rsid w:val="006A1B44"/>
    <w:rsid w:val="006A24D8"/>
    <w:rsid w:val="006A3CEB"/>
    <w:rsid w:val="006B70E5"/>
    <w:rsid w:val="006B71FA"/>
    <w:rsid w:val="006C7D3B"/>
    <w:rsid w:val="006D40B5"/>
    <w:rsid w:val="006D4AB8"/>
    <w:rsid w:val="006E0EE5"/>
    <w:rsid w:val="006E2DD9"/>
    <w:rsid w:val="006E2F97"/>
    <w:rsid w:val="006E4259"/>
    <w:rsid w:val="006F60B2"/>
    <w:rsid w:val="006F7A9D"/>
    <w:rsid w:val="007029AD"/>
    <w:rsid w:val="007074D0"/>
    <w:rsid w:val="007119E0"/>
    <w:rsid w:val="00711D7C"/>
    <w:rsid w:val="00713270"/>
    <w:rsid w:val="00714C40"/>
    <w:rsid w:val="00714FD2"/>
    <w:rsid w:val="00715696"/>
    <w:rsid w:val="0071684C"/>
    <w:rsid w:val="00720905"/>
    <w:rsid w:val="00723AFC"/>
    <w:rsid w:val="007264EE"/>
    <w:rsid w:val="007278C6"/>
    <w:rsid w:val="0073773D"/>
    <w:rsid w:val="00742168"/>
    <w:rsid w:val="00743395"/>
    <w:rsid w:val="00753087"/>
    <w:rsid w:val="00755EC9"/>
    <w:rsid w:val="00755F63"/>
    <w:rsid w:val="007618F0"/>
    <w:rsid w:val="00767258"/>
    <w:rsid w:val="007739B2"/>
    <w:rsid w:val="00773DD6"/>
    <w:rsid w:val="007768B0"/>
    <w:rsid w:val="00783970"/>
    <w:rsid w:val="007872C2"/>
    <w:rsid w:val="00791258"/>
    <w:rsid w:val="00793538"/>
    <w:rsid w:val="007947AA"/>
    <w:rsid w:val="007979F2"/>
    <w:rsid w:val="007A5FF8"/>
    <w:rsid w:val="007B32A4"/>
    <w:rsid w:val="007B52A9"/>
    <w:rsid w:val="007B7EEC"/>
    <w:rsid w:val="007C3199"/>
    <w:rsid w:val="007C6E6C"/>
    <w:rsid w:val="007D0C7D"/>
    <w:rsid w:val="007D16E6"/>
    <w:rsid w:val="007E187B"/>
    <w:rsid w:val="007E1FFE"/>
    <w:rsid w:val="007E3DCF"/>
    <w:rsid w:val="007E41FF"/>
    <w:rsid w:val="007F17C3"/>
    <w:rsid w:val="007F28E2"/>
    <w:rsid w:val="007F5842"/>
    <w:rsid w:val="0080012F"/>
    <w:rsid w:val="00801B34"/>
    <w:rsid w:val="00805DCD"/>
    <w:rsid w:val="00805E98"/>
    <w:rsid w:val="00807FEC"/>
    <w:rsid w:val="008129E5"/>
    <w:rsid w:val="0081373B"/>
    <w:rsid w:val="008142D6"/>
    <w:rsid w:val="00817648"/>
    <w:rsid w:val="008242CF"/>
    <w:rsid w:val="00825247"/>
    <w:rsid w:val="00831059"/>
    <w:rsid w:val="008319C7"/>
    <w:rsid w:val="008336F3"/>
    <w:rsid w:val="00833E57"/>
    <w:rsid w:val="00834306"/>
    <w:rsid w:val="008367F2"/>
    <w:rsid w:val="00836D59"/>
    <w:rsid w:val="0083711C"/>
    <w:rsid w:val="00846A12"/>
    <w:rsid w:val="00847E9D"/>
    <w:rsid w:val="008529C2"/>
    <w:rsid w:val="00855094"/>
    <w:rsid w:val="00856349"/>
    <w:rsid w:val="008610C7"/>
    <w:rsid w:val="00861988"/>
    <w:rsid w:val="008629F5"/>
    <w:rsid w:val="00862AF5"/>
    <w:rsid w:val="00865DE4"/>
    <w:rsid w:val="00873DB6"/>
    <w:rsid w:val="0088137F"/>
    <w:rsid w:val="008913B1"/>
    <w:rsid w:val="0089311D"/>
    <w:rsid w:val="0089608E"/>
    <w:rsid w:val="008B46E9"/>
    <w:rsid w:val="008B4860"/>
    <w:rsid w:val="008B4930"/>
    <w:rsid w:val="008B69E5"/>
    <w:rsid w:val="008C1A12"/>
    <w:rsid w:val="008C34C8"/>
    <w:rsid w:val="008C40A9"/>
    <w:rsid w:val="008C5B27"/>
    <w:rsid w:val="008D103D"/>
    <w:rsid w:val="008D46E3"/>
    <w:rsid w:val="008D66AE"/>
    <w:rsid w:val="008D74C4"/>
    <w:rsid w:val="008E2867"/>
    <w:rsid w:val="008F16A0"/>
    <w:rsid w:val="008F5175"/>
    <w:rsid w:val="00903B58"/>
    <w:rsid w:val="009046D9"/>
    <w:rsid w:val="009055AE"/>
    <w:rsid w:val="00905D3B"/>
    <w:rsid w:val="009117F1"/>
    <w:rsid w:val="00920D36"/>
    <w:rsid w:val="0093136F"/>
    <w:rsid w:val="00931376"/>
    <w:rsid w:val="00932BCF"/>
    <w:rsid w:val="00933430"/>
    <w:rsid w:val="00935696"/>
    <w:rsid w:val="009369F9"/>
    <w:rsid w:val="00940A17"/>
    <w:rsid w:val="009410B6"/>
    <w:rsid w:val="009451E4"/>
    <w:rsid w:val="0094725B"/>
    <w:rsid w:val="009478F0"/>
    <w:rsid w:val="009563C7"/>
    <w:rsid w:val="00966B33"/>
    <w:rsid w:val="00972FE4"/>
    <w:rsid w:val="00976AFB"/>
    <w:rsid w:val="009809FD"/>
    <w:rsid w:val="0098541D"/>
    <w:rsid w:val="009945A8"/>
    <w:rsid w:val="00994BF2"/>
    <w:rsid w:val="00996750"/>
    <w:rsid w:val="00996DD1"/>
    <w:rsid w:val="00997ACA"/>
    <w:rsid w:val="009A1052"/>
    <w:rsid w:val="009A1877"/>
    <w:rsid w:val="009A7483"/>
    <w:rsid w:val="009B1C2E"/>
    <w:rsid w:val="009B28D4"/>
    <w:rsid w:val="009B7D6D"/>
    <w:rsid w:val="009C1A87"/>
    <w:rsid w:val="009C774C"/>
    <w:rsid w:val="009D6B08"/>
    <w:rsid w:val="009D6B90"/>
    <w:rsid w:val="009E16B0"/>
    <w:rsid w:val="009E6C50"/>
    <w:rsid w:val="009F3E78"/>
    <w:rsid w:val="009F4D2D"/>
    <w:rsid w:val="009F5886"/>
    <w:rsid w:val="009F7047"/>
    <w:rsid w:val="009F7E34"/>
    <w:rsid w:val="00A00536"/>
    <w:rsid w:val="00A06F7E"/>
    <w:rsid w:val="00A10111"/>
    <w:rsid w:val="00A10237"/>
    <w:rsid w:val="00A36012"/>
    <w:rsid w:val="00A41981"/>
    <w:rsid w:val="00A570D4"/>
    <w:rsid w:val="00A642FA"/>
    <w:rsid w:val="00A66E6B"/>
    <w:rsid w:val="00A72144"/>
    <w:rsid w:val="00A7452C"/>
    <w:rsid w:val="00A750A6"/>
    <w:rsid w:val="00A8093B"/>
    <w:rsid w:val="00A84823"/>
    <w:rsid w:val="00A85B7F"/>
    <w:rsid w:val="00A92F35"/>
    <w:rsid w:val="00A955D6"/>
    <w:rsid w:val="00A97E98"/>
    <w:rsid w:val="00AA2726"/>
    <w:rsid w:val="00AB3B74"/>
    <w:rsid w:val="00AB3F8A"/>
    <w:rsid w:val="00AB6F66"/>
    <w:rsid w:val="00AC3CA3"/>
    <w:rsid w:val="00AC5162"/>
    <w:rsid w:val="00AC7057"/>
    <w:rsid w:val="00AD3403"/>
    <w:rsid w:val="00AD35E6"/>
    <w:rsid w:val="00AD44C7"/>
    <w:rsid w:val="00AD7F0C"/>
    <w:rsid w:val="00AE1DEB"/>
    <w:rsid w:val="00AE2BA9"/>
    <w:rsid w:val="00AE324E"/>
    <w:rsid w:val="00AE41D3"/>
    <w:rsid w:val="00AE5037"/>
    <w:rsid w:val="00AF4EE3"/>
    <w:rsid w:val="00B00FA9"/>
    <w:rsid w:val="00B03214"/>
    <w:rsid w:val="00B117B1"/>
    <w:rsid w:val="00B15861"/>
    <w:rsid w:val="00B40D0F"/>
    <w:rsid w:val="00B50203"/>
    <w:rsid w:val="00B5362A"/>
    <w:rsid w:val="00B54FFA"/>
    <w:rsid w:val="00B56E62"/>
    <w:rsid w:val="00B67291"/>
    <w:rsid w:val="00B71FCB"/>
    <w:rsid w:val="00B73FE2"/>
    <w:rsid w:val="00B809B3"/>
    <w:rsid w:val="00B82EF2"/>
    <w:rsid w:val="00B94E58"/>
    <w:rsid w:val="00B9627C"/>
    <w:rsid w:val="00B96906"/>
    <w:rsid w:val="00BA58B3"/>
    <w:rsid w:val="00BA722A"/>
    <w:rsid w:val="00BB1A8C"/>
    <w:rsid w:val="00BB23F4"/>
    <w:rsid w:val="00BB29BF"/>
    <w:rsid w:val="00BB67DC"/>
    <w:rsid w:val="00BC6336"/>
    <w:rsid w:val="00BC69A6"/>
    <w:rsid w:val="00BC7FD7"/>
    <w:rsid w:val="00BD468D"/>
    <w:rsid w:val="00BE16CF"/>
    <w:rsid w:val="00BE28AD"/>
    <w:rsid w:val="00BE7978"/>
    <w:rsid w:val="00BF1AE8"/>
    <w:rsid w:val="00C0345D"/>
    <w:rsid w:val="00C03CA8"/>
    <w:rsid w:val="00C11153"/>
    <w:rsid w:val="00C1153B"/>
    <w:rsid w:val="00C11BA5"/>
    <w:rsid w:val="00C125D0"/>
    <w:rsid w:val="00C2419A"/>
    <w:rsid w:val="00C26538"/>
    <w:rsid w:val="00C26D95"/>
    <w:rsid w:val="00C34FB0"/>
    <w:rsid w:val="00C377FA"/>
    <w:rsid w:val="00C40D1D"/>
    <w:rsid w:val="00C427BD"/>
    <w:rsid w:val="00C446BC"/>
    <w:rsid w:val="00C45DB1"/>
    <w:rsid w:val="00C46187"/>
    <w:rsid w:val="00C46EA7"/>
    <w:rsid w:val="00C54A21"/>
    <w:rsid w:val="00C5784A"/>
    <w:rsid w:val="00C61829"/>
    <w:rsid w:val="00C833D6"/>
    <w:rsid w:val="00C83B2D"/>
    <w:rsid w:val="00C85A6C"/>
    <w:rsid w:val="00C91EB4"/>
    <w:rsid w:val="00C93627"/>
    <w:rsid w:val="00C96C42"/>
    <w:rsid w:val="00CA5D2C"/>
    <w:rsid w:val="00CA62C8"/>
    <w:rsid w:val="00CB21B0"/>
    <w:rsid w:val="00CB30F9"/>
    <w:rsid w:val="00CE504E"/>
    <w:rsid w:val="00CE6D41"/>
    <w:rsid w:val="00D02A08"/>
    <w:rsid w:val="00D1083F"/>
    <w:rsid w:val="00D11DC5"/>
    <w:rsid w:val="00D1563D"/>
    <w:rsid w:val="00D15B66"/>
    <w:rsid w:val="00D23D40"/>
    <w:rsid w:val="00D262F6"/>
    <w:rsid w:val="00D27F0E"/>
    <w:rsid w:val="00D33635"/>
    <w:rsid w:val="00D34F2F"/>
    <w:rsid w:val="00D35655"/>
    <w:rsid w:val="00D410BE"/>
    <w:rsid w:val="00D457FA"/>
    <w:rsid w:val="00D45C84"/>
    <w:rsid w:val="00D46ED9"/>
    <w:rsid w:val="00D50562"/>
    <w:rsid w:val="00D63C13"/>
    <w:rsid w:val="00D669A1"/>
    <w:rsid w:val="00D72569"/>
    <w:rsid w:val="00D814ED"/>
    <w:rsid w:val="00D81745"/>
    <w:rsid w:val="00D928B3"/>
    <w:rsid w:val="00D93EE4"/>
    <w:rsid w:val="00DA0215"/>
    <w:rsid w:val="00DA6DD6"/>
    <w:rsid w:val="00DB5384"/>
    <w:rsid w:val="00DB54F7"/>
    <w:rsid w:val="00DB7393"/>
    <w:rsid w:val="00DC2D25"/>
    <w:rsid w:val="00DC3D43"/>
    <w:rsid w:val="00DC58AF"/>
    <w:rsid w:val="00DD4365"/>
    <w:rsid w:val="00DD65FD"/>
    <w:rsid w:val="00DE3846"/>
    <w:rsid w:val="00DE5AF0"/>
    <w:rsid w:val="00DF01F4"/>
    <w:rsid w:val="00DF04EE"/>
    <w:rsid w:val="00DF1025"/>
    <w:rsid w:val="00E03BE0"/>
    <w:rsid w:val="00E05590"/>
    <w:rsid w:val="00E07352"/>
    <w:rsid w:val="00E07873"/>
    <w:rsid w:val="00E07A8A"/>
    <w:rsid w:val="00E12E81"/>
    <w:rsid w:val="00E13337"/>
    <w:rsid w:val="00E20A8F"/>
    <w:rsid w:val="00E21C36"/>
    <w:rsid w:val="00E30DD9"/>
    <w:rsid w:val="00E37D61"/>
    <w:rsid w:val="00E40EEA"/>
    <w:rsid w:val="00E46E36"/>
    <w:rsid w:val="00E52CAD"/>
    <w:rsid w:val="00E549D8"/>
    <w:rsid w:val="00E60403"/>
    <w:rsid w:val="00E609DC"/>
    <w:rsid w:val="00E6469D"/>
    <w:rsid w:val="00E660C6"/>
    <w:rsid w:val="00E67C1E"/>
    <w:rsid w:val="00E67D78"/>
    <w:rsid w:val="00E76CF7"/>
    <w:rsid w:val="00E80490"/>
    <w:rsid w:val="00E82DB0"/>
    <w:rsid w:val="00EA2180"/>
    <w:rsid w:val="00EA2705"/>
    <w:rsid w:val="00EB3B83"/>
    <w:rsid w:val="00EB474D"/>
    <w:rsid w:val="00EC0832"/>
    <w:rsid w:val="00EC1E93"/>
    <w:rsid w:val="00EC2E51"/>
    <w:rsid w:val="00EC4B7C"/>
    <w:rsid w:val="00EC6C40"/>
    <w:rsid w:val="00ED0E6C"/>
    <w:rsid w:val="00EE156F"/>
    <w:rsid w:val="00EE4E73"/>
    <w:rsid w:val="00EE7022"/>
    <w:rsid w:val="00EF0B77"/>
    <w:rsid w:val="00EF3D8F"/>
    <w:rsid w:val="00EF3FB1"/>
    <w:rsid w:val="00EF496D"/>
    <w:rsid w:val="00EF69C2"/>
    <w:rsid w:val="00EF6A8F"/>
    <w:rsid w:val="00F06899"/>
    <w:rsid w:val="00F07155"/>
    <w:rsid w:val="00F07295"/>
    <w:rsid w:val="00F10D41"/>
    <w:rsid w:val="00F12E29"/>
    <w:rsid w:val="00F14225"/>
    <w:rsid w:val="00F25A07"/>
    <w:rsid w:val="00F31309"/>
    <w:rsid w:val="00F3536F"/>
    <w:rsid w:val="00F41130"/>
    <w:rsid w:val="00F42936"/>
    <w:rsid w:val="00F46FBD"/>
    <w:rsid w:val="00F5001D"/>
    <w:rsid w:val="00F55B97"/>
    <w:rsid w:val="00F62290"/>
    <w:rsid w:val="00F62EEE"/>
    <w:rsid w:val="00F65BB2"/>
    <w:rsid w:val="00F67D36"/>
    <w:rsid w:val="00F76707"/>
    <w:rsid w:val="00F84E26"/>
    <w:rsid w:val="00F922D3"/>
    <w:rsid w:val="00F953A8"/>
    <w:rsid w:val="00F9670D"/>
    <w:rsid w:val="00FA1907"/>
    <w:rsid w:val="00FB695C"/>
    <w:rsid w:val="00FC6E69"/>
    <w:rsid w:val="00FD2A38"/>
    <w:rsid w:val="00FD4D04"/>
    <w:rsid w:val="00FD59A4"/>
    <w:rsid w:val="00FF3181"/>
    <w:rsid w:val="00FF48FF"/>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FF04D4B4-66BA-4B1C-A4DC-3A723596A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0" w:qFormat="1"/>
    <w:lsdException w:name="heading 2" w:semiHidden="1" w:uiPriority="0" w:unhideWhenUsed="1" w:qFormat="1"/>
    <w:lsdException w:name="heading 3" w:semiHidden="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67"/>
    <w:lsdException w:name="Intense Reference" w:uiPriority="68"/>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0E47F8"/>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99"/>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nhideWhenUsed/>
    <w:qFormat/>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aliases w:val="Appendix Title"/>
    <w:next w:val="Normal"/>
    <w:link w:val="Heading8Char"/>
    <w:uiPriority w:val="1"/>
    <w:unhideWhenUsed/>
    <w:qFormat/>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aliases w:val="Appendix Heading 1"/>
    <w:next w:val="Normal"/>
    <w:link w:val="Heading9Char"/>
    <w:uiPriority w:val="1"/>
    <w:unhideWhenUsed/>
    <w:qFormat/>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99"/>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rsid w:val="004200F4"/>
    <w:rPr>
      <w:rFonts w:asciiTheme="majorHAnsi" w:eastAsia="Times" w:hAnsiTheme="majorHAnsi" w:cs="Arial"/>
      <w:color w:val="000000" w:themeColor="text1"/>
      <w:sz w:val="16"/>
      <w:szCs w:val="21"/>
    </w:rPr>
  </w:style>
  <w:style w:type="character" w:customStyle="1" w:styleId="Heading8Char">
    <w:name w:val="Heading 8 Char"/>
    <w:aliases w:val="Appendix Title Char"/>
    <w:basedOn w:val="DefaultParagraphFont"/>
    <w:link w:val="Heading8"/>
    <w:uiPriority w:val="1"/>
    <w:rsid w:val="004200F4"/>
    <w:rPr>
      <w:rFonts w:asciiTheme="majorHAnsi" w:eastAsia="Times" w:hAnsiTheme="majorHAnsi" w:cs="Arial"/>
      <w:color w:val="000000" w:themeColor="text1"/>
      <w:sz w:val="16"/>
      <w:szCs w:val="21"/>
    </w:rPr>
  </w:style>
  <w:style w:type="character" w:customStyle="1" w:styleId="Heading9Char">
    <w:name w:val="Heading 9 Char"/>
    <w:aliases w:val="Appendix Heading 1 Char"/>
    <w:basedOn w:val="DefaultParagraphFont"/>
    <w:link w:val="Heading9"/>
    <w:uiPriority w:val="1"/>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99"/>
    <w:qFormat/>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99"/>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99"/>
    <w:unhideWhenUsed/>
    <w:rsid w:val="001603D1"/>
    <w:pPr>
      <w:spacing w:after="80" w:line="200" w:lineRule="exact"/>
    </w:pPr>
    <w:rPr>
      <w:sz w:val="15"/>
      <w:szCs w:val="20"/>
    </w:rPr>
  </w:style>
  <w:style w:type="paragraph" w:styleId="Quote">
    <w:name w:val="Quote"/>
    <w:basedOn w:val="Normal"/>
    <w:next w:val="Normal"/>
    <w:link w:val="QuoteChar"/>
    <w:autoRedefine/>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2"/>
      </w:numPr>
    </w:pPr>
  </w:style>
  <w:style w:type="paragraph" w:styleId="EndnoteText">
    <w:name w:val="endnote text"/>
    <w:basedOn w:val="Normal"/>
    <w:link w:val="EndnoteTextChar"/>
    <w:uiPriority w:val="99"/>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nhideWhenUsed/>
    <w:rsid w:val="001C67EF"/>
    <w:pPr>
      <w:numPr>
        <w:numId w:val="6"/>
      </w:numPr>
    </w:pPr>
  </w:style>
  <w:style w:type="character" w:customStyle="1" w:styleId="QuoteChar">
    <w:name w:val="Quote Char"/>
    <w:basedOn w:val="DefaultParagraphFont"/>
    <w:link w:val="Quote"/>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1"/>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99"/>
    <w:unhideWhenUsed/>
    <w:qFormat/>
    <w:rsid w:val="001603D1"/>
    <w:pPr>
      <w:spacing w:after="560"/>
      <w:outlineLvl w:val="9"/>
    </w:pPr>
    <w:rPr>
      <w:sz w:val="40"/>
    </w:rPr>
  </w:style>
  <w:style w:type="paragraph" w:styleId="TOC2">
    <w:name w:val="toc 2"/>
    <w:aliases w:val="Calliden TOC 2"/>
    <w:basedOn w:val="Normal"/>
    <w:next w:val="Normal"/>
    <w:link w:val="TOC2Char"/>
    <w:autoRedefine/>
    <w:uiPriority w:val="39"/>
    <w:unhideWhenUsed/>
    <w:rsid w:val="009C774C"/>
    <w:pPr>
      <w:pBdr>
        <w:bottom w:val="single" w:sz="4" w:space="4" w:color="FFFFFF" w:themeColor="background1"/>
      </w:pBdr>
      <w:tabs>
        <w:tab w:val="right" w:pos="9065"/>
      </w:tabs>
      <w:spacing w:before="80" w:after="0" w:line="240" w:lineRule="exact"/>
      <w:ind w:left="567" w:right="567"/>
    </w:pPr>
    <w:rPr>
      <w:noProof/>
      <w:sz w:val="18"/>
      <w:szCs w:val="20"/>
    </w:rPr>
  </w:style>
  <w:style w:type="paragraph" w:styleId="TOC1">
    <w:name w:val="toc 1"/>
    <w:aliases w:val="Calliden TOC 1"/>
    <w:basedOn w:val="Normal"/>
    <w:next w:val="Normal"/>
    <w:autoRedefine/>
    <w:uiPriority w:val="39"/>
    <w:unhideWhenUsed/>
    <w:rsid w:val="009C774C"/>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3"/>
      </w:numPr>
    </w:pPr>
  </w:style>
  <w:style w:type="character" w:styleId="FollowedHyperlink">
    <w:name w:val="FollowedHyperlink"/>
    <w:basedOn w:val="DefaultParagraphFont"/>
    <w:uiPriority w:val="99"/>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99"/>
    <w:qFormat/>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99"/>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10"/>
      </w:numPr>
    </w:pPr>
  </w:style>
  <w:style w:type="character" w:customStyle="1" w:styleId="FootnoteTextChar">
    <w:name w:val="Footnote Text Char"/>
    <w:basedOn w:val="DefaultParagraphFont"/>
    <w:link w:val="FootnoteText"/>
    <w:uiPriority w:val="99"/>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7"/>
      </w:numPr>
    </w:pPr>
  </w:style>
  <w:style w:type="character" w:customStyle="1" w:styleId="EndnoteTextChar">
    <w:name w:val="Endnote Text Char"/>
    <w:basedOn w:val="DefaultParagraphFont"/>
    <w:link w:val="EndnoteText"/>
    <w:uiPriority w:val="99"/>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aliases w:val="Calliden TOC 2 Char"/>
    <w:basedOn w:val="DefaultParagraphFont"/>
    <w:link w:val="TOC2"/>
    <w:uiPriority w:val="39"/>
    <w:rsid w:val="009C774C"/>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9"/>
      </w:numPr>
    </w:pPr>
  </w:style>
  <w:style w:type="paragraph" w:styleId="List">
    <w:name w:val="List"/>
    <w:basedOn w:val="Normal"/>
    <w:uiPriority w:val="99"/>
    <w:unhideWhenUsed/>
    <w:qFormat/>
    <w:rsid w:val="002F6A6E"/>
    <w:pPr>
      <w:numPr>
        <w:numId w:val="8"/>
      </w:numPr>
      <w:contextualSpacing/>
    </w:pPr>
    <w:rPr>
      <w:color w:val="auto"/>
    </w:rPr>
  </w:style>
  <w:style w:type="paragraph" w:styleId="List2">
    <w:name w:val="List 2"/>
    <w:basedOn w:val="Normal"/>
    <w:uiPriority w:val="99"/>
    <w:unhideWhenUsed/>
    <w:qFormat/>
    <w:rsid w:val="002F6A6E"/>
    <w:pPr>
      <w:numPr>
        <w:numId w:val="11"/>
      </w:numPr>
      <w:ind w:left="568"/>
      <w:contextualSpacing/>
    </w:pPr>
    <w:rPr>
      <w:color w:val="auto"/>
    </w:rPr>
  </w:style>
  <w:style w:type="paragraph" w:styleId="Date">
    <w:name w:val="Date"/>
    <w:basedOn w:val="Heading7"/>
    <w:next w:val="Normal"/>
    <w:link w:val="DateChar"/>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rsid w:val="00D11DC5"/>
    <w:rPr>
      <w:rFonts w:asciiTheme="minorHAnsi" w:eastAsia="Times" w:hAnsiTheme="minorHAnsi" w:cs="Arial"/>
      <w:color w:val="FFFFFF" w:themeColor="background1"/>
      <w:sz w:val="18"/>
      <w:szCs w:val="18"/>
    </w:rPr>
  </w:style>
  <w:style w:type="paragraph" w:styleId="BodyText">
    <w:name w:val="Body Text"/>
    <w:basedOn w:val="Normal"/>
    <w:link w:val="BodyTextChar"/>
    <w:qFormat/>
    <w:rsid w:val="00BE28AD"/>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BE28AD"/>
    <w:rPr>
      <w:rFonts w:asciiTheme="minorHAnsi" w:hAnsiTheme="minorHAnsi"/>
      <w:color w:val="000000" w:themeColor="text1"/>
    </w:rPr>
  </w:style>
  <w:style w:type="paragraph" w:styleId="Header">
    <w:name w:val="header"/>
    <w:basedOn w:val="Normal"/>
    <w:link w:val="HeaderChar"/>
    <w:uiPriority w:val="99"/>
    <w:unhideWhenUsed/>
    <w:rsid w:val="00BE28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8AD"/>
    <w:rPr>
      <w:rFonts w:asciiTheme="minorHAnsi" w:eastAsia="Times" w:hAnsiTheme="minorHAnsi" w:cs="Arial"/>
      <w:color w:val="000000" w:themeColor="text1"/>
      <w:sz w:val="22"/>
      <w:szCs w:val="21"/>
    </w:rPr>
  </w:style>
  <w:style w:type="paragraph" w:styleId="ListBullet2">
    <w:name w:val="List Bullet 2"/>
    <w:basedOn w:val="Normal"/>
    <w:unhideWhenUsed/>
    <w:qFormat/>
    <w:rsid w:val="00BE28AD"/>
    <w:pPr>
      <w:numPr>
        <w:numId w:val="12"/>
      </w:numPr>
      <w:snapToGrid/>
      <w:spacing w:after="120" w:line="240" w:lineRule="auto"/>
    </w:pPr>
    <w:rPr>
      <w:rFonts w:ascii="Arial" w:eastAsia="Times New Roman" w:hAnsi="Arial" w:cs="Times New Roman"/>
      <w:color w:val="0075BD" w:themeColor="accent2"/>
      <w:sz w:val="18"/>
      <w:szCs w:val="20"/>
    </w:rPr>
  </w:style>
  <w:style w:type="paragraph" w:customStyle="1" w:styleId="TableHeadingLeft">
    <w:name w:val="Table Heading Left"/>
    <w:basedOn w:val="Normal"/>
    <w:qFormat/>
    <w:rsid w:val="00BE28AD"/>
    <w:pPr>
      <w:keepNext/>
      <w:keepLines/>
      <w:snapToGrid/>
      <w:spacing w:before="60" w:after="60" w:line="220" w:lineRule="atLeast"/>
      <w:ind w:left="113" w:right="113"/>
    </w:pPr>
    <w:rPr>
      <w:rFonts w:eastAsia="Times New Roman"/>
      <w:b/>
      <w:color w:val="FFFFFF"/>
      <w:sz w:val="18"/>
      <w:szCs w:val="20"/>
      <w:lang w:eastAsia="en-AU"/>
    </w:rPr>
  </w:style>
  <w:style w:type="paragraph" w:styleId="Caption">
    <w:name w:val="caption"/>
    <w:basedOn w:val="Normal"/>
    <w:next w:val="Normal"/>
    <w:unhideWhenUsed/>
    <w:qFormat/>
    <w:rsid w:val="00BE28AD"/>
    <w:pPr>
      <w:snapToGrid/>
      <w:spacing w:after="200" w:line="240" w:lineRule="auto"/>
    </w:pPr>
    <w:rPr>
      <w:rFonts w:ascii="Arial" w:eastAsia="Times New Roman" w:hAnsi="Arial" w:cs="Times New Roman"/>
      <w:i/>
      <w:iCs/>
      <w:color w:val="545759" w:themeColor="text2"/>
      <w:sz w:val="18"/>
      <w:szCs w:val="18"/>
    </w:rPr>
  </w:style>
  <w:style w:type="paragraph" w:styleId="ListParagraph">
    <w:name w:val="List Paragraph"/>
    <w:basedOn w:val="Normal"/>
    <w:uiPriority w:val="34"/>
    <w:qFormat/>
    <w:rsid w:val="00BE28AD"/>
    <w:pPr>
      <w:snapToGrid/>
      <w:spacing w:before="120" w:after="200" w:line="240" w:lineRule="auto"/>
      <w:ind w:left="720"/>
      <w:contextualSpacing/>
    </w:pPr>
    <w:rPr>
      <w:rFonts w:ascii="Arial" w:eastAsia="Times New Roman" w:hAnsi="Arial" w:cs="Times New Roman"/>
      <w:color w:val="0075BD" w:themeColor="accent2"/>
      <w:sz w:val="18"/>
      <w:szCs w:val="20"/>
    </w:rPr>
  </w:style>
  <w:style w:type="paragraph" w:styleId="ListBullet">
    <w:name w:val="List Bullet"/>
    <w:basedOn w:val="Normal"/>
    <w:unhideWhenUsed/>
    <w:qFormat/>
    <w:rsid w:val="00BE28AD"/>
    <w:pPr>
      <w:numPr>
        <w:numId w:val="1"/>
      </w:numPr>
      <w:contextualSpacing/>
    </w:pPr>
  </w:style>
  <w:style w:type="character" w:styleId="SubtleEmphasis">
    <w:name w:val="Subtle Emphasis"/>
    <w:basedOn w:val="DefaultParagraphFont"/>
    <w:uiPriority w:val="19"/>
    <w:qFormat/>
    <w:rsid w:val="00BE28AD"/>
    <w:rPr>
      <w:i/>
      <w:iCs/>
      <w:color w:val="404040" w:themeColor="text1" w:themeTint="BF"/>
    </w:rPr>
  </w:style>
  <w:style w:type="character" w:styleId="Strong">
    <w:name w:val="Strong"/>
    <w:basedOn w:val="DefaultParagraphFont"/>
    <w:uiPriority w:val="22"/>
    <w:qFormat/>
    <w:rsid w:val="004F2F9D"/>
    <w:rPr>
      <w:b/>
      <w:bCs/>
    </w:rPr>
  </w:style>
  <w:style w:type="paragraph" w:customStyle="1" w:styleId="HighlightBoxText">
    <w:name w:val="Highlight Box Text"/>
    <w:basedOn w:val="Normal"/>
    <w:qFormat/>
    <w:rsid w:val="004F2F9D"/>
    <w:pPr>
      <w:snapToGrid/>
      <w:spacing w:before="120" w:after="120" w:line="300" w:lineRule="atLeast"/>
      <w:ind w:left="227" w:right="227"/>
    </w:pPr>
    <w:rPr>
      <w:rFonts w:eastAsia="Times New Roman"/>
      <w:color w:val="FFFFFF"/>
      <w:spacing w:val="-2"/>
      <w:sz w:val="24"/>
      <w:szCs w:val="20"/>
      <w:lang w:eastAsia="en-AU"/>
    </w:rPr>
  </w:style>
  <w:style w:type="paragraph" w:styleId="ListNumber">
    <w:name w:val="List Number"/>
    <w:basedOn w:val="Normal"/>
    <w:unhideWhenUsed/>
    <w:qFormat/>
    <w:rsid w:val="00062808"/>
    <w:pPr>
      <w:numPr>
        <w:numId w:val="5"/>
      </w:numPr>
      <w:contextualSpacing/>
    </w:pPr>
  </w:style>
  <w:style w:type="paragraph" w:styleId="ListNumber2">
    <w:name w:val="List Number 2"/>
    <w:basedOn w:val="Normal"/>
    <w:unhideWhenUsed/>
    <w:qFormat/>
    <w:rsid w:val="00062808"/>
    <w:pPr>
      <w:numPr>
        <w:numId w:val="4"/>
      </w:numPr>
      <w:contextualSpacing/>
    </w:pPr>
  </w:style>
  <w:style w:type="character" w:styleId="PageNumber">
    <w:name w:val="page number"/>
    <w:unhideWhenUsed/>
    <w:rsid w:val="00062808"/>
    <w:rPr>
      <w:sz w:val="16"/>
      <w:szCs w:val="16"/>
    </w:rPr>
  </w:style>
  <w:style w:type="paragraph" w:styleId="BalloonText">
    <w:name w:val="Balloon Text"/>
    <w:basedOn w:val="Normal"/>
    <w:link w:val="BalloonTextChar"/>
    <w:semiHidden/>
    <w:unhideWhenUsed/>
    <w:rsid w:val="00062808"/>
    <w:pPr>
      <w:snapToGrid/>
      <w:spacing w:after="0" w:line="240" w:lineRule="auto"/>
    </w:pPr>
    <w:rPr>
      <w:rFonts w:ascii="Arial" w:eastAsia="Times New Roman" w:hAnsi="Arial" w:cs="Tahoma"/>
      <w:color w:val="0075BD" w:themeColor="accent2"/>
      <w:sz w:val="16"/>
      <w:szCs w:val="16"/>
    </w:rPr>
  </w:style>
  <w:style w:type="character" w:customStyle="1" w:styleId="BalloonTextChar">
    <w:name w:val="Balloon Text Char"/>
    <w:basedOn w:val="DefaultParagraphFont"/>
    <w:link w:val="BalloonText"/>
    <w:semiHidden/>
    <w:rsid w:val="00062808"/>
    <w:rPr>
      <w:rFonts w:ascii="Arial" w:hAnsi="Arial" w:cs="Tahoma"/>
      <w:color w:val="0075BD" w:themeColor="accent2"/>
      <w:sz w:val="16"/>
      <w:szCs w:val="16"/>
    </w:rPr>
  </w:style>
  <w:style w:type="table" w:customStyle="1" w:styleId="DOT1">
    <w:name w:val="DOT 1"/>
    <w:basedOn w:val="TableNormal"/>
    <w:uiPriority w:val="99"/>
    <w:locked/>
    <w:rsid w:val="00062808"/>
    <w:rPr>
      <w:rFonts w:ascii="Arial" w:eastAsiaTheme="minorHAnsi" w:hAnsi="Arial" w:cstheme="minorBidi"/>
      <w:szCs w:val="22"/>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FE1DF" w:themeFill="background2"/>
      </w:tcPr>
    </w:tblStylePr>
    <w:tblStylePr w:type="firstCol">
      <w:rPr>
        <w:rFonts w:ascii="Arial" w:hAnsi="Arial"/>
        <w:b/>
        <w:sz w:val="20"/>
      </w:rPr>
    </w:tblStylePr>
  </w:style>
  <w:style w:type="table" w:styleId="LightShading">
    <w:name w:val="Light Shading"/>
    <w:basedOn w:val="TableNormal"/>
    <w:uiPriority w:val="60"/>
    <w:rsid w:val="00062808"/>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aliases w:val="Calliden TOC 3"/>
    <w:basedOn w:val="Normal"/>
    <w:next w:val="Normal"/>
    <w:autoRedefine/>
    <w:uiPriority w:val="39"/>
    <w:unhideWhenUsed/>
    <w:rsid w:val="008F5175"/>
    <w:pPr>
      <w:tabs>
        <w:tab w:val="left" w:pos="1134"/>
        <w:tab w:val="right" w:pos="9071"/>
        <w:tab w:val="left" w:leader="dot" w:pos="14175"/>
      </w:tabs>
      <w:snapToGrid/>
      <w:spacing w:after="100" w:line="240" w:lineRule="auto"/>
      <w:ind w:left="1134"/>
    </w:pPr>
    <w:rPr>
      <w:rFonts w:ascii="Arial" w:eastAsia="Times New Roman" w:hAnsi="Arial" w:cs="Times New Roman"/>
      <w:color w:val="0075BD" w:themeColor="accent2"/>
      <w:sz w:val="18"/>
      <w:szCs w:val="20"/>
    </w:rPr>
  </w:style>
  <w:style w:type="paragraph" w:customStyle="1" w:styleId="introparagraph">
    <w:name w:val="# intro paragraph"/>
    <w:basedOn w:val="Normal"/>
    <w:qFormat/>
    <w:rsid w:val="00062808"/>
    <w:pPr>
      <w:snapToGrid/>
      <w:spacing w:before="120" w:after="200" w:line="240" w:lineRule="auto"/>
    </w:pPr>
    <w:rPr>
      <w:rFonts w:ascii="Arial" w:eastAsia="Times New Roman" w:hAnsi="Arial" w:cs="Times New Roman"/>
      <w:color w:val="0075BD" w:themeColor="accent2"/>
      <w:sz w:val="28"/>
      <w:szCs w:val="20"/>
    </w:rPr>
  </w:style>
  <w:style w:type="character" w:styleId="IntenseEmphasis">
    <w:name w:val="Intense Emphasis"/>
    <w:basedOn w:val="DefaultParagraphFont"/>
    <w:qFormat/>
    <w:rsid w:val="00062808"/>
    <w:rPr>
      <w:i/>
      <w:iCs/>
      <w:color w:val="78BF42"/>
    </w:rPr>
  </w:style>
  <w:style w:type="paragraph" w:styleId="TOC5">
    <w:name w:val="toc 5"/>
    <w:basedOn w:val="Normal"/>
    <w:next w:val="Normal"/>
    <w:autoRedefine/>
    <w:uiPriority w:val="39"/>
    <w:unhideWhenUsed/>
    <w:rsid w:val="00062808"/>
    <w:pPr>
      <w:tabs>
        <w:tab w:val="left" w:leader="dot" w:pos="14175"/>
      </w:tabs>
      <w:snapToGrid/>
      <w:spacing w:before="120" w:after="100" w:line="240" w:lineRule="auto"/>
      <w:ind w:left="720"/>
    </w:pPr>
    <w:rPr>
      <w:rFonts w:ascii="Arial" w:eastAsia="Times New Roman" w:hAnsi="Arial" w:cs="Times New Roman"/>
      <w:color w:val="0075BD" w:themeColor="accent2"/>
      <w:sz w:val="18"/>
      <w:szCs w:val="20"/>
    </w:rPr>
  </w:style>
  <w:style w:type="paragraph" w:styleId="TOC6">
    <w:name w:val="toc 6"/>
    <w:basedOn w:val="Normal"/>
    <w:next w:val="Normal"/>
    <w:autoRedefine/>
    <w:semiHidden/>
    <w:unhideWhenUsed/>
    <w:rsid w:val="00062808"/>
    <w:pPr>
      <w:tabs>
        <w:tab w:val="left" w:leader="dot" w:pos="14175"/>
      </w:tabs>
      <w:snapToGrid/>
      <w:spacing w:before="120" w:after="100" w:line="240" w:lineRule="auto"/>
      <w:ind w:left="900"/>
    </w:pPr>
    <w:rPr>
      <w:rFonts w:ascii="Arial" w:eastAsia="Times New Roman" w:hAnsi="Arial" w:cs="Times New Roman"/>
      <w:color w:val="0075BD" w:themeColor="accent2"/>
      <w:sz w:val="18"/>
      <w:szCs w:val="20"/>
    </w:rPr>
  </w:style>
  <w:style w:type="paragraph" w:styleId="TOC7">
    <w:name w:val="toc 7"/>
    <w:basedOn w:val="Normal"/>
    <w:next w:val="Normal"/>
    <w:autoRedefine/>
    <w:semiHidden/>
    <w:unhideWhenUsed/>
    <w:rsid w:val="00062808"/>
    <w:pPr>
      <w:tabs>
        <w:tab w:val="left" w:leader="dot" w:pos="14175"/>
      </w:tabs>
      <w:snapToGrid/>
      <w:spacing w:before="120" w:after="100" w:line="240" w:lineRule="auto"/>
      <w:ind w:left="1080"/>
    </w:pPr>
    <w:rPr>
      <w:rFonts w:ascii="Arial" w:eastAsia="Times New Roman" w:hAnsi="Arial" w:cs="Times New Roman"/>
      <w:color w:val="0075BD" w:themeColor="accent2"/>
      <w:sz w:val="18"/>
      <w:szCs w:val="20"/>
    </w:rPr>
  </w:style>
  <w:style w:type="paragraph" w:styleId="TOC8">
    <w:name w:val="toc 8"/>
    <w:basedOn w:val="Normal"/>
    <w:next w:val="Normal"/>
    <w:autoRedefine/>
    <w:uiPriority w:val="39"/>
    <w:unhideWhenUsed/>
    <w:rsid w:val="00062808"/>
    <w:pPr>
      <w:tabs>
        <w:tab w:val="left" w:leader="dot" w:pos="14175"/>
      </w:tabs>
      <w:snapToGrid/>
      <w:spacing w:before="120" w:after="100" w:line="240" w:lineRule="auto"/>
      <w:ind w:left="1260"/>
    </w:pPr>
    <w:rPr>
      <w:rFonts w:ascii="Arial" w:eastAsia="Times New Roman" w:hAnsi="Arial" w:cs="Times New Roman"/>
      <w:color w:val="0075BD" w:themeColor="accent2"/>
      <w:sz w:val="18"/>
      <w:szCs w:val="20"/>
    </w:rPr>
  </w:style>
  <w:style w:type="paragraph" w:styleId="TOC9">
    <w:name w:val="toc 9"/>
    <w:basedOn w:val="Normal"/>
    <w:next w:val="Normal"/>
    <w:autoRedefine/>
    <w:uiPriority w:val="39"/>
    <w:semiHidden/>
    <w:unhideWhenUsed/>
    <w:rsid w:val="00062808"/>
    <w:pPr>
      <w:tabs>
        <w:tab w:val="left" w:leader="dot" w:pos="14175"/>
      </w:tabs>
      <w:snapToGrid/>
      <w:spacing w:before="120" w:after="100" w:line="240" w:lineRule="auto"/>
      <w:ind w:left="1440"/>
    </w:pPr>
    <w:rPr>
      <w:rFonts w:ascii="Arial" w:eastAsia="Times New Roman" w:hAnsi="Arial" w:cs="Times New Roman"/>
      <w:color w:val="0075BD" w:themeColor="accent2"/>
      <w:sz w:val="18"/>
      <w:szCs w:val="20"/>
    </w:rPr>
  </w:style>
  <w:style w:type="paragraph" w:customStyle="1" w:styleId="iinstructions">
    <w:name w:val="# iinstructions"/>
    <w:basedOn w:val="Normal"/>
    <w:link w:val="iinstructionsChar"/>
    <w:qFormat/>
    <w:locked/>
    <w:rsid w:val="00062808"/>
    <w:pPr>
      <w:snapToGrid/>
      <w:spacing w:before="60" w:after="120" w:line="240" w:lineRule="auto"/>
    </w:pPr>
    <w:rPr>
      <w:rFonts w:ascii="Arial" w:eastAsia="Times New Roman" w:hAnsi="Arial" w:cs="Times New Roman"/>
      <w:color w:val="auto"/>
      <w:sz w:val="18"/>
      <w:szCs w:val="20"/>
    </w:rPr>
  </w:style>
  <w:style w:type="character" w:customStyle="1" w:styleId="iinstructionsChar">
    <w:name w:val="# iinstructions Char"/>
    <w:basedOn w:val="DefaultParagraphFont"/>
    <w:link w:val="iinstructions"/>
    <w:rsid w:val="00062808"/>
    <w:rPr>
      <w:rFonts w:ascii="Arial" w:hAnsi="Arial"/>
      <w:sz w:val="18"/>
    </w:rPr>
  </w:style>
  <w:style w:type="character" w:styleId="PlaceholderText">
    <w:name w:val="Placeholder Text"/>
    <w:basedOn w:val="DefaultParagraphFont"/>
    <w:uiPriority w:val="99"/>
    <w:rsid w:val="00062808"/>
    <w:rPr>
      <w:color w:val="808080"/>
    </w:rPr>
  </w:style>
  <w:style w:type="paragraph" w:customStyle="1" w:styleId="Reporttitle">
    <w:name w:val="Report title"/>
    <w:basedOn w:val="Normal"/>
    <w:qFormat/>
    <w:rsid w:val="00062808"/>
    <w:pPr>
      <w:snapToGrid/>
      <w:spacing w:before="120" w:after="200" w:line="240" w:lineRule="auto"/>
    </w:pPr>
    <w:rPr>
      <w:rFonts w:ascii="Arial" w:eastAsia="Times New Roman" w:hAnsi="Arial" w:cs="Times New Roman"/>
      <w:bCs/>
      <w:color w:val="FFFFFF" w:themeColor="background1"/>
      <w:sz w:val="44"/>
      <w:szCs w:val="20"/>
    </w:rPr>
  </w:style>
  <w:style w:type="paragraph" w:customStyle="1" w:styleId="Tabletitle">
    <w:name w:val="Table title"/>
    <w:basedOn w:val="Normal"/>
    <w:qFormat/>
    <w:rsid w:val="00062808"/>
    <w:pPr>
      <w:snapToGrid/>
      <w:spacing w:before="60" w:after="60" w:line="240" w:lineRule="auto"/>
    </w:pPr>
    <w:rPr>
      <w:rFonts w:ascii="Arial" w:eastAsia="Times New Roman" w:hAnsi="Arial" w:cs="Times New Roman"/>
      <w:color w:val="FFFFFF" w:themeColor="background1"/>
      <w:sz w:val="18"/>
      <w:szCs w:val="20"/>
    </w:rPr>
  </w:style>
  <w:style w:type="paragraph" w:customStyle="1" w:styleId="Tabletext">
    <w:name w:val="Table text"/>
    <w:basedOn w:val="Normal"/>
    <w:qFormat/>
    <w:rsid w:val="00062808"/>
    <w:pPr>
      <w:snapToGrid/>
      <w:spacing w:before="60" w:after="60" w:line="240" w:lineRule="auto"/>
    </w:pPr>
    <w:rPr>
      <w:rFonts w:ascii="Arial" w:eastAsia="Times New Roman" w:hAnsi="Arial" w:cs="Times New Roman"/>
      <w:color w:val="0075BD" w:themeColor="accent2"/>
      <w:sz w:val="18"/>
      <w:szCs w:val="20"/>
    </w:rPr>
  </w:style>
  <w:style w:type="paragraph" w:customStyle="1" w:styleId="ListBulletLast">
    <w:name w:val="List Bullet Last"/>
    <w:basedOn w:val="ListBullet"/>
    <w:qFormat/>
    <w:rsid w:val="00062808"/>
    <w:pPr>
      <w:tabs>
        <w:tab w:val="clear" w:pos="360"/>
      </w:tabs>
      <w:snapToGrid/>
      <w:spacing w:after="200" w:line="240" w:lineRule="auto"/>
      <w:contextualSpacing w:val="0"/>
    </w:pPr>
    <w:rPr>
      <w:rFonts w:ascii="Arial" w:eastAsia="Times New Roman" w:hAnsi="Arial" w:cs="Times New Roman"/>
      <w:color w:val="0075BD" w:themeColor="accent2"/>
      <w:sz w:val="18"/>
      <w:szCs w:val="20"/>
    </w:rPr>
  </w:style>
  <w:style w:type="paragraph" w:customStyle="1" w:styleId="ListBullet1">
    <w:name w:val="List Bullet 1"/>
    <w:basedOn w:val="ListBullet"/>
    <w:qFormat/>
    <w:rsid w:val="00062808"/>
    <w:pPr>
      <w:tabs>
        <w:tab w:val="clear" w:pos="360"/>
      </w:tabs>
      <w:snapToGrid/>
      <w:spacing w:after="120" w:line="240" w:lineRule="auto"/>
      <w:contextualSpacing w:val="0"/>
    </w:pPr>
    <w:rPr>
      <w:rFonts w:ascii="Arial" w:eastAsia="Times New Roman" w:hAnsi="Arial" w:cs="Times New Roman"/>
      <w:color w:val="0075BD" w:themeColor="accent2"/>
      <w:sz w:val="18"/>
      <w:szCs w:val="20"/>
    </w:rPr>
  </w:style>
  <w:style w:type="table" w:customStyle="1" w:styleId="TableGrid1">
    <w:name w:val="Table Grid1"/>
    <w:basedOn w:val="TableNormal"/>
    <w:next w:val="TableGrid"/>
    <w:rsid w:val="00062808"/>
    <w:pPr>
      <w:spacing w:before="60" w:after="60" w:line="220" w:lineRule="atLeast"/>
      <w:ind w:left="113" w:right="113"/>
    </w:pPr>
    <w:rPr>
      <w:rFonts w:asciiTheme="minorHAnsi" w:hAnsiTheme="minorHAnsi"/>
      <w:color w:val="363534"/>
      <w:sz w:val="18"/>
      <w:lang w:eastAsia="en-AU"/>
    </w:rPr>
    <w:tblPr>
      <w:tblStyleColBandSize w:val="1"/>
      <w:tblBorders>
        <w:top w:val="single" w:sz="8" w:space="0" w:color="B3272F"/>
        <w:bottom w:val="single" w:sz="8" w:space="0" w:color="B3272F"/>
        <w:insideH w:val="single" w:sz="8" w:space="0" w:color="B3272F"/>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B3272F"/>
      </w:tcPr>
    </w:tblStylePr>
    <w:tblStylePr w:type="lastRow">
      <w:rPr>
        <w:b w:val="0"/>
      </w:rPr>
    </w:tblStylePr>
    <w:tblStylePr w:type="lastCol">
      <w:pPr>
        <w:jc w:val="left"/>
      </w:pPr>
    </w:tblStylePr>
    <w:tblStylePr w:type="band1Vert">
      <w:tblPr/>
      <w:tcPr>
        <w:shd w:val="clear" w:color="auto" w:fill="F7E9EA"/>
      </w:tcPr>
    </w:tblStylePr>
    <w:tblStylePr w:type="nwCell">
      <w:pPr>
        <w:jc w:val="left"/>
      </w:pPr>
    </w:tblStylePr>
  </w:style>
  <w:style w:type="paragraph" w:customStyle="1" w:styleId="Heading1TopofPage">
    <w:name w:val="Heading 1 Top of Page"/>
    <w:basedOn w:val="Heading1"/>
    <w:next w:val="BodyText"/>
    <w:qFormat/>
    <w:rsid w:val="00062808"/>
    <w:pPr>
      <w:keepNext/>
      <w:keepLines/>
      <w:framePr w:w="11907" w:h="1701" w:hSpace="11340" w:wrap="around" w:vAnchor="page" w:hAnchor="page" w:yAlign="top"/>
      <w:snapToGrid/>
      <w:spacing w:before="1300" w:line="440" w:lineRule="exact"/>
      <w:ind w:left="1134"/>
    </w:pPr>
    <w:rPr>
      <w:rFonts w:asciiTheme="minorHAnsi" w:eastAsia="Times New Roman" w:hAnsiTheme="minorHAnsi"/>
      <w:kern w:val="32"/>
      <w:sz w:val="40"/>
      <w:szCs w:val="32"/>
      <w:lang w:eastAsia="en-AU"/>
    </w:rPr>
  </w:style>
  <w:style w:type="paragraph" w:customStyle="1" w:styleId="CaptionImageorFigure">
    <w:name w:val="Caption Image or Figure"/>
    <w:basedOn w:val="Caption"/>
    <w:qFormat/>
    <w:rsid w:val="00062808"/>
    <w:pPr>
      <w:keepNext/>
      <w:spacing w:before="60" w:after="120" w:line="200" w:lineRule="atLeast"/>
    </w:pPr>
    <w:rPr>
      <w:rFonts w:asciiTheme="minorHAnsi" w:hAnsiTheme="minorHAnsi" w:cs="Arial"/>
      <w:b/>
      <w:bCs/>
      <w:i w:val="0"/>
      <w:iCs w:val="0"/>
      <w:color w:val="000000" w:themeColor="text1"/>
      <w:sz w:val="16"/>
      <w:szCs w:val="20"/>
      <w:lang w:eastAsia="en-AU"/>
    </w:rPr>
  </w:style>
  <w:style w:type="table" w:customStyle="1" w:styleId="HighlightTable">
    <w:name w:val="Highlight Table"/>
    <w:basedOn w:val="TableNormal"/>
    <w:uiPriority w:val="99"/>
    <w:rsid w:val="00062808"/>
    <w:rPr>
      <w:rFonts w:asciiTheme="minorHAnsi" w:hAnsiTheme="minorHAnsi" w:cs="Arial"/>
      <w:color w:val="FFFFFF"/>
      <w:sz w:val="24"/>
      <w:lang w:eastAsia="en-AU"/>
    </w:rPr>
    <w:tblPr>
      <w:tblCellMar>
        <w:top w:w="227" w:type="dxa"/>
        <w:left w:w="0" w:type="dxa"/>
        <w:bottom w:w="227" w:type="dxa"/>
        <w:right w:w="0" w:type="dxa"/>
      </w:tblCellMar>
    </w:tblPr>
    <w:tcPr>
      <w:shd w:val="clear" w:color="auto" w:fill="B3272F"/>
    </w:tcPr>
  </w:style>
  <w:style w:type="character" w:styleId="BookTitle">
    <w:name w:val="Book Title"/>
    <w:basedOn w:val="DefaultParagraphFont"/>
    <w:uiPriority w:val="33"/>
    <w:qFormat/>
    <w:rsid w:val="00062808"/>
    <w:rPr>
      <w:b/>
      <w:bCs/>
      <w:i/>
      <w:iCs/>
      <w:spacing w:val="5"/>
    </w:rPr>
  </w:style>
  <w:style w:type="paragraph" w:styleId="IntenseQuote">
    <w:name w:val="Intense Quote"/>
    <w:basedOn w:val="Normal"/>
    <w:next w:val="Normal"/>
    <w:link w:val="IntenseQuoteChar"/>
    <w:qFormat/>
    <w:rsid w:val="00062808"/>
    <w:pPr>
      <w:pBdr>
        <w:top w:val="single" w:sz="4" w:space="10" w:color="005F9E" w:themeColor="accent1"/>
        <w:bottom w:val="single" w:sz="4" w:space="10" w:color="005F9E" w:themeColor="accent1"/>
      </w:pBdr>
      <w:snapToGrid/>
      <w:spacing w:before="360" w:after="360" w:line="240" w:lineRule="auto"/>
      <w:ind w:left="864" w:right="864"/>
      <w:jc w:val="center"/>
    </w:pPr>
    <w:rPr>
      <w:rFonts w:ascii="Arial" w:eastAsia="Times New Roman" w:hAnsi="Arial" w:cs="Times New Roman"/>
      <w:i/>
      <w:iCs/>
      <w:color w:val="005F9E" w:themeColor="accent1"/>
      <w:sz w:val="18"/>
      <w:szCs w:val="20"/>
    </w:rPr>
  </w:style>
  <w:style w:type="character" w:customStyle="1" w:styleId="IntenseQuoteChar">
    <w:name w:val="Intense Quote Char"/>
    <w:basedOn w:val="DefaultParagraphFont"/>
    <w:link w:val="IntenseQuote"/>
    <w:rsid w:val="00062808"/>
    <w:rPr>
      <w:rFonts w:ascii="Arial" w:hAnsi="Arial"/>
      <w:i/>
      <w:iCs/>
      <w:color w:val="005F9E" w:themeColor="accent1"/>
      <w:sz w:val="18"/>
    </w:rPr>
  </w:style>
  <w:style w:type="paragraph" w:customStyle="1" w:styleId="HighlightBoxBullet">
    <w:name w:val="Highlight Box Bullet"/>
    <w:basedOn w:val="HighlightBoxText"/>
    <w:qFormat/>
    <w:rsid w:val="00062808"/>
    <w:pPr>
      <w:numPr>
        <w:numId w:val="13"/>
      </w:numPr>
      <w:tabs>
        <w:tab w:val="left" w:pos="454"/>
      </w:tabs>
    </w:pPr>
  </w:style>
  <w:style w:type="paragraph" w:customStyle="1" w:styleId="xDisclaimertext3">
    <w:name w:val="xDisclaimer text 3"/>
    <w:basedOn w:val="xDisclaimerText"/>
    <w:rsid w:val="00062808"/>
    <w:pPr>
      <w:spacing w:before="60" w:after="60"/>
    </w:pPr>
  </w:style>
  <w:style w:type="paragraph" w:customStyle="1" w:styleId="FooterOdd">
    <w:name w:val="Footer Odd"/>
    <w:next w:val="Footer"/>
    <w:rsid w:val="00062808"/>
    <w:pPr>
      <w:spacing w:line="200" w:lineRule="atLeast"/>
      <w:jc w:val="right"/>
    </w:pPr>
    <w:rPr>
      <w:rFonts w:asciiTheme="minorHAnsi" w:hAnsiTheme="minorHAnsi" w:cs="Arial"/>
      <w:color w:val="000000" w:themeColor="text1"/>
      <w:spacing w:val="2"/>
      <w:sz w:val="16"/>
      <w:lang w:eastAsia="en-AU"/>
    </w:rPr>
  </w:style>
  <w:style w:type="paragraph" w:customStyle="1" w:styleId="FooterEven">
    <w:name w:val="Footer Even"/>
    <w:next w:val="Footer"/>
    <w:rsid w:val="00062808"/>
    <w:pPr>
      <w:spacing w:line="200" w:lineRule="atLeast"/>
    </w:pPr>
    <w:rPr>
      <w:rFonts w:asciiTheme="minorHAnsi" w:hAnsiTheme="minorHAnsi" w:cs="Arial"/>
      <w:color w:val="000000" w:themeColor="text1"/>
      <w:sz w:val="16"/>
      <w:lang w:eastAsia="en-AU"/>
    </w:rPr>
  </w:style>
  <w:style w:type="paragraph" w:customStyle="1" w:styleId="FooterOddPageNumber">
    <w:name w:val="Footer Odd Page Number"/>
    <w:basedOn w:val="FooterOdd"/>
    <w:rsid w:val="00062808"/>
    <w:pPr>
      <w:ind w:right="28"/>
    </w:pPr>
    <w:rPr>
      <w:b/>
      <w:color w:val="005F9E" w:themeColor="accent1"/>
    </w:rPr>
  </w:style>
  <w:style w:type="paragraph" w:customStyle="1" w:styleId="FootnoteSeparator">
    <w:name w:val="Footnote Separator"/>
    <w:basedOn w:val="Normal"/>
    <w:unhideWhenUsed/>
    <w:rsid w:val="00062808"/>
    <w:pPr>
      <w:pBdr>
        <w:top w:val="dotted" w:sz="8" w:space="0" w:color="000000" w:themeColor="text1"/>
      </w:pBdr>
      <w:snapToGrid/>
      <w:spacing w:before="120" w:after="0" w:line="120" w:lineRule="exact"/>
    </w:pPr>
    <w:rPr>
      <w:rFonts w:eastAsia="Times New Roman"/>
      <w:sz w:val="16"/>
      <w:szCs w:val="16"/>
      <w:lang w:eastAsia="en-AU"/>
    </w:rPr>
  </w:style>
  <w:style w:type="paragraph" w:customStyle="1" w:styleId="Emailaddress">
    <w:name w:val="Email address"/>
    <w:basedOn w:val="Normal"/>
    <w:semiHidden/>
    <w:rsid w:val="00062808"/>
    <w:pPr>
      <w:snapToGrid/>
      <w:spacing w:after="0" w:line="240" w:lineRule="atLeast"/>
    </w:pPr>
    <w:rPr>
      <w:rFonts w:eastAsia="Times New Roman"/>
      <w:sz w:val="16"/>
      <w:szCs w:val="16"/>
      <w:lang w:eastAsia="en-AU"/>
    </w:rPr>
  </w:style>
  <w:style w:type="character" w:customStyle="1" w:styleId="Italics">
    <w:name w:val="Italics"/>
    <w:rsid w:val="00062808"/>
    <w:rPr>
      <w:i/>
    </w:rPr>
  </w:style>
  <w:style w:type="paragraph" w:styleId="ListContinue">
    <w:name w:val="List Continue"/>
    <w:basedOn w:val="Normal"/>
    <w:semiHidden/>
    <w:qFormat/>
    <w:rsid w:val="00062808"/>
    <w:pPr>
      <w:snapToGrid/>
      <w:spacing w:before="220" w:after="220" w:line="240" w:lineRule="atLeast"/>
      <w:ind w:left="340"/>
    </w:pPr>
    <w:rPr>
      <w:rFonts w:eastAsia="Times New Roman"/>
      <w:sz w:val="20"/>
      <w:szCs w:val="20"/>
      <w:lang w:eastAsia="en-AU"/>
    </w:rPr>
  </w:style>
  <w:style w:type="paragraph" w:styleId="ListContinue2">
    <w:name w:val="List Continue 2"/>
    <w:basedOn w:val="Normal"/>
    <w:semiHidden/>
    <w:qFormat/>
    <w:rsid w:val="00062808"/>
    <w:pPr>
      <w:snapToGrid/>
      <w:spacing w:before="220" w:after="220" w:line="240" w:lineRule="atLeast"/>
      <w:ind w:left="680"/>
    </w:pPr>
    <w:rPr>
      <w:rFonts w:eastAsia="Times New Roman"/>
      <w:sz w:val="20"/>
      <w:szCs w:val="20"/>
      <w:lang w:eastAsia="en-AU"/>
    </w:rPr>
  </w:style>
  <w:style w:type="paragraph" w:styleId="ListNumber3">
    <w:name w:val="List Number 3"/>
    <w:basedOn w:val="Normal"/>
    <w:qFormat/>
    <w:rsid w:val="00062808"/>
    <w:pPr>
      <w:snapToGrid/>
      <w:spacing w:before="120" w:after="120" w:line="240" w:lineRule="atLeast"/>
    </w:pPr>
    <w:rPr>
      <w:rFonts w:eastAsia="Times New Roman"/>
      <w:sz w:val="20"/>
      <w:szCs w:val="20"/>
      <w:lang w:eastAsia="en-AU"/>
    </w:rPr>
  </w:style>
  <w:style w:type="paragraph" w:customStyle="1" w:styleId="TableTextBullet2">
    <w:name w:val="Table Text Bullet 2"/>
    <w:basedOn w:val="TableTextBullet"/>
    <w:qFormat/>
    <w:rsid w:val="00062808"/>
    <w:pPr>
      <w:numPr>
        <w:ilvl w:val="1"/>
      </w:numPr>
      <w:tabs>
        <w:tab w:val="clear" w:pos="454"/>
      </w:tabs>
      <w:ind w:left="1440" w:hanging="360"/>
    </w:pPr>
    <w:rPr>
      <w:bCs/>
    </w:rPr>
  </w:style>
  <w:style w:type="paragraph" w:customStyle="1" w:styleId="TableTextBullet3">
    <w:name w:val="Table Text Bullet 3"/>
    <w:basedOn w:val="TableTextBullet2"/>
    <w:qFormat/>
    <w:rsid w:val="00062808"/>
    <w:pPr>
      <w:numPr>
        <w:ilvl w:val="2"/>
      </w:numPr>
      <w:tabs>
        <w:tab w:val="clear" w:pos="624"/>
      </w:tabs>
      <w:ind w:left="2160" w:hanging="180"/>
    </w:pPr>
    <w:rPr>
      <w:bCs w:val="0"/>
    </w:rPr>
  </w:style>
  <w:style w:type="paragraph" w:customStyle="1" w:styleId="xDoublePic">
    <w:name w:val="xDoublePic"/>
    <w:basedOn w:val="xInlineShape"/>
    <w:semiHidden/>
    <w:rsid w:val="00062808"/>
    <w:pPr>
      <w:spacing w:before="0" w:after="0"/>
    </w:pPr>
  </w:style>
  <w:style w:type="paragraph" w:customStyle="1" w:styleId="Footnotes">
    <w:name w:val="Footnotes"/>
    <w:basedOn w:val="Normal"/>
    <w:rsid w:val="00062808"/>
    <w:pPr>
      <w:keepLines/>
      <w:numPr>
        <w:numId w:val="16"/>
      </w:numPr>
      <w:snapToGrid/>
      <w:spacing w:before="60" w:after="100" w:afterAutospacing="1" w:line="180" w:lineRule="exact"/>
    </w:pPr>
    <w:rPr>
      <w:rFonts w:eastAsia="Times New Roman"/>
      <w:sz w:val="14"/>
      <w:szCs w:val="20"/>
      <w:lang w:eastAsia="en-AU"/>
    </w:rPr>
  </w:style>
  <w:style w:type="character" w:customStyle="1" w:styleId="Superscript">
    <w:name w:val="Superscript"/>
    <w:semiHidden/>
    <w:rsid w:val="00062808"/>
    <w:rPr>
      <w:vertAlign w:val="superscript"/>
    </w:rPr>
  </w:style>
  <w:style w:type="paragraph" w:styleId="ListBullet3">
    <w:name w:val="List Bullet 3"/>
    <w:basedOn w:val="Normal"/>
    <w:unhideWhenUsed/>
    <w:rsid w:val="00062808"/>
    <w:pPr>
      <w:tabs>
        <w:tab w:val="num" w:pos="510"/>
      </w:tabs>
      <w:snapToGrid/>
      <w:spacing w:before="120" w:after="120" w:line="240" w:lineRule="atLeast"/>
      <w:ind w:left="510" w:hanging="170"/>
    </w:pPr>
    <w:rPr>
      <w:rFonts w:eastAsia="Times New Roman"/>
      <w:sz w:val="20"/>
      <w:szCs w:val="20"/>
      <w:lang w:eastAsia="en-AU"/>
    </w:rPr>
  </w:style>
  <w:style w:type="paragraph" w:customStyle="1" w:styleId="TableTextLeft">
    <w:name w:val="Table Text Left"/>
    <w:basedOn w:val="Normal"/>
    <w:link w:val="TableTextLeftChar"/>
    <w:qFormat/>
    <w:rsid w:val="00062808"/>
    <w:pPr>
      <w:snapToGrid/>
      <w:spacing w:before="60" w:after="60" w:line="220" w:lineRule="atLeast"/>
      <w:ind w:left="113" w:right="113"/>
    </w:pPr>
    <w:rPr>
      <w:rFonts w:eastAsia="Times New Roman"/>
      <w:sz w:val="18"/>
      <w:szCs w:val="20"/>
      <w:lang w:eastAsia="en-AU"/>
    </w:rPr>
  </w:style>
  <w:style w:type="paragraph" w:customStyle="1" w:styleId="TableTextBullet">
    <w:name w:val="Table Text Bullet"/>
    <w:basedOn w:val="TableTextLeft"/>
    <w:qFormat/>
    <w:rsid w:val="00062808"/>
    <w:pPr>
      <w:numPr>
        <w:numId w:val="18"/>
      </w:numPr>
      <w:tabs>
        <w:tab w:val="clear" w:pos="284"/>
      </w:tabs>
      <w:ind w:left="720" w:hanging="360"/>
    </w:pPr>
  </w:style>
  <w:style w:type="paragraph" w:customStyle="1" w:styleId="TableTextNumbered">
    <w:name w:val="Table Text Numbered"/>
    <w:basedOn w:val="TableTextLeft"/>
    <w:qFormat/>
    <w:rsid w:val="00062808"/>
    <w:pPr>
      <w:numPr>
        <w:numId w:val="14"/>
      </w:numPr>
      <w:tabs>
        <w:tab w:val="clear" w:pos="482"/>
      </w:tabs>
      <w:ind w:left="1080" w:hanging="720"/>
    </w:pPr>
  </w:style>
  <w:style w:type="paragraph" w:customStyle="1" w:styleId="TableTextNumbered2">
    <w:name w:val="Table Text Numbered 2"/>
    <w:basedOn w:val="TableTextNumbered"/>
    <w:qFormat/>
    <w:rsid w:val="00062808"/>
    <w:pPr>
      <w:numPr>
        <w:ilvl w:val="1"/>
      </w:numPr>
      <w:tabs>
        <w:tab w:val="clear" w:pos="822"/>
        <w:tab w:val="num" w:pos="1080"/>
      </w:tabs>
      <w:ind w:left="1440" w:hanging="360"/>
    </w:pPr>
  </w:style>
  <w:style w:type="paragraph" w:customStyle="1" w:styleId="TableTextNumbered3">
    <w:name w:val="Table Text Numbered 3"/>
    <w:basedOn w:val="TableTextNumbered2"/>
    <w:qFormat/>
    <w:rsid w:val="00062808"/>
    <w:pPr>
      <w:numPr>
        <w:ilvl w:val="2"/>
      </w:numPr>
      <w:tabs>
        <w:tab w:val="clear" w:pos="1219"/>
        <w:tab w:val="num" w:pos="1080"/>
        <w:tab w:val="num" w:pos="1800"/>
      </w:tabs>
      <w:ind w:left="2160" w:hanging="360"/>
    </w:pPr>
  </w:style>
  <w:style w:type="paragraph" w:customStyle="1" w:styleId="TableTextLeftBold">
    <w:name w:val="Table Text Left Bold"/>
    <w:basedOn w:val="TableTextLeft"/>
    <w:qFormat/>
    <w:rsid w:val="00062808"/>
    <w:rPr>
      <w:b/>
    </w:rPr>
  </w:style>
  <w:style w:type="paragraph" w:customStyle="1" w:styleId="BoldHeading">
    <w:name w:val="Bold Heading"/>
    <w:basedOn w:val="Normal"/>
    <w:next w:val="BodyText"/>
    <w:qFormat/>
    <w:rsid w:val="00062808"/>
    <w:pPr>
      <w:snapToGrid/>
      <w:spacing w:before="280" w:after="240" w:line="240" w:lineRule="atLeast"/>
    </w:pPr>
    <w:rPr>
      <w:rFonts w:eastAsia="Times New Roman"/>
      <w:b/>
      <w:sz w:val="20"/>
      <w:szCs w:val="20"/>
      <w:lang w:eastAsia="en-AU"/>
    </w:rPr>
  </w:style>
  <w:style w:type="paragraph" w:customStyle="1" w:styleId="xInlineShape">
    <w:name w:val="xInlineShape"/>
    <w:basedOn w:val="Normal"/>
    <w:next w:val="BodyText"/>
    <w:uiPriority w:val="3"/>
    <w:semiHidden/>
    <w:rsid w:val="00062808"/>
    <w:pPr>
      <w:keepNext/>
      <w:snapToGrid/>
      <w:spacing w:before="120" w:after="20" w:line="240" w:lineRule="auto"/>
    </w:pPr>
    <w:rPr>
      <w:rFonts w:eastAsia="Times New Roman"/>
      <w:sz w:val="20"/>
      <w:szCs w:val="20"/>
      <w:lang w:eastAsia="en-AU"/>
    </w:rPr>
  </w:style>
  <w:style w:type="paragraph" w:customStyle="1" w:styleId="xDisclaimerHeading">
    <w:name w:val="xDisclaimer Heading"/>
    <w:basedOn w:val="Normal"/>
    <w:rsid w:val="00062808"/>
    <w:pPr>
      <w:snapToGrid/>
      <w:spacing w:before="170" w:after="20" w:line="170" w:lineRule="atLeast"/>
    </w:pPr>
    <w:rPr>
      <w:rFonts w:eastAsia="Times New Roman"/>
      <w:b/>
      <w:sz w:val="16"/>
      <w:szCs w:val="20"/>
      <w:lang w:eastAsia="en-AU"/>
    </w:rPr>
  </w:style>
  <w:style w:type="table" w:customStyle="1" w:styleId="TableAsPlaceholder">
    <w:name w:val="Table As Placeholder"/>
    <w:basedOn w:val="TableNormal"/>
    <w:uiPriority w:val="99"/>
    <w:qFormat/>
    <w:rsid w:val="00062808"/>
    <w:pPr>
      <w:spacing w:line="240" w:lineRule="atLeast"/>
    </w:pPr>
    <w:rPr>
      <w:rFonts w:asciiTheme="minorHAnsi" w:hAnsiTheme="minorHAnsi" w:cs="Arial"/>
      <w:color w:val="000000" w:themeColor="text1"/>
      <w:lang w:eastAsia="en-AU"/>
    </w:rPr>
    <w:tblPr>
      <w:tblCellMar>
        <w:left w:w="0" w:type="dxa"/>
        <w:right w:w="0" w:type="dxa"/>
      </w:tblCellMar>
    </w:tblPr>
  </w:style>
  <w:style w:type="paragraph" w:styleId="TOC4">
    <w:name w:val="toc 4"/>
    <w:aliases w:val="Calliden TOC 4"/>
    <w:basedOn w:val="Normal"/>
    <w:uiPriority w:val="39"/>
    <w:rsid w:val="00062808"/>
    <w:pPr>
      <w:tabs>
        <w:tab w:val="right" w:leader="dot" w:pos="9582"/>
      </w:tabs>
      <w:snapToGrid/>
      <w:spacing w:before="60" w:after="60" w:line="240" w:lineRule="atLeast"/>
      <w:ind w:left="284" w:right="851"/>
    </w:pPr>
    <w:rPr>
      <w:rFonts w:eastAsia="Times New Roman"/>
      <w:noProof/>
      <w:color w:val="4F4E4E"/>
      <w:sz w:val="20"/>
      <w:szCs w:val="20"/>
      <w:lang w:eastAsia="en-AU"/>
    </w:rPr>
  </w:style>
  <w:style w:type="paragraph" w:customStyle="1" w:styleId="TOFHeading">
    <w:name w:val="TOF Heading"/>
    <w:basedOn w:val="Normal"/>
    <w:uiPriority w:val="99"/>
    <w:rsid w:val="00062808"/>
    <w:pPr>
      <w:keepNext/>
      <w:tabs>
        <w:tab w:val="left" w:pos="2268"/>
      </w:tabs>
      <w:snapToGrid/>
      <w:spacing w:before="240" w:after="60" w:line="240" w:lineRule="atLeast"/>
    </w:pPr>
    <w:rPr>
      <w:rFonts w:eastAsia="Times New Roman"/>
      <w:b/>
      <w:color w:val="545759" w:themeColor="text2"/>
      <w:sz w:val="24"/>
      <w:szCs w:val="32"/>
      <w:lang w:eastAsia="en-AU"/>
    </w:rPr>
  </w:style>
  <w:style w:type="paragraph" w:customStyle="1" w:styleId="BodyText12ptBefore">
    <w:name w:val="Body Text 12pt Before"/>
    <w:basedOn w:val="BodyText"/>
    <w:next w:val="BodyText"/>
    <w:qFormat/>
    <w:rsid w:val="00062808"/>
    <w:pPr>
      <w:spacing w:before="240"/>
    </w:pPr>
  </w:style>
  <w:style w:type="paragraph" w:customStyle="1" w:styleId="AppendixHeading3">
    <w:name w:val="Appendix Heading 3"/>
    <w:basedOn w:val="Normal"/>
    <w:next w:val="BodyText"/>
    <w:uiPriority w:val="2"/>
    <w:rsid w:val="00062808"/>
    <w:pPr>
      <w:keepNext/>
      <w:keepLines/>
      <w:tabs>
        <w:tab w:val="left" w:pos="1559"/>
        <w:tab w:val="left" w:pos="1843"/>
        <w:tab w:val="left" w:pos="2126"/>
        <w:tab w:val="left" w:pos="2410"/>
        <w:tab w:val="left" w:pos="6804"/>
      </w:tabs>
      <w:snapToGrid/>
      <w:spacing w:before="200" w:after="100" w:line="240" w:lineRule="exact"/>
    </w:pPr>
    <w:rPr>
      <w:rFonts w:asciiTheme="majorHAnsi" w:eastAsia="Times New Roman" w:hAnsiTheme="majorHAnsi"/>
      <w:b/>
      <w:i/>
      <w:color w:val="494847"/>
      <w:sz w:val="20"/>
      <w:szCs w:val="20"/>
      <w:lang w:eastAsia="en-AU"/>
    </w:rPr>
  </w:style>
  <w:style w:type="paragraph" w:customStyle="1" w:styleId="TableofContents2">
    <w:name w:val="TableofContents2"/>
    <w:basedOn w:val="Normal"/>
    <w:semiHidden/>
    <w:rsid w:val="00062808"/>
    <w:pPr>
      <w:keepNext/>
      <w:snapToGrid/>
      <w:spacing w:after="120" w:line="230" w:lineRule="auto"/>
    </w:pPr>
    <w:rPr>
      <w:rFonts w:eastAsia="Times New Roman"/>
      <w:spacing w:val="-6"/>
      <w:sz w:val="40"/>
      <w:szCs w:val="28"/>
      <w:lang w:eastAsia="en-AU"/>
    </w:rPr>
  </w:style>
  <w:style w:type="character" w:customStyle="1" w:styleId="Bold">
    <w:name w:val="Bold"/>
    <w:rsid w:val="00062808"/>
    <w:rPr>
      <w:b/>
    </w:rPr>
  </w:style>
  <w:style w:type="paragraph" w:customStyle="1" w:styleId="xContactDetails">
    <w:name w:val="xContact Details"/>
    <w:basedOn w:val="TableTextLeft"/>
    <w:uiPriority w:val="3"/>
    <w:semiHidden/>
    <w:rsid w:val="00062808"/>
    <w:pPr>
      <w:spacing w:before="40"/>
      <w:contextualSpacing/>
    </w:pPr>
    <w:rPr>
      <w:sz w:val="16"/>
    </w:rPr>
  </w:style>
  <w:style w:type="paragraph" w:customStyle="1" w:styleId="xEntityDetails">
    <w:name w:val="xEntity Details"/>
    <w:basedOn w:val="xContactDetails"/>
    <w:uiPriority w:val="3"/>
    <w:semiHidden/>
    <w:rsid w:val="00062808"/>
    <w:pPr>
      <w:framePr w:wrap="around" w:hAnchor="text"/>
    </w:pPr>
  </w:style>
  <w:style w:type="paragraph" w:customStyle="1" w:styleId="xStatus">
    <w:name w:val="xStatus"/>
    <w:basedOn w:val="Normal"/>
    <w:uiPriority w:val="3"/>
    <w:semiHidden/>
    <w:rsid w:val="00062808"/>
    <w:pPr>
      <w:tabs>
        <w:tab w:val="left" w:pos="1134"/>
        <w:tab w:val="left" w:pos="2268"/>
        <w:tab w:val="left" w:pos="3402"/>
        <w:tab w:val="left" w:pos="4536"/>
        <w:tab w:val="left" w:pos="5103"/>
      </w:tabs>
      <w:snapToGrid/>
      <w:spacing w:after="0" w:line="240" w:lineRule="auto"/>
      <w:jc w:val="center"/>
    </w:pPr>
    <w:rPr>
      <w:rFonts w:eastAsia="Times New Roman"/>
      <w:caps/>
      <w:color w:val="EAEAEA"/>
      <w:spacing w:val="40"/>
      <w:sz w:val="120"/>
      <w:szCs w:val="24"/>
      <w:lang w:eastAsia="en-AU"/>
    </w:rPr>
  </w:style>
  <w:style w:type="paragraph" w:customStyle="1" w:styleId="AppendixHeading2">
    <w:name w:val="Appendix Heading 2"/>
    <w:basedOn w:val="Normal"/>
    <w:next w:val="BodyText"/>
    <w:uiPriority w:val="2"/>
    <w:rsid w:val="00062808"/>
    <w:pPr>
      <w:keepNext/>
      <w:keepLines/>
      <w:tabs>
        <w:tab w:val="left" w:pos="1559"/>
        <w:tab w:val="left" w:pos="1843"/>
        <w:tab w:val="left" w:pos="2126"/>
        <w:tab w:val="left" w:pos="2410"/>
      </w:tabs>
      <w:snapToGrid/>
      <w:spacing w:before="200" w:after="100" w:line="240" w:lineRule="exact"/>
    </w:pPr>
    <w:rPr>
      <w:rFonts w:eastAsia="Times New Roman"/>
      <w:b/>
      <w:color w:val="494847"/>
      <w:sz w:val="20"/>
      <w:szCs w:val="20"/>
      <w:lang w:eastAsia="en-AU"/>
    </w:rPr>
  </w:style>
  <w:style w:type="paragraph" w:customStyle="1" w:styleId="PullOutBoxBodyText">
    <w:name w:val="Pull Out Box Body Text"/>
    <w:basedOn w:val="Normal"/>
    <w:qFormat/>
    <w:rsid w:val="00062808"/>
    <w:pPr>
      <w:snapToGrid/>
      <w:spacing w:before="120" w:after="120" w:line="240" w:lineRule="atLeast"/>
      <w:ind w:left="142" w:right="142"/>
    </w:pPr>
    <w:rPr>
      <w:rFonts w:eastAsia="Times New Roman"/>
      <w:sz w:val="20"/>
      <w:szCs w:val="20"/>
      <w:lang w:eastAsia="en-AU"/>
    </w:rPr>
  </w:style>
  <w:style w:type="paragraph" w:customStyle="1" w:styleId="PullOutBoxHeading">
    <w:name w:val="Pull Out Box Heading"/>
    <w:basedOn w:val="PullOutBoxBodyText"/>
    <w:next w:val="PullOutBoxBodyText"/>
    <w:qFormat/>
    <w:rsid w:val="00062808"/>
    <w:pPr>
      <w:keepNext/>
      <w:keepLines/>
    </w:pPr>
    <w:rPr>
      <w:b/>
      <w:szCs w:val="24"/>
    </w:rPr>
  </w:style>
  <w:style w:type="paragraph" w:customStyle="1" w:styleId="PullOutBoxBullet">
    <w:name w:val="Pull Out Box Bullet"/>
    <w:basedOn w:val="PullOutBoxBodyText"/>
    <w:qFormat/>
    <w:rsid w:val="00062808"/>
    <w:pPr>
      <w:numPr>
        <w:numId w:val="19"/>
      </w:numPr>
    </w:pPr>
  </w:style>
  <w:style w:type="paragraph" w:customStyle="1" w:styleId="PullOutBoxBullet2">
    <w:name w:val="Pull Out Box Bullet 2"/>
    <w:basedOn w:val="PullOutBoxBodyText"/>
    <w:qFormat/>
    <w:rsid w:val="00062808"/>
    <w:pPr>
      <w:numPr>
        <w:ilvl w:val="1"/>
        <w:numId w:val="19"/>
      </w:numPr>
    </w:pPr>
  </w:style>
  <w:style w:type="paragraph" w:customStyle="1" w:styleId="PullOutBoxBullet3">
    <w:name w:val="Pull Out Box Bullet 3"/>
    <w:basedOn w:val="PullOutBoxBodyText"/>
    <w:qFormat/>
    <w:rsid w:val="00062808"/>
    <w:pPr>
      <w:numPr>
        <w:ilvl w:val="2"/>
        <w:numId w:val="19"/>
      </w:numPr>
    </w:pPr>
  </w:style>
  <w:style w:type="paragraph" w:customStyle="1" w:styleId="xBackPageWebAddress">
    <w:name w:val="xBack Page Web Address"/>
    <w:basedOn w:val="Normal"/>
    <w:semiHidden/>
    <w:rsid w:val="00062808"/>
    <w:pPr>
      <w:snapToGrid/>
      <w:spacing w:before="140" w:after="0" w:line="240" w:lineRule="atLeast"/>
    </w:pPr>
    <w:rPr>
      <w:rFonts w:eastAsia="Times New Roman"/>
      <w:color w:val="FFFFFF"/>
      <w:spacing w:val="-6"/>
      <w:sz w:val="36"/>
      <w:szCs w:val="36"/>
      <w:lang w:eastAsia="en-AU"/>
    </w:rPr>
  </w:style>
  <w:style w:type="paragraph" w:customStyle="1" w:styleId="xBackPage">
    <w:name w:val="xBack Page"/>
    <w:basedOn w:val="Normal"/>
    <w:semiHidden/>
    <w:rsid w:val="00062808"/>
    <w:pPr>
      <w:snapToGrid/>
      <w:spacing w:after="0" w:line="240" w:lineRule="atLeast"/>
    </w:pPr>
    <w:rPr>
      <w:rFonts w:eastAsia="Times New Roman"/>
      <w:color w:val="FFFFFF"/>
      <w:sz w:val="20"/>
      <w:szCs w:val="20"/>
      <w:lang w:eastAsia="en-AU"/>
    </w:rPr>
  </w:style>
  <w:style w:type="paragraph" w:customStyle="1" w:styleId="Source">
    <w:name w:val="Source"/>
    <w:basedOn w:val="Normal"/>
    <w:next w:val="BodyText"/>
    <w:rsid w:val="00062808"/>
    <w:pPr>
      <w:snapToGrid/>
      <w:spacing w:before="60" w:after="60" w:line="180" w:lineRule="atLeast"/>
    </w:pPr>
    <w:rPr>
      <w:rFonts w:eastAsia="Times New Roman"/>
      <w:b/>
      <w:i/>
      <w:sz w:val="14"/>
      <w:szCs w:val="20"/>
      <w:lang w:eastAsia="en-AU"/>
    </w:rPr>
  </w:style>
  <w:style w:type="paragraph" w:customStyle="1" w:styleId="xDisclaimerText">
    <w:name w:val="xDisclaimer Text"/>
    <w:basedOn w:val="xContactDetails"/>
    <w:rsid w:val="00062808"/>
    <w:pPr>
      <w:spacing w:before="0" w:after="0" w:line="175" w:lineRule="atLeast"/>
      <w:ind w:left="0" w:right="0"/>
      <w:contextualSpacing w:val="0"/>
    </w:pPr>
  </w:style>
  <w:style w:type="paragraph" w:customStyle="1" w:styleId="IntroFeatureText">
    <w:name w:val="Intro/Feature Text"/>
    <w:basedOn w:val="Normal"/>
    <w:next w:val="BodyText"/>
    <w:qFormat/>
    <w:rsid w:val="00062808"/>
    <w:pPr>
      <w:snapToGrid/>
      <w:spacing w:before="60" w:after="180" w:line="360" w:lineRule="exact"/>
    </w:pPr>
    <w:rPr>
      <w:rFonts w:eastAsia="Times New Roman"/>
      <w:color w:val="545759" w:themeColor="text2"/>
      <w:spacing w:val="-2"/>
      <w:sz w:val="32"/>
      <w:szCs w:val="20"/>
      <w:lang w:eastAsia="en-AU"/>
    </w:rPr>
  </w:style>
  <w:style w:type="character" w:customStyle="1" w:styleId="BoldAndItalics">
    <w:name w:val="Bold And Italics"/>
    <w:semiHidden/>
    <w:rsid w:val="00062808"/>
    <w:rPr>
      <w:b/>
      <w:i/>
    </w:rPr>
  </w:style>
  <w:style w:type="paragraph" w:customStyle="1" w:styleId="TableTextRight">
    <w:name w:val="Table Text Right"/>
    <w:basedOn w:val="TableTextLeft"/>
    <w:qFormat/>
    <w:rsid w:val="00062808"/>
    <w:pPr>
      <w:jc w:val="right"/>
    </w:pPr>
  </w:style>
  <w:style w:type="paragraph" w:customStyle="1" w:styleId="CaptionDescriptive">
    <w:name w:val="Caption Descriptive"/>
    <w:basedOn w:val="BodyText"/>
    <w:next w:val="BodyText"/>
    <w:rsid w:val="00062808"/>
    <w:pPr>
      <w:spacing w:after="60" w:line="240" w:lineRule="auto"/>
      <w:ind w:right="227"/>
    </w:pPr>
    <w:rPr>
      <w:i/>
      <w:sz w:val="18"/>
      <w:szCs w:val="14"/>
    </w:rPr>
  </w:style>
  <w:style w:type="table" w:customStyle="1" w:styleId="PullOutBoxTable">
    <w:name w:val="Pull Out Box Table"/>
    <w:basedOn w:val="TableNormal"/>
    <w:uiPriority w:val="99"/>
    <w:rsid w:val="00062808"/>
    <w:rPr>
      <w:rFonts w:asciiTheme="minorHAnsi" w:hAnsiTheme="minorHAnsi" w:cs="Arial"/>
      <w:color w:val="000000" w:themeColor="text1"/>
      <w:lang w:eastAsia="en-AU"/>
    </w:rPr>
    <w:tblPr>
      <w:tblBorders>
        <w:top w:val="single" w:sz="4" w:space="0" w:color="545759" w:themeColor="text2"/>
        <w:left w:val="single" w:sz="4" w:space="0" w:color="545759" w:themeColor="text2"/>
        <w:bottom w:val="single" w:sz="4" w:space="0" w:color="545759" w:themeColor="text2"/>
        <w:right w:val="single" w:sz="4" w:space="0" w:color="54575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062808"/>
    <w:rPr>
      <w:rFonts w:asciiTheme="minorHAnsi" w:hAnsiTheme="minorHAnsi" w:cs="Arial"/>
      <w:color w:val="000000" w:themeColor="text1"/>
      <w:lang w:eastAsia="en-AU"/>
    </w:rPr>
  </w:style>
  <w:style w:type="paragraph" w:styleId="NormalWeb">
    <w:name w:val="Normal (Web)"/>
    <w:basedOn w:val="Normal"/>
    <w:uiPriority w:val="99"/>
    <w:unhideWhenUsed/>
    <w:rsid w:val="00062808"/>
    <w:pPr>
      <w:snapToGrid/>
      <w:spacing w:after="0" w:line="240" w:lineRule="atLeast"/>
    </w:pPr>
    <w:rPr>
      <w:rFonts w:eastAsiaTheme="minorEastAsia" w:cs="Times New Roman"/>
      <w:sz w:val="20"/>
      <w:szCs w:val="24"/>
      <w:lang w:eastAsia="en-AU"/>
    </w:rPr>
  </w:style>
  <w:style w:type="character" w:customStyle="1" w:styleId="MySuperscript">
    <w:name w:val="MySuperscript"/>
    <w:uiPriority w:val="1"/>
    <w:semiHidden/>
    <w:rsid w:val="00062808"/>
    <w:rPr>
      <w:vertAlign w:val="superscript"/>
    </w:rPr>
  </w:style>
  <w:style w:type="character" w:customStyle="1" w:styleId="MySubscript">
    <w:name w:val="MySubscript"/>
    <w:uiPriority w:val="1"/>
    <w:semiHidden/>
    <w:rsid w:val="00062808"/>
    <w:rPr>
      <w:vertAlign w:val="subscript"/>
    </w:rPr>
  </w:style>
  <w:style w:type="character" w:customStyle="1" w:styleId="MySuperscriptItalics">
    <w:name w:val="MySuperscript&amp;Italics"/>
    <w:uiPriority w:val="1"/>
    <w:semiHidden/>
    <w:rsid w:val="00062808"/>
    <w:rPr>
      <w:i/>
      <w:vertAlign w:val="superscript"/>
    </w:rPr>
  </w:style>
  <w:style w:type="character" w:customStyle="1" w:styleId="MySubscriptItalics">
    <w:name w:val="MySubscript&amp;Italics"/>
    <w:uiPriority w:val="1"/>
    <w:semiHidden/>
    <w:rsid w:val="00062808"/>
    <w:rPr>
      <w:i/>
      <w:vertAlign w:val="subscript"/>
    </w:rPr>
  </w:style>
  <w:style w:type="paragraph" w:customStyle="1" w:styleId="QuoteBullet">
    <w:name w:val="Quote Bullet"/>
    <w:basedOn w:val="Quote"/>
    <w:qFormat/>
    <w:rsid w:val="00062808"/>
    <w:pPr>
      <w:numPr>
        <w:numId w:val="17"/>
      </w:numPr>
      <w:pBdr>
        <w:left w:val="none" w:sz="0" w:space="0" w:color="auto"/>
      </w:pBdr>
      <w:tabs>
        <w:tab w:val="left" w:pos="1134"/>
      </w:tabs>
      <w:snapToGrid/>
      <w:spacing w:before="120" w:after="120" w:line="240" w:lineRule="atLeast"/>
      <w:ind w:right="0"/>
    </w:pPr>
    <w:rPr>
      <w:rFonts w:eastAsia="Times New Roman"/>
      <w:i/>
      <w:iCs/>
      <w:sz w:val="20"/>
      <w:szCs w:val="20"/>
      <w:lang w:eastAsia="en-AU"/>
    </w:rPr>
  </w:style>
  <w:style w:type="paragraph" w:customStyle="1" w:styleId="QuoteBullet2">
    <w:name w:val="Quote Bullet 2"/>
    <w:basedOn w:val="Quote"/>
    <w:qFormat/>
    <w:rsid w:val="00062808"/>
    <w:pPr>
      <w:numPr>
        <w:ilvl w:val="1"/>
        <w:numId w:val="17"/>
      </w:numPr>
      <w:pBdr>
        <w:left w:val="none" w:sz="0" w:space="0" w:color="auto"/>
      </w:pBdr>
      <w:snapToGrid/>
      <w:spacing w:before="120" w:after="120" w:line="240" w:lineRule="atLeast"/>
      <w:ind w:right="0"/>
    </w:pPr>
    <w:rPr>
      <w:rFonts w:eastAsia="Times New Roman"/>
      <w:i/>
      <w:iCs/>
      <w:sz w:val="20"/>
      <w:szCs w:val="20"/>
      <w:lang w:eastAsia="en-AU"/>
    </w:rPr>
  </w:style>
  <w:style w:type="character" w:styleId="CommentReference">
    <w:name w:val="annotation reference"/>
    <w:basedOn w:val="DefaultParagraphFont"/>
    <w:rsid w:val="00062808"/>
    <w:rPr>
      <w:sz w:val="16"/>
      <w:szCs w:val="16"/>
    </w:rPr>
  </w:style>
  <w:style w:type="paragraph" w:styleId="CommentText">
    <w:name w:val="annotation text"/>
    <w:basedOn w:val="Normal"/>
    <w:link w:val="CommentTextChar"/>
    <w:rsid w:val="00062808"/>
    <w:pPr>
      <w:snapToGrid/>
      <w:spacing w:after="0" w:line="240" w:lineRule="auto"/>
    </w:pPr>
    <w:rPr>
      <w:rFonts w:eastAsia="Times New Roman"/>
      <w:sz w:val="20"/>
      <w:szCs w:val="20"/>
      <w:lang w:eastAsia="en-AU"/>
    </w:rPr>
  </w:style>
  <w:style w:type="character" w:customStyle="1" w:styleId="CommentTextChar">
    <w:name w:val="Comment Text Char"/>
    <w:basedOn w:val="DefaultParagraphFont"/>
    <w:link w:val="CommentText"/>
    <w:rsid w:val="00062808"/>
    <w:rPr>
      <w:rFonts w:asciiTheme="minorHAnsi" w:hAnsiTheme="minorHAnsi" w:cs="Arial"/>
      <w:color w:val="000000" w:themeColor="text1"/>
      <w:lang w:eastAsia="en-AU"/>
    </w:rPr>
  </w:style>
  <w:style w:type="paragraph" w:styleId="CommentSubject">
    <w:name w:val="annotation subject"/>
    <w:basedOn w:val="CommentText"/>
    <w:next w:val="CommentText"/>
    <w:link w:val="CommentSubjectChar"/>
    <w:rsid w:val="00062808"/>
    <w:rPr>
      <w:b/>
      <w:bCs/>
    </w:rPr>
  </w:style>
  <w:style w:type="character" w:customStyle="1" w:styleId="CommentSubjectChar">
    <w:name w:val="Comment Subject Char"/>
    <w:basedOn w:val="CommentTextChar"/>
    <w:link w:val="CommentSubject"/>
    <w:rsid w:val="00062808"/>
    <w:rPr>
      <w:rFonts w:asciiTheme="minorHAnsi" w:hAnsiTheme="minorHAnsi" w:cs="Arial"/>
      <w:b/>
      <w:bCs/>
      <w:color w:val="000000" w:themeColor="text1"/>
      <w:lang w:eastAsia="en-AU"/>
    </w:rPr>
  </w:style>
  <w:style w:type="paragraph" w:customStyle="1" w:styleId="PullOutBoxNumbered">
    <w:name w:val="Pull Out Box Numbered"/>
    <w:basedOn w:val="PullOutBoxBodyText"/>
    <w:qFormat/>
    <w:rsid w:val="00062808"/>
    <w:pPr>
      <w:numPr>
        <w:numId w:val="15"/>
      </w:numPr>
    </w:pPr>
  </w:style>
  <w:style w:type="paragraph" w:customStyle="1" w:styleId="PullOutBoxNumbered2">
    <w:name w:val="Pull Out Box Numbered 2"/>
    <w:basedOn w:val="PullOutBoxBodyText"/>
    <w:qFormat/>
    <w:rsid w:val="00062808"/>
    <w:pPr>
      <w:numPr>
        <w:ilvl w:val="1"/>
        <w:numId w:val="15"/>
      </w:numPr>
    </w:pPr>
  </w:style>
  <w:style w:type="paragraph" w:customStyle="1" w:styleId="PullOutBoxNumbered3">
    <w:name w:val="Pull Out Box Numbered 3"/>
    <w:basedOn w:val="PullOutBoxBodyText"/>
    <w:qFormat/>
    <w:rsid w:val="00062808"/>
    <w:pPr>
      <w:numPr>
        <w:ilvl w:val="2"/>
        <w:numId w:val="15"/>
      </w:numPr>
    </w:pPr>
  </w:style>
  <w:style w:type="paragraph" w:customStyle="1" w:styleId="xDisclaimerText2">
    <w:name w:val="xDisclaimer Text 2"/>
    <w:basedOn w:val="xDisclaimerText"/>
    <w:rsid w:val="00062808"/>
    <w:pPr>
      <w:spacing w:before="180" w:after="170"/>
    </w:pPr>
  </w:style>
  <w:style w:type="paragraph" w:customStyle="1" w:styleId="SectionHeading">
    <w:name w:val="Section Heading"/>
    <w:basedOn w:val="Normal"/>
    <w:next w:val="BodyText"/>
    <w:semiHidden/>
    <w:qFormat/>
    <w:rsid w:val="00062808"/>
    <w:pPr>
      <w:keepLines/>
      <w:pageBreakBefore/>
      <w:framePr w:w="11907" w:h="3402" w:hSpace="181" w:wrap="around" w:vAnchor="page" w:hAnchor="page" w:xAlign="right" w:yAlign="top"/>
      <w:snapToGrid/>
      <w:spacing w:before="1300" w:after="0" w:line="240" w:lineRule="atLeast"/>
      <w:ind w:left="3969" w:right="1134"/>
      <w:suppressOverlap/>
      <w:jc w:val="right"/>
      <w:outlineLvl w:val="4"/>
    </w:pPr>
    <w:rPr>
      <w:rFonts w:eastAsia="Times New Roman"/>
      <w:b/>
      <w:color w:val="FFFFFF" w:themeColor="background1"/>
      <w:sz w:val="52"/>
      <w:szCs w:val="40"/>
      <w:lang w:eastAsia="en-AU"/>
    </w:rPr>
  </w:style>
  <w:style w:type="paragraph" w:customStyle="1" w:styleId="TitleBarText">
    <w:name w:val="Title Bar Text"/>
    <w:basedOn w:val="Normal"/>
    <w:uiPriority w:val="99"/>
    <w:qFormat/>
    <w:rsid w:val="00062808"/>
    <w:pPr>
      <w:snapToGrid/>
      <w:spacing w:after="0" w:line="360" w:lineRule="exact"/>
      <w:jc w:val="right"/>
    </w:pPr>
    <w:rPr>
      <w:rFonts w:eastAsia="Times New Roman"/>
      <w:color w:val="FFFFFF"/>
      <w:spacing w:val="-2"/>
      <w:sz w:val="28"/>
      <w:szCs w:val="28"/>
      <w:lang w:eastAsia="en-AU"/>
    </w:rPr>
  </w:style>
  <w:style w:type="table" w:customStyle="1" w:styleId="LogoPlaceholder">
    <w:name w:val="Logo Placeholder"/>
    <w:basedOn w:val="TableNormal"/>
    <w:uiPriority w:val="99"/>
    <w:rsid w:val="00062808"/>
    <w:rPr>
      <w:rFonts w:asciiTheme="minorHAnsi" w:hAnsiTheme="minorHAnsi" w:cs="Arial"/>
      <w:color w:val="000000" w:themeColor="text1"/>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62808"/>
    <w:pPr>
      <w:jc w:val="right"/>
    </w:pPr>
    <w:rPr>
      <w:rFonts w:cs="Times New Roman"/>
    </w:rPr>
  </w:style>
  <w:style w:type="paragraph" w:customStyle="1" w:styleId="xCoverStatus">
    <w:name w:val="xCoverStatus"/>
    <w:basedOn w:val="Normal"/>
    <w:semiHidden/>
    <w:rsid w:val="00062808"/>
    <w:pPr>
      <w:snapToGrid/>
      <w:spacing w:after="0" w:line="240" w:lineRule="atLeast"/>
    </w:pPr>
    <w:rPr>
      <w:rFonts w:eastAsia="Times New Roman"/>
      <w:b/>
      <w:caps/>
      <w:color w:val="FF0000"/>
      <w:sz w:val="48"/>
      <w:szCs w:val="52"/>
      <w:lang w:eastAsia="en-AU"/>
    </w:rPr>
  </w:style>
  <w:style w:type="paragraph" w:customStyle="1" w:styleId="TableTextCentre">
    <w:name w:val="Table Text Centre"/>
    <w:basedOn w:val="TableTextLeft"/>
    <w:qFormat/>
    <w:rsid w:val="00062808"/>
    <w:pPr>
      <w:jc w:val="center"/>
    </w:pPr>
  </w:style>
  <w:style w:type="paragraph" w:customStyle="1" w:styleId="TableHeadingCentre">
    <w:name w:val="Table Heading Centre"/>
    <w:basedOn w:val="TableHeadingLeft"/>
    <w:qFormat/>
    <w:rsid w:val="00062808"/>
    <w:pPr>
      <w:jc w:val="center"/>
    </w:pPr>
  </w:style>
  <w:style w:type="paragraph" w:customStyle="1" w:styleId="Footnotes2">
    <w:name w:val="Footnotes 2"/>
    <w:basedOn w:val="Normal"/>
    <w:rsid w:val="00062808"/>
    <w:pPr>
      <w:numPr>
        <w:ilvl w:val="1"/>
        <w:numId w:val="16"/>
      </w:numPr>
      <w:snapToGrid/>
      <w:spacing w:after="100" w:afterAutospacing="1" w:line="180" w:lineRule="atLeast"/>
      <w:contextualSpacing/>
    </w:pPr>
    <w:rPr>
      <w:rFonts w:eastAsia="Times New Roman"/>
      <w:sz w:val="14"/>
      <w:szCs w:val="20"/>
      <w:lang w:eastAsia="en-AU"/>
    </w:rPr>
  </w:style>
  <w:style w:type="paragraph" w:customStyle="1" w:styleId="BodyText100ThemeColour">
    <w:name w:val="Body Text 100% Theme Colour"/>
    <w:basedOn w:val="BodyText"/>
    <w:qFormat/>
    <w:rsid w:val="00062808"/>
    <w:rPr>
      <w:color w:val="545759" w:themeColor="text2"/>
    </w:rPr>
  </w:style>
  <w:style w:type="paragraph" w:customStyle="1" w:styleId="PhotoCredit">
    <w:name w:val="Photo Credit"/>
    <w:basedOn w:val="CaptionDescriptive"/>
    <w:next w:val="BodyText"/>
    <w:qFormat/>
    <w:rsid w:val="00062808"/>
    <w:rPr>
      <w:i w:val="0"/>
      <w:sz w:val="16"/>
    </w:rPr>
  </w:style>
  <w:style w:type="paragraph" w:customStyle="1" w:styleId="ListAlpha">
    <w:name w:val="List Alpha"/>
    <w:basedOn w:val="Normal"/>
    <w:qFormat/>
    <w:rsid w:val="00062808"/>
    <w:pPr>
      <w:numPr>
        <w:numId w:val="20"/>
      </w:numPr>
      <w:snapToGrid/>
      <w:spacing w:before="120" w:after="120" w:line="240" w:lineRule="atLeast"/>
    </w:pPr>
    <w:rPr>
      <w:rFonts w:eastAsia="Times New Roman"/>
      <w:sz w:val="20"/>
      <w:szCs w:val="20"/>
      <w:lang w:eastAsia="en-AU"/>
    </w:rPr>
  </w:style>
  <w:style w:type="paragraph" w:customStyle="1" w:styleId="ListAlpha2">
    <w:name w:val="List Alpha 2"/>
    <w:basedOn w:val="Normal"/>
    <w:qFormat/>
    <w:rsid w:val="00062808"/>
    <w:pPr>
      <w:numPr>
        <w:ilvl w:val="1"/>
        <w:numId w:val="20"/>
      </w:numPr>
      <w:snapToGrid/>
      <w:spacing w:before="120" w:after="120" w:line="240" w:lineRule="atLeast"/>
    </w:pPr>
    <w:rPr>
      <w:rFonts w:eastAsia="Times New Roman"/>
      <w:sz w:val="20"/>
      <w:szCs w:val="20"/>
      <w:lang w:eastAsia="en-AU"/>
    </w:rPr>
  </w:style>
  <w:style w:type="paragraph" w:customStyle="1" w:styleId="ListAlpha3">
    <w:name w:val="List Alpha 3"/>
    <w:basedOn w:val="Normal"/>
    <w:qFormat/>
    <w:rsid w:val="00062808"/>
    <w:pPr>
      <w:numPr>
        <w:ilvl w:val="2"/>
        <w:numId w:val="20"/>
      </w:numPr>
      <w:snapToGrid/>
      <w:spacing w:before="120" w:after="120" w:line="240" w:lineRule="atLeast"/>
    </w:pPr>
    <w:rPr>
      <w:rFonts w:eastAsia="Times New Roman"/>
      <w:sz w:val="20"/>
      <w:szCs w:val="20"/>
      <w:lang w:eastAsia="en-AU"/>
    </w:rPr>
  </w:style>
  <w:style w:type="paragraph" w:customStyle="1" w:styleId="HighlightBoxHeading">
    <w:name w:val="Highlight Box Heading"/>
    <w:basedOn w:val="HighlightBoxText"/>
    <w:qFormat/>
    <w:rsid w:val="00062808"/>
    <w:rPr>
      <w:b/>
    </w:rPr>
  </w:style>
  <w:style w:type="character" w:customStyle="1" w:styleId="MyUnderline">
    <w:name w:val="MyUnderline"/>
    <w:uiPriority w:val="1"/>
    <w:semiHidden/>
    <w:rsid w:val="00062808"/>
    <w:rPr>
      <w:u w:val="single"/>
      <w:lang w:eastAsia="en-AU"/>
    </w:rPr>
  </w:style>
  <w:style w:type="character" w:customStyle="1" w:styleId="MyBoldItalicsUnderline">
    <w:name w:val="MyBoldItalicsUnderline"/>
    <w:uiPriority w:val="1"/>
    <w:semiHidden/>
    <w:rsid w:val="00062808"/>
    <w:rPr>
      <w:b/>
      <w:i/>
      <w:u w:val="single"/>
    </w:rPr>
  </w:style>
  <w:style w:type="character" w:customStyle="1" w:styleId="MyBoldUnderline">
    <w:name w:val="MyBoldUnderline"/>
    <w:uiPriority w:val="1"/>
    <w:semiHidden/>
    <w:rsid w:val="00062808"/>
    <w:rPr>
      <w:b/>
      <w:u w:val="single"/>
    </w:rPr>
  </w:style>
  <w:style w:type="character" w:customStyle="1" w:styleId="MyItalicsUnderline">
    <w:name w:val="MyItalicsUnderline"/>
    <w:uiPriority w:val="1"/>
    <w:semiHidden/>
    <w:rsid w:val="00062808"/>
    <w:rPr>
      <w:i/>
      <w:u w:val="single"/>
    </w:rPr>
  </w:style>
  <w:style w:type="paragraph" w:customStyle="1" w:styleId="SmallBodyText">
    <w:name w:val="Small Body Text"/>
    <w:basedOn w:val="xDisclaimerText"/>
    <w:qFormat/>
    <w:rsid w:val="00062808"/>
    <w:pPr>
      <w:spacing w:before="40" w:after="40" w:line="220" w:lineRule="atLeast"/>
    </w:pPr>
    <w:rPr>
      <w:sz w:val="18"/>
    </w:rPr>
  </w:style>
  <w:style w:type="paragraph" w:customStyle="1" w:styleId="SmallBullet">
    <w:name w:val="Small Bullet"/>
    <w:basedOn w:val="SmallBodyText"/>
    <w:qFormat/>
    <w:rsid w:val="00062808"/>
    <w:pPr>
      <w:numPr>
        <w:numId w:val="21"/>
      </w:numPr>
      <w:ind w:left="284" w:hanging="284"/>
    </w:pPr>
  </w:style>
  <w:style w:type="paragraph" w:customStyle="1" w:styleId="SmallHeading">
    <w:name w:val="Small Heading"/>
    <w:basedOn w:val="xDisclaimerHeading"/>
    <w:next w:val="SmallBodyText"/>
    <w:qFormat/>
    <w:rsid w:val="00062808"/>
    <w:pPr>
      <w:spacing w:after="40" w:line="220" w:lineRule="atLeast"/>
    </w:pPr>
    <w:rPr>
      <w:sz w:val="18"/>
    </w:rPr>
  </w:style>
  <w:style w:type="paragraph" w:customStyle="1" w:styleId="xWeb">
    <w:name w:val="xWeb"/>
    <w:basedOn w:val="Normal"/>
    <w:semiHidden/>
    <w:qFormat/>
    <w:rsid w:val="00062808"/>
    <w:pPr>
      <w:snapToGrid/>
      <w:spacing w:after="0" w:line="240" w:lineRule="auto"/>
    </w:pPr>
    <w:rPr>
      <w:rFonts w:eastAsia="Times New Roman"/>
      <w:b/>
      <w:color w:val="FFFFFF"/>
      <w:spacing w:val="-4"/>
      <w:sz w:val="25"/>
      <w:szCs w:val="42"/>
      <w:lang w:eastAsia="en-AU"/>
    </w:rPr>
  </w:style>
  <w:style w:type="table" w:customStyle="1" w:styleId="DELWPTableNormal">
    <w:name w:val="DELWP Table Normal"/>
    <w:basedOn w:val="TableNormal"/>
    <w:uiPriority w:val="99"/>
    <w:rsid w:val="00062808"/>
    <w:rPr>
      <w:rFonts w:asciiTheme="minorHAnsi" w:hAnsiTheme="minorHAnsi" w:cs="Arial"/>
      <w:color w:val="000000" w:themeColor="text1"/>
      <w:lang w:eastAsia="en-AU"/>
    </w:rPr>
    <w:tblPr/>
  </w:style>
  <w:style w:type="paragraph" w:customStyle="1" w:styleId="xAccessibilityText">
    <w:name w:val="xAccessibility Text"/>
    <w:basedOn w:val="Normal"/>
    <w:semiHidden/>
    <w:qFormat/>
    <w:rsid w:val="00062808"/>
    <w:pPr>
      <w:snapToGrid/>
      <w:spacing w:after="0" w:line="300" w:lineRule="exact"/>
    </w:pPr>
    <w:rPr>
      <w:rFonts w:eastAsia="Times New Roman"/>
      <w:sz w:val="24"/>
      <w:szCs w:val="20"/>
      <w:lang w:eastAsia="en-AU"/>
    </w:rPr>
  </w:style>
  <w:style w:type="paragraph" w:customStyle="1" w:styleId="xAccessibilityHeading">
    <w:name w:val="xAccessibility Heading"/>
    <w:basedOn w:val="Normal"/>
    <w:semiHidden/>
    <w:qFormat/>
    <w:rsid w:val="00062808"/>
    <w:pPr>
      <w:snapToGrid/>
      <w:spacing w:before="170" w:after="20" w:line="300" w:lineRule="exact"/>
    </w:pPr>
    <w:rPr>
      <w:rFonts w:eastAsia="Times New Roman"/>
      <w:b/>
      <w:sz w:val="24"/>
      <w:szCs w:val="20"/>
      <w:lang w:eastAsia="en-AU"/>
    </w:rPr>
  </w:style>
  <w:style w:type="paragraph" w:customStyle="1" w:styleId="FooterEvenPageNumber">
    <w:name w:val="Footer Even Page Number"/>
    <w:basedOn w:val="FooterEven"/>
    <w:rsid w:val="00062808"/>
    <w:pPr>
      <w:framePr w:wrap="around" w:vAnchor="page" w:hAnchor="margin" w:yAlign="bottom"/>
    </w:pPr>
    <w:rPr>
      <w:b/>
      <w:color w:val="005F9E" w:themeColor="accent1"/>
    </w:rPr>
  </w:style>
  <w:style w:type="character" w:customStyle="1" w:styleId="HiddenText">
    <w:name w:val="Hidden Text"/>
    <w:basedOn w:val="DefaultParagraphFont"/>
    <w:uiPriority w:val="1"/>
    <w:qFormat/>
    <w:rsid w:val="00062808"/>
    <w:rPr>
      <w:vanish/>
      <w:color w:val="FF0000"/>
      <w:sz w:val="20"/>
      <w:u w:val="dotted"/>
    </w:rPr>
  </w:style>
  <w:style w:type="paragraph" w:customStyle="1" w:styleId="xWebCoverPage">
    <w:name w:val="xWebCoverPage"/>
    <w:basedOn w:val="xWeb"/>
    <w:semiHidden/>
    <w:qFormat/>
    <w:rsid w:val="00062808"/>
    <w:rPr>
      <w:color w:val="00B2A9"/>
    </w:rPr>
  </w:style>
  <w:style w:type="character" w:customStyle="1" w:styleId="TableTextLeftChar">
    <w:name w:val="Table Text Left Char"/>
    <w:basedOn w:val="DefaultParagraphFont"/>
    <w:link w:val="TableTextLeft"/>
    <w:rsid w:val="00062808"/>
    <w:rPr>
      <w:rFonts w:asciiTheme="minorHAnsi" w:hAnsiTheme="minorHAnsi" w:cs="Arial"/>
      <w:color w:val="000000" w:themeColor="text1"/>
      <w:sz w:val="18"/>
      <w:lang w:eastAsia="en-AU"/>
    </w:rPr>
  </w:style>
  <w:style w:type="paragraph" w:customStyle="1" w:styleId="xDisclaimertext4">
    <w:name w:val="xDisclaimer text 4"/>
    <w:basedOn w:val="xDisclaimertext3"/>
    <w:qFormat/>
    <w:rsid w:val="00062808"/>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62808"/>
    <w:pPr>
      <w:framePr w:wrap="around"/>
      <w:spacing w:before="120" w:after="120"/>
    </w:pPr>
    <w:rPr>
      <w:b/>
      <w:color w:val="005F9E" w:themeColor="accent1"/>
      <w:sz w:val="20"/>
    </w:rPr>
  </w:style>
  <w:style w:type="paragraph" w:customStyle="1" w:styleId="xDisclaimertext5">
    <w:name w:val="xDisclaimer text 5"/>
    <w:basedOn w:val="xDisclaimertext4"/>
    <w:qFormat/>
    <w:rsid w:val="00062808"/>
    <w:pPr>
      <w:framePr w:wrap="around"/>
      <w:spacing w:after="100"/>
      <w:ind w:right="3119"/>
    </w:pPr>
  </w:style>
  <w:style w:type="table" w:styleId="ColorfulGrid">
    <w:name w:val="Colorful Grid"/>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8E2FF" w:themeFill="accent1" w:themeFillTint="33"/>
    </w:tcPr>
    <w:tblStylePr w:type="firstRow">
      <w:rPr>
        <w:b/>
        <w:bCs/>
      </w:rPr>
      <w:tblPr/>
      <w:tcPr>
        <w:shd w:val="clear" w:color="auto" w:fill="72C6FF" w:themeFill="accent1" w:themeFillTint="66"/>
      </w:tcPr>
    </w:tblStylePr>
    <w:tblStylePr w:type="lastRow">
      <w:rPr>
        <w:b/>
        <w:bCs/>
        <w:color w:val="000000" w:themeColor="text1"/>
      </w:rPr>
      <w:tblPr/>
      <w:tcPr>
        <w:shd w:val="clear" w:color="auto" w:fill="72C6FF" w:themeFill="accent1" w:themeFillTint="66"/>
      </w:tcPr>
    </w:tblStylePr>
    <w:tblStylePr w:type="firstCol">
      <w:rPr>
        <w:color w:val="FFFFFF" w:themeColor="background1"/>
      </w:rPr>
      <w:tblPr/>
      <w:tcPr>
        <w:shd w:val="clear" w:color="auto" w:fill="004776" w:themeFill="accent1" w:themeFillShade="BF"/>
      </w:tcPr>
    </w:tblStylePr>
    <w:tblStylePr w:type="lastCol">
      <w:rPr>
        <w:color w:val="FFFFFF" w:themeColor="background1"/>
      </w:rPr>
      <w:tblPr/>
      <w:tcPr>
        <w:shd w:val="clear" w:color="auto" w:fill="004776" w:themeFill="accent1" w:themeFillShade="BF"/>
      </w:tc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ColorfulGrid-Accent2">
    <w:name w:val="Colorful Grid Accent 2"/>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EE6FF" w:themeFill="accent2" w:themeFillTint="33"/>
    </w:tcPr>
    <w:tblStylePr w:type="firstRow">
      <w:rPr>
        <w:b/>
        <w:bCs/>
      </w:rPr>
      <w:tblPr/>
      <w:tcPr>
        <w:shd w:val="clear" w:color="auto" w:fill="7ECDFF" w:themeFill="accent2" w:themeFillTint="66"/>
      </w:tcPr>
    </w:tblStylePr>
    <w:tblStylePr w:type="lastRow">
      <w:rPr>
        <w:b/>
        <w:bCs/>
        <w:color w:val="000000" w:themeColor="text1"/>
      </w:rPr>
      <w:tblPr/>
      <w:tcPr>
        <w:shd w:val="clear" w:color="auto" w:fill="7ECDFF" w:themeFill="accent2" w:themeFillTint="66"/>
      </w:tcPr>
    </w:tblStylePr>
    <w:tblStylePr w:type="firstCol">
      <w:rPr>
        <w:color w:val="FFFFFF" w:themeColor="background1"/>
      </w:rPr>
      <w:tblPr/>
      <w:tcPr>
        <w:shd w:val="clear" w:color="auto" w:fill="00578D" w:themeFill="accent2" w:themeFillShade="BF"/>
      </w:tcPr>
    </w:tblStylePr>
    <w:tblStylePr w:type="lastCol">
      <w:rPr>
        <w:color w:val="FFFFFF" w:themeColor="background1"/>
      </w:rPr>
      <w:tblPr/>
      <w:tcPr>
        <w:shd w:val="clear" w:color="auto" w:fill="00578D" w:themeFill="accent2" w:themeFillShade="BF"/>
      </w:tc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ColorfulGrid-Accent3">
    <w:name w:val="Colorful Grid Accent 3"/>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FDEBD4" w:themeFill="accent3" w:themeFillTint="33"/>
    </w:tcPr>
    <w:tblStylePr w:type="firstRow">
      <w:rPr>
        <w:b/>
        <w:bCs/>
      </w:rPr>
      <w:tblPr/>
      <w:tcPr>
        <w:shd w:val="clear" w:color="auto" w:fill="FCD7A9" w:themeFill="accent3" w:themeFillTint="66"/>
      </w:tcPr>
    </w:tblStylePr>
    <w:tblStylePr w:type="lastRow">
      <w:rPr>
        <w:b/>
        <w:bCs/>
        <w:color w:val="000000" w:themeColor="text1"/>
      </w:rPr>
      <w:tblPr/>
      <w:tcPr>
        <w:shd w:val="clear" w:color="auto" w:fill="FCD7A9" w:themeFill="accent3" w:themeFillTint="66"/>
      </w:tcPr>
    </w:tblStylePr>
    <w:tblStylePr w:type="firstCol">
      <w:rPr>
        <w:color w:val="FFFFFF" w:themeColor="background1"/>
      </w:rPr>
      <w:tblPr/>
      <w:tcPr>
        <w:shd w:val="clear" w:color="auto" w:fill="D37706" w:themeFill="accent3" w:themeFillShade="BF"/>
      </w:tcPr>
    </w:tblStylePr>
    <w:tblStylePr w:type="lastCol">
      <w:rPr>
        <w:color w:val="FFFFFF" w:themeColor="background1"/>
      </w:rPr>
      <w:tblPr/>
      <w:tcPr>
        <w:shd w:val="clear" w:color="auto" w:fill="D37706" w:themeFill="accent3" w:themeFillShade="BF"/>
      </w:tc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ColorfulGrid-Accent4">
    <w:name w:val="Colorful Grid Accent 4"/>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DFFFC" w:themeFill="accent4" w:themeFillTint="33"/>
    </w:tcPr>
    <w:tblStylePr w:type="firstRow">
      <w:rPr>
        <w:b/>
        <w:bCs/>
      </w:rPr>
      <w:tblPr/>
      <w:tcPr>
        <w:shd w:val="clear" w:color="auto" w:fill="7BFFFA" w:themeFill="accent4" w:themeFillTint="66"/>
      </w:tcPr>
    </w:tblStylePr>
    <w:tblStylePr w:type="lastRow">
      <w:rPr>
        <w:b/>
        <w:bCs/>
        <w:color w:val="000000" w:themeColor="text1"/>
      </w:rPr>
      <w:tblPr/>
      <w:tcPr>
        <w:shd w:val="clear" w:color="auto" w:fill="7BFFFA" w:themeFill="accent4" w:themeFillTint="66"/>
      </w:tcPr>
    </w:tblStylePr>
    <w:tblStylePr w:type="firstCol">
      <w:rPr>
        <w:color w:val="FFFFFF" w:themeColor="background1"/>
      </w:rPr>
      <w:tblPr/>
      <w:tcPr>
        <w:shd w:val="clear" w:color="auto" w:fill="008782" w:themeFill="accent4" w:themeFillShade="BF"/>
      </w:tcPr>
    </w:tblStylePr>
    <w:tblStylePr w:type="lastCol">
      <w:rPr>
        <w:color w:val="FFFFFF" w:themeColor="background1"/>
      </w:rPr>
      <w:tblPr/>
      <w:tcPr>
        <w:shd w:val="clear" w:color="auto" w:fill="008782" w:themeFill="accent4" w:themeFillShade="BF"/>
      </w:tc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ColorfulGrid-Accent5">
    <w:name w:val="Colorful Grid Accent 5"/>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CFFDC" w:themeFill="accent5" w:themeFillTint="33"/>
    </w:tcPr>
    <w:tblStylePr w:type="firstRow">
      <w:rPr>
        <w:b/>
        <w:bCs/>
      </w:rPr>
      <w:tblPr/>
      <w:tcPr>
        <w:shd w:val="clear" w:color="auto" w:fill="79FFB9" w:themeFill="accent5" w:themeFillTint="66"/>
      </w:tcPr>
    </w:tblStylePr>
    <w:tblStylePr w:type="lastRow">
      <w:rPr>
        <w:b/>
        <w:bCs/>
        <w:color w:val="000000" w:themeColor="text1"/>
      </w:rPr>
      <w:tblPr/>
      <w:tcPr>
        <w:shd w:val="clear" w:color="auto" w:fill="79FFB9" w:themeFill="accent5" w:themeFillTint="66"/>
      </w:tcPr>
    </w:tblStylePr>
    <w:tblStylePr w:type="firstCol">
      <w:rPr>
        <w:color w:val="FFFFFF" w:themeColor="background1"/>
      </w:rPr>
      <w:tblPr/>
      <w:tcPr>
        <w:shd w:val="clear" w:color="auto" w:fill="00843F" w:themeFill="accent5" w:themeFillShade="BF"/>
      </w:tcPr>
    </w:tblStylePr>
    <w:tblStylePr w:type="lastCol">
      <w:rPr>
        <w:color w:val="FFFFFF" w:themeColor="background1"/>
      </w:rPr>
      <w:tblPr/>
      <w:tcPr>
        <w:shd w:val="clear" w:color="auto" w:fill="00843F" w:themeFill="accent5" w:themeFillShade="BF"/>
      </w:tc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ColorfulGrid-Accent6">
    <w:name w:val="Colorful Grid Accent 6"/>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E7CDF0" w:themeFill="accent6" w:themeFillTint="33"/>
    </w:tcPr>
    <w:tblStylePr w:type="firstRow">
      <w:rPr>
        <w:b/>
        <w:bCs/>
      </w:rPr>
      <w:tblPr/>
      <w:tcPr>
        <w:shd w:val="clear" w:color="auto" w:fill="D09BE1" w:themeFill="accent6" w:themeFillTint="66"/>
      </w:tcPr>
    </w:tblStylePr>
    <w:tblStylePr w:type="lastRow">
      <w:rPr>
        <w:b/>
        <w:bCs/>
        <w:color w:val="000000" w:themeColor="text1"/>
      </w:rPr>
      <w:tblPr/>
      <w:tcPr>
        <w:shd w:val="clear" w:color="auto" w:fill="D09BE1" w:themeFill="accent6" w:themeFillTint="66"/>
      </w:tcPr>
    </w:tblStylePr>
    <w:tblStylePr w:type="firstCol">
      <w:rPr>
        <w:color w:val="FFFFFF" w:themeColor="background1"/>
      </w:rPr>
      <w:tblPr/>
      <w:tcPr>
        <w:shd w:val="clear" w:color="auto" w:fill="59206B" w:themeFill="accent6" w:themeFillShade="BF"/>
      </w:tcPr>
    </w:tblStylePr>
    <w:tblStylePr w:type="lastCol">
      <w:rPr>
        <w:color w:val="FFFFFF" w:themeColor="background1"/>
      </w:rPr>
      <w:tblPr/>
      <w:tcPr>
        <w:shd w:val="clear" w:color="auto" w:fill="59206B" w:themeFill="accent6" w:themeFillShade="BF"/>
      </w:tc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ColorfulList">
    <w:name w:val="Colorful List"/>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CF1FF" w:themeFill="accen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CFF" w:themeFill="accent1" w:themeFillTint="3F"/>
      </w:tcPr>
    </w:tblStylePr>
    <w:tblStylePr w:type="band1Horz">
      <w:tblPr/>
      <w:tcPr>
        <w:shd w:val="clear" w:color="auto" w:fill="B8E2FF" w:themeFill="accent1" w:themeFillTint="33"/>
      </w:tcPr>
    </w:tblStylePr>
  </w:style>
  <w:style w:type="table" w:styleId="ColorfulList-Accent2">
    <w:name w:val="Colorful List Accent 2"/>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FF2FF" w:themeFill="accent2"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E0FF" w:themeFill="accent2" w:themeFillTint="3F"/>
      </w:tcPr>
    </w:tblStylePr>
    <w:tblStylePr w:type="band1Horz">
      <w:tblPr/>
      <w:tcPr>
        <w:shd w:val="clear" w:color="auto" w:fill="BEE6FF" w:themeFill="accent2" w:themeFillTint="33"/>
      </w:tcPr>
    </w:tblStylePr>
  </w:style>
  <w:style w:type="table" w:styleId="ColorfulList-Accent3">
    <w:name w:val="Colorful List Accent 3"/>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FEF5E9" w:themeFill="accent3" w:themeFillTint="19"/>
    </w:tcPr>
    <w:tblStylePr w:type="firstRow">
      <w:rPr>
        <w:b/>
        <w:bCs/>
        <w:color w:val="FFFFFF" w:themeColor="background1"/>
      </w:rPr>
      <w:tblPr/>
      <w:tcPr>
        <w:tcBorders>
          <w:bottom w:val="single" w:sz="12" w:space="0" w:color="FFFFFF" w:themeColor="background1"/>
        </w:tcBorders>
        <w:shd w:val="clear" w:color="auto" w:fill="00908B" w:themeFill="accent4" w:themeFillShade="CC"/>
      </w:tcPr>
    </w:tblStylePr>
    <w:tblStylePr w:type="lastRow">
      <w:rPr>
        <w:b/>
        <w:bCs/>
        <w:color w:val="00908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6CA" w:themeFill="accent3" w:themeFillTint="3F"/>
      </w:tcPr>
    </w:tblStylePr>
    <w:tblStylePr w:type="band1Horz">
      <w:tblPr/>
      <w:tcPr>
        <w:shd w:val="clear" w:color="auto" w:fill="FDEBD4" w:themeFill="accent3" w:themeFillTint="33"/>
      </w:tcPr>
    </w:tblStylePr>
  </w:style>
  <w:style w:type="table" w:styleId="ColorfulList-Accent4">
    <w:name w:val="Colorful List Accent 4"/>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E27F06" w:themeFill="accent3" w:themeFillShade="CC"/>
      </w:tcPr>
    </w:tblStylePr>
    <w:tblStylePr w:type="lastRow">
      <w:rPr>
        <w:b/>
        <w:bCs/>
        <w:color w:val="E27F0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FFC" w:themeFill="accent4" w:themeFillTint="3F"/>
      </w:tcPr>
    </w:tblStylePr>
    <w:tblStylePr w:type="band1Horz">
      <w:tblPr/>
      <w:tcPr>
        <w:shd w:val="clear" w:color="auto" w:fill="BDFFFC" w:themeFill="accent4" w:themeFillTint="33"/>
      </w:tcPr>
    </w:tblStylePr>
  </w:style>
  <w:style w:type="table" w:styleId="ColorfulList-Accent5">
    <w:name w:val="Colorful List Accent 5"/>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EFFEE" w:themeFill="accent5" w:themeFillTint="19"/>
    </w:tcPr>
    <w:tblStylePr w:type="firstRow">
      <w:rPr>
        <w:b/>
        <w:bCs/>
        <w:color w:val="FFFFFF" w:themeColor="background1"/>
      </w:rPr>
      <w:tblPr/>
      <w:tcPr>
        <w:tcBorders>
          <w:bottom w:val="single" w:sz="12" w:space="0" w:color="FFFFFF" w:themeColor="background1"/>
        </w:tcBorders>
        <w:shd w:val="clear" w:color="auto" w:fill="5F2272" w:themeFill="accent6" w:themeFillShade="CC"/>
      </w:tcPr>
    </w:tblStylePr>
    <w:tblStylePr w:type="lastRow">
      <w:rPr>
        <w:b/>
        <w:bCs/>
        <w:color w:val="5F22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4" w:themeFill="accent5" w:themeFillTint="3F"/>
      </w:tcPr>
    </w:tblStylePr>
    <w:tblStylePr w:type="band1Horz">
      <w:tblPr/>
      <w:tcPr>
        <w:shd w:val="clear" w:color="auto" w:fill="BCFFDC" w:themeFill="accent5" w:themeFillTint="33"/>
      </w:tcPr>
    </w:tblStylePr>
  </w:style>
  <w:style w:type="table" w:styleId="ColorfulList-Accent6">
    <w:name w:val="Colorful List Accent 6"/>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F3E6F7" w:themeFill="accent6" w:themeFillTint="19"/>
    </w:tcPr>
    <w:tblStylePr w:type="firstRow">
      <w:rPr>
        <w:b/>
        <w:bCs/>
        <w:color w:val="FFFFFF" w:themeColor="background1"/>
      </w:rPr>
      <w:tblPr/>
      <w:tcPr>
        <w:tcBorders>
          <w:bottom w:val="single" w:sz="12" w:space="0" w:color="FFFFFF" w:themeColor="background1"/>
        </w:tcBorders>
        <w:shd w:val="clear" w:color="auto" w:fill="008D44" w:themeFill="accent5" w:themeFillShade="CC"/>
      </w:tcPr>
    </w:tblStylePr>
    <w:tblStylePr w:type="lastRow">
      <w:rPr>
        <w:b/>
        <w:bCs/>
        <w:color w:val="008D4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1EC" w:themeFill="accent6" w:themeFillTint="3F"/>
      </w:tcPr>
    </w:tblStylePr>
    <w:tblStylePr w:type="band1Horz">
      <w:tblPr/>
      <w:tcPr>
        <w:shd w:val="clear" w:color="auto" w:fill="E7CDF0" w:themeFill="accent6" w:themeFillTint="33"/>
      </w:tcPr>
    </w:tblStylePr>
  </w:style>
  <w:style w:type="table" w:styleId="ColorfulShading">
    <w:name w:val="Colorful Shading"/>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5F9E" w:themeColor="accent1"/>
        <w:bottom w:val="single" w:sz="4" w:space="0" w:color="005F9E" w:themeColor="accent1"/>
        <w:right w:val="single" w:sz="4" w:space="0" w:color="005F9E" w:themeColor="accent1"/>
        <w:insideH w:val="single" w:sz="4" w:space="0" w:color="FFFFFF" w:themeColor="background1"/>
        <w:insideV w:val="single" w:sz="4" w:space="0" w:color="FFFFFF" w:themeColor="background1"/>
      </w:tblBorders>
    </w:tblPr>
    <w:tcPr>
      <w:shd w:val="clear" w:color="auto" w:fill="DCF1FF" w:themeFill="accen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85E" w:themeFill="accent1" w:themeFillShade="99"/>
      </w:tcPr>
    </w:tblStylePr>
    <w:tblStylePr w:type="firstCol">
      <w:rPr>
        <w:color w:val="FFFFFF" w:themeColor="background1"/>
      </w:rPr>
      <w:tblPr/>
      <w:tcPr>
        <w:tcBorders>
          <w:top w:val="nil"/>
          <w:left w:val="nil"/>
          <w:bottom w:val="nil"/>
          <w:right w:val="nil"/>
          <w:insideH w:val="single" w:sz="4" w:space="0" w:color="00385E" w:themeColor="accent1" w:themeShade="99"/>
          <w:insideV w:val="nil"/>
        </w:tcBorders>
        <w:shd w:val="clear" w:color="auto" w:fill="00385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85E" w:themeFill="accent1" w:themeFillShade="99"/>
      </w:tcPr>
    </w:tblStylePr>
    <w:tblStylePr w:type="band1Vert">
      <w:tblPr/>
      <w:tcPr>
        <w:shd w:val="clear" w:color="auto" w:fill="72C6FF" w:themeFill="accent1" w:themeFillTint="66"/>
      </w:tcPr>
    </w:tblStylePr>
    <w:tblStylePr w:type="band1Horz">
      <w:tblPr/>
      <w:tcPr>
        <w:shd w:val="clear" w:color="auto" w:fill="4FB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75BD" w:themeColor="accent2"/>
        <w:bottom w:val="single" w:sz="4" w:space="0" w:color="0075BD" w:themeColor="accent2"/>
        <w:right w:val="single" w:sz="4" w:space="0" w:color="0075BD" w:themeColor="accent2"/>
        <w:insideH w:val="single" w:sz="4" w:space="0" w:color="FFFFFF" w:themeColor="background1"/>
        <w:insideV w:val="single" w:sz="4" w:space="0" w:color="FFFFFF" w:themeColor="background1"/>
      </w:tblBorders>
    </w:tblPr>
    <w:tcPr>
      <w:shd w:val="clear" w:color="auto" w:fill="DFF2FF" w:themeFill="accent2"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71" w:themeFill="accent2" w:themeFillShade="99"/>
      </w:tcPr>
    </w:tblStylePr>
    <w:tblStylePr w:type="firstCol">
      <w:rPr>
        <w:color w:val="FFFFFF" w:themeColor="background1"/>
      </w:rPr>
      <w:tblPr/>
      <w:tcPr>
        <w:tcBorders>
          <w:top w:val="nil"/>
          <w:left w:val="nil"/>
          <w:bottom w:val="nil"/>
          <w:right w:val="nil"/>
          <w:insideH w:val="single" w:sz="4" w:space="0" w:color="004571" w:themeColor="accent2" w:themeShade="99"/>
          <w:insideV w:val="nil"/>
        </w:tcBorders>
        <w:shd w:val="clear" w:color="auto" w:fill="00457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71" w:themeFill="accent2" w:themeFillShade="99"/>
      </w:tcPr>
    </w:tblStylePr>
    <w:tblStylePr w:type="band1Vert">
      <w:tblPr/>
      <w:tcPr>
        <w:shd w:val="clear" w:color="auto" w:fill="7ECDFF" w:themeFill="accent2" w:themeFillTint="66"/>
      </w:tcPr>
    </w:tblStylePr>
    <w:tblStylePr w:type="band1Horz">
      <w:tblPr/>
      <w:tcPr>
        <w:shd w:val="clear" w:color="auto" w:fill="5FC1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B5AF" w:themeColor="accent4"/>
        <w:left w:val="single" w:sz="4" w:space="0" w:color="F99D2A" w:themeColor="accent3"/>
        <w:bottom w:val="single" w:sz="4" w:space="0" w:color="F99D2A" w:themeColor="accent3"/>
        <w:right w:val="single" w:sz="4" w:space="0" w:color="F99D2A" w:themeColor="accent3"/>
        <w:insideH w:val="single" w:sz="4" w:space="0" w:color="FFFFFF" w:themeColor="background1"/>
        <w:insideV w:val="single" w:sz="4" w:space="0" w:color="FFFFFF" w:themeColor="background1"/>
      </w:tblBorders>
    </w:tblPr>
    <w:tcPr>
      <w:shd w:val="clear" w:color="auto" w:fill="FEF5E9" w:themeFill="accent3" w:themeFillTint="19"/>
    </w:tcPr>
    <w:tblStylePr w:type="firstRow">
      <w:rPr>
        <w:b/>
        <w:bCs/>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F04" w:themeFill="accent3" w:themeFillShade="99"/>
      </w:tcPr>
    </w:tblStylePr>
    <w:tblStylePr w:type="firstCol">
      <w:rPr>
        <w:color w:val="FFFFFF" w:themeColor="background1"/>
      </w:rPr>
      <w:tblPr/>
      <w:tcPr>
        <w:tcBorders>
          <w:top w:val="nil"/>
          <w:left w:val="nil"/>
          <w:bottom w:val="nil"/>
          <w:right w:val="nil"/>
          <w:insideH w:val="single" w:sz="4" w:space="0" w:color="A95F04" w:themeColor="accent3" w:themeShade="99"/>
          <w:insideV w:val="nil"/>
        </w:tcBorders>
        <w:shd w:val="clear" w:color="auto" w:fill="A95F0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5F04" w:themeFill="accent3" w:themeFillShade="99"/>
      </w:tcPr>
    </w:tblStylePr>
    <w:tblStylePr w:type="band1Vert">
      <w:tblPr/>
      <w:tcPr>
        <w:shd w:val="clear" w:color="auto" w:fill="FCD7A9" w:themeFill="accent3" w:themeFillTint="66"/>
      </w:tcPr>
    </w:tblStylePr>
    <w:tblStylePr w:type="band1Horz">
      <w:tblPr/>
      <w:tcPr>
        <w:shd w:val="clear" w:color="auto" w:fill="FCCD94" w:themeFill="accent3" w:themeFillTint="7F"/>
      </w:tcPr>
    </w:tblStylePr>
  </w:style>
  <w:style w:type="table" w:styleId="ColorfulShading-Accent4">
    <w:name w:val="Colorful Shading Accent 4"/>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F99D2A" w:themeColor="accent3"/>
        <w:left w:val="single" w:sz="4" w:space="0" w:color="00B5AF" w:themeColor="accent4"/>
        <w:bottom w:val="single" w:sz="4" w:space="0" w:color="00B5AF" w:themeColor="accent4"/>
        <w:right w:val="single" w:sz="4" w:space="0" w:color="00B5AF"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68" w:themeFill="accent4" w:themeFillShade="99"/>
      </w:tcPr>
    </w:tblStylePr>
    <w:tblStylePr w:type="firstCol">
      <w:rPr>
        <w:color w:val="FFFFFF" w:themeColor="background1"/>
      </w:rPr>
      <w:tblPr/>
      <w:tcPr>
        <w:tcBorders>
          <w:top w:val="nil"/>
          <w:left w:val="nil"/>
          <w:bottom w:val="nil"/>
          <w:right w:val="nil"/>
          <w:insideH w:val="single" w:sz="4" w:space="0" w:color="006C68" w:themeColor="accent4" w:themeShade="99"/>
          <w:insideV w:val="nil"/>
        </w:tcBorders>
        <w:shd w:val="clear" w:color="auto" w:fill="006C6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C68" w:themeFill="accent4" w:themeFillShade="99"/>
      </w:tcPr>
    </w:tblStylePr>
    <w:tblStylePr w:type="band1Vert">
      <w:tblPr/>
      <w:tcPr>
        <w:shd w:val="clear" w:color="auto" w:fill="7BFFFA" w:themeFill="accent4" w:themeFillTint="66"/>
      </w:tcPr>
    </w:tblStylePr>
    <w:tblStylePr w:type="band1Horz">
      <w:tblPr/>
      <w:tcPr>
        <w:shd w:val="clear" w:color="auto" w:fill="5BFF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782B90" w:themeColor="accent6"/>
        <w:left w:val="single" w:sz="4" w:space="0" w:color="00B156" w:themeColor="accent5"/>
        <w:bottom w:val="single" w:sz="4" w:space="0" w:color="00B156" w:themeColor="accent5"/>
        <w:right w:val="single" w:sz="4" w:space="0" w:color="00B156" w:themeColor="accent5"/>
        <w:insideH w:val="single" w:sz="4" w:space="0" w:color="FFFFFF" w:themeColor="background1"/>
        <w:insideV w:val="single" w:sz="4" w:space="0" w:color="FFFFFF" w:themeColor="background1"/>
      </w:tblBorders>
    </w:tblPr>
    <w:tcPr>
      <w:shd w:val="clear" w:color="auto" w:fill="DEFFEE" w:themeFill="accent5" w:themeFillTint="19"/>
    </w:tcPr>
    <w:tblStylePr w:type="firstRow">
      <w:rPr>
        <w:b/>
        <w:bCs/>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33" w:themeFill="accent5" w:themeFillShade="99"/>
      </w:tcPr>
    </w:tblStylePr>
    <w:tblStylePr w:type="firstCol">
      <w:rPr>
        <w:color w:val="FFFFFF" w:themeColor="background1"/>
      </w:rPr>
      <w:tblPr/>
      <w:tcPr>
        <w:tcBorders>
          <w:top w:val="nil"/>
          <w:left w:val="nil"/>
          <w:bottom w:val="nil"/>
          <w:right w:val="nil"/>
          <w:insideH w:val="single" w:sz="4" w:space="0" w:color="006A33" w:themeColor="accent5" w:themeShade="99"/>
          <w:insideV w:val="nil"/>
        </w:tcBorders>
        <w:shd w:val="clear" w:color="auto" w:fill="006A3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A33" w:themeFill="accent5" w:themeFillShade="99"/>
      </w:tcPr>
    </w:tblStylePr>
    <w:tblStylePr w:type="band1Vert">
      <w:tblPr/>
      <w:tcPr>
        <w:shd w:val="clear" w:color="auto" w:fill="79FFB9" w:themeFill="accent5" w:themeFillTint="66"/>
      </w:tcPr>
    </w:tblStylePr>
    <w:tblStylePr w:type="band1Horz">
      <w:tblPr/>
      <w:tcPr>
        <w:shd w:val="clear" w:color="auto" w:fill="59FFA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B156" w:themeColor="accent5"/>
        <w:left w:val="single" w:sz="4" w:space="0" w:color="782B90" w:themeColor="accent6"/>
        <w:bottom w:val="single" w:sz="4" w:space="0" w:color="782B90" w:themeColor="accent6"/>
        <w:right w:val="single" w:sz="4" w:space="0" w:color="782B90" w:themeColor="accent6"/>
        <w:insideH w:val="single" w:sz="4" w:space="0" w:color="FFFFFF" w:themeColor="background1"/>
        <w:insideV w:val="single" w:sz="4" w:space="0" w:color="FFFFFF" w:themeColor="background1"/>
      </w:tblBorders>
    </w:tblPr>
    <w:tcPr>
      <w:shd w:val="clear" w:color="auto" w:fill="F3E6F7" w:themeFill="accent6" w:themeFillTint="19"/>
    </w:tcPr>
    <w:tblStylePr w:type="firstRow">
      <w:rPr>
        <w:b/>
        <w:bCs/>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1956" w:themeFill="accent6" w:themeFillShade="99"/>
      </w:tcPr>
    </w:tblStylePr>
    <w:tblStylePr w:type="firstCol">
      <w:rPr>
        <w:color w:val="FFFFFF" w:themeColor="background1"/>
      </w:rPr>
      <w:tblPr/>
      <w:tcPr>
        <w:tcBorders>
          <w:top w:val="nil"/>
          <w:left w:val="nil"/>
          <w:bottom w:val="nil"/>
          <w:right w:val="nil"/>
          <w:insideH w:val="single" w:sz="4" w:space="0" w:color="471956" w:themeColor="accent6" w:themeShade="99"/>
          <w:insideV w:val="nil"/>
        </w:tcBorders>
        <w:shd w:val="clear" w:color="auto" w:fill="4719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71956" w:themeFill="accent6" w:themeFillShade="99"/>
      </w:tcPr>
    </w:tblStylePr>
    <w:tblStylePr w:type="band1Vert">
      <w:tblPr/>
      <w:tcPr>
        <w:shd w:val="clear" w:color="auto" w:fill="D09BE1" w:themeFill="accent6" w:themeFillTint="66"/>
      </w:tcPr>
    </w:tblStylePr>
    <w:tblStylePr w:type="band1Horz">
      <w:tblPr/>
      <w:tcPr>
        <w:shd w:val="clear" w:color="auto" w:fill="C583D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5F9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F4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77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776" w:themeFill="accent1" w:themeFillShade="BF"/>
      </w:tcPr>
    </w:tblStylePr>
    <w:tblStylePr w:type="band1Vert">
      <w:tblPr/>
      <w:tcPr>
        <w:tcBorders>
          <w:top w:val="nil"/>
          <w:left w:val="nil"/>
          <w:bottom w:val="nil"/>
          <w:right w:val="nil"/>
          <w:insideH w:val="nil"/>
          <w:insideV w:val="nil"/>
        </w:tcBorders>
        <w:shd w:val="clear" w:color="auto" w:fill="004776" w:themeFill="accent1" w:themeFillShade="BF"/>
      </w:tcPr>
    </w:tblStylePr>
    <w:tblStylePr w:type="band1Horz">
      <w:tblPr/>
      <w:tcPr>
        <w:tcBorders>
          <w:top w:val="nil"/>
          <w:left w:val="nil"/>
          <w:bottom w:val="nil"/>
          <w:right w:val="nil"/>
          <w:insideH w:val="nil"/>
          <w:insideV w:val="nil"/>
        </w:tcBorders>
        <w:shd w:val="clear" w:color="auto" w:fill="004776" w:themeFill="accent1" w:themeFillShade="BF"/>
      </w:tcPr>
    </w:tblStylePr>
  </w:style>
  <w:style w:type="table" w:styleId="DarkList-Accent2">
    <w:name w:val="Dark List Accent 2"/>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75B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95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8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8D" w:themeFill="accent2" w:themeFillShade="BF"/>
      </w:tcPr>
    </w:tblStylePr>
    <w:tblStylePr w:type="band1Vert">
      <w:tblPr/>
      <w:tcPr>
        <w:tcBorders>
          <w:top w:val="nil"/>
          <w:left w:val="nil"/>
          <w:bottom w:val="nil"/>
          <w:right w:val="nil"/>
          <w:insideH w:val="nil"/>
          <w:insideV w:val="nil"/>
        </w:tcBorders>
        <w:shd w:val="clear" w:color="auto" w:fill="00578D" w:themeFill="accent2" w:themeFillShade="BF"/>
      </w:tcPr>
    </w:tblStylePr>
    <w:tblStylePr w:type="band1Horz">
      <w:tblPr/>
      <w:tcPr>
        <w:tcBorders>
          <w:top w:val="nil"/>
          <w:left w:val="nil"/>
          <w:bottom w:val="nil"/>
          <w:right w:val="nil"/>
          <w:insideH w:val="nil"/>
          <w:insideV w:val="nil"/>
        </w:tcBorders>
        <w:shd w:val="clear" w:color="auto" w:fill="00578D" w:themeFill="accent2" w:themeFillShade="BF"/>
      </w:tcPr>
    </w:tblStylePr>
  </w:style>
  <w:style w:type="table" w:styleId="DarkList-Accent3">
    <w:name w:val="Dark List Accent 3"/>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F99D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4F0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3770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37706" w:themeFill="accent3" w:themeFillShade="BF"/>
      </w:tcPr>
    </w:tblStylePr>
    <w:tblStylePr w:type="band1Vert">
      <w:tblPr/>
      <w:tcPr>
        <w:tcBorders>
          <w:top w:val="nil"/>
          <w:left w:val="nil"/>
          <w:bottom w:val="nil"/>
          <w:right w:val="nil"/>
          <w:insideH w:val="nil"/>
          <w:insideV w:val="nil"/>
        </w:tcBorders>
        <w:shd w:val="clear" w:color="auto" w:fill="D37706" w:themeFill="accent3" w:themeFillShade="BF"/>
      </w:tcPr>
    </w:tblStylePr>
    <w:tblStylePr w:type="band1Horz">
      <w:tblPr/>
      <w:tcPr>
        <w:tcBorders>
          <w:top w:val="nil"/>
          <w:left w:val="nil"/>
          <w:bottom w:val="nil"/>
          <w:right w:val="nil"/>
          <w:insideH w:val="nil"/>
          <w:insideV w:val="nil"/>
        </w:tcBorders>
        <w:shd w:val="clear" w:color="auto" w:fill="D37706" w:themeFill="accent3" w:themeFillShade="BF"/>
      </w:tcPr>
    </w:tblStylePr>
  </w:style>
  <w:style w:type="table" w:styleId="DarkList-Accent4">
    <w:name w:val="Dark List Accent 4"/>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B5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A5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78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782" w:themeFill="accent4" w:themeFillShade="BF"/>
      </w:tcPr>
    </w:tblStylePr>
    <w:tblStylePr w:type="band1Vert">
      <w:tblPr/>
      <w:tcPr>
        <w:tcBorders>
          <w:top w:val="nil"/>
          <w:left w:val="nil"/>
          <w:bottom w:val="nil"/>
          <w:right w:val="nil"/>
          <w:insideH w:val="nil"/>
          <w:insideV w:val="nil"/>
        </w:tcBorders>
        <w:shd w:val="clear" w:color="auto" w:fill="008782" w:themeFill="accent4" w:themeFillShade="BF"/>
      </w:tcPr>
    </w:tblStylePr>
    <w:tblStylePr w:type="band1Horz">
      <w:tblPr/>
      <w:tcPr>
        <w:tcBorders>
          <w:top w:val="nil"/>
          <w:left w:val="nil"/>
          <w:bottom w:val="nil"/>
          <w:right w:val="nil"/>
          <w:insideH w:val="nil"/>
          <w:insideV w:val="nil"/>
        </w:tcBorders>
        <w:shd w:val="clear" w:color="auto" w:fill="008782" w:themeFill="accent4" w:themeFillShade="BF"/>
      </w:tcPr>
    </w:tblStylePr>
  </w:style>
  <w:style w:type="table" w:styleId="DarkList-Accent5">
    <w:name w:val="Dark List Accent 5"/>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B15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4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43F" w:themeFill="accent5" w:themeFillShade="BF"/>
      </w:tcPr>
    </w:tblStylePr>
    <w:tblStylePr w:type="band1Vert">
      <w:tblPr/>
      <w:tcPr>
        <w:tcBorders>
          <w:top w:val="nil"/>
          <w:left w:val="nil"/>
          <w:bottom w:val="nil"/>
          <w:right w:val="nil"/>
          <w:insideH w:val="nil"/>
          <w:insideV w:val="nil"/>
        </w:tcBorders>
        <w:shd w:val="clear" w:color="auto" w:fill="00843F" w:themeFill="accent5" w:themeFillShade="BF"/>
      </w:tcPr>
    </w:tblStylePr>
    <w:tblStylePr w:type="band1Horz">
      <w:tblPr/>
      <w:tcPr>
        <w:tcBorders>
          <w:top w:val="nil"/>
          <w:left w:val="nil"/>
          <w:bottom w:val="nil"/>
          <w:right w:val="nil"/>
          <w:insideH w:val="nil"/>
          <w:insideV w:val="nil"/>
        </w:tcBorders>
        <w:shd w:val="clear" w:color="auto" w:fill="00843F" w:themeFill="accent5" w:themeFillShade="BF"/>
      </w:tcPr>
    </w:tblStylePr>
  </w:style>
  <w:style w:type="table" w:styleId="DarkList-Accent6">
    <w:name w:val="Dark List Accent 6"/>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782B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15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920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9206B" w:themeFill="accent6" w:themeFillShade="BF"/>
      </w:tcPr>
    </w:tblStylePr>
    <w:tblStylePr w:type="band1Vert">
      <w:tblPr/>
      <w:tcPr>
        <w:tcBorders>
          <w:top w:val="nil"/>
          <w:left w:val="nil"/>
          <w:bottom w:val="nil"/>
          <w:right w:val="nil"/>
          <w:insideH w:val="nil"/>
          <w:insideV w:val="nil"/>
        </w:tcBorders>
        <w:shd w:val="clear" w:color="auto" w:fill="59206B" w:themeFill="accent6" w:themeFillShade="BF"/>
      </w:tcPr>
    </w:tblStylePr>
    <w:tblStylePr w:type="band1Horz">
      <w:tblPr/>
      <w:tcPr>
        <w:tcBorders>
          <w:top w:val="nil"/>
          <w:left w:val="nil"/>
          <w:bottom w:val="nil"/>
          <w:right w:val="nil"/>
          <w:insideH w:val="nil"/>
          <w:insideV w:val="nil"/>
        </w:tcBorders>
        <w:shd w:val="clear" w:color="auto" w:fill="59206B" w:themeFill="accent6" w:themeFillShade="BF"/>
      </w:tcPr>
    </w:tblStylePr>
  </w:style>
  <w:style w:type="table" w:styleId="GridTable1Light">
    <w:name w:val="Grid Table 1 Light"/>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2C6FF" w:themeColor="accent1" w:themeTint="66"/>
        <w:left w:val="single" w:sz="4" w:space="0" w:color="72C6FF" w:themeColor="accent1" w:themeTint="66"/>
        <w:bottom w:val="single" w:sz="4" w:space="0" w:color="72C6FF" w:themeColor="accent1" w:themeTint="66"/>
        <w:right w:val="single" w:sz="4" w:space="0" w:color="72C6FF" w:themeColor="accent1" w:themeTint="66"/>
        <w:insideH w:val="single" w:sz="4" w:space="0" w:color="72C6FF" w:themeColor="accent1" w:themeTint="66"/>
        <w:insideV w:val="single" w:sz="4" w:space="0" w:color="72C6FF" w:themeColor="accent1" w:themeTint="66"/>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2" w:space="0" w:color="2BA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ECDFF" w:themeColor="accent2" w:themeTint="66"/>
        <w:left w:val="single" w:sz="4" w:space="0" w:color="7ECDFF" w:themeColor="accent2" w:themeTint="66"/>
        <w:bottom w:val="single" w:sz="4" w:space="0" w:color="7ECDFF" w:themeColor="accent2" w:themeTint="66"/>
        <w:right w:val="single" w:sz="4" w:space="0" w:color="7ECDFF" w:themeColor="accent2" w:themeTint="66"/>
        <w:insideH w:val="single" w:sz="4" w:space="0" w:color="7ECDFF" w:themeColor="accent2" w:themeTint="66"/>
        <w:insideV w:val="single" w:sz="4" w:space="0" w:color="7ECDFF" w:themeColor="accent2" w:themeTint="66"/>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2" w:space="0" w:color="3EB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FCD7A9" w:themeColor="accent3" w:themeTint="66"/>
        <w:left w:val="single" w:sz="4" w:space="0" w:color="FCD7A9" w:themeColor="accent3" w:themeTint="66"/>
        <w:bottom w:val="single" w:sz="4" w:space="0" w:color="FCD7A9" w:themeColor="accent3" w:themeTint="66"/>
        <w:right w:val="single" w:sz="4" w:space="0" w:color="FCD7A9" w:themeColor="accent3" w:themeTint="66"/>
        <w:insideH w:val="single" w:sz="4" w:space="0" w:color="FCD7A9" w:themeColor="accent3" w:themeTint="66"/>
        <w:insideV w:val="single" w:sz="4" w:space="0" w:color="FCD7A9" w:themeColor="accent3" w:themeTint="66"/>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2" w:space="0" w:color="FBC3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BFFFA" w:themeColor="accent4" w:themeTint="66"/>
        <w:left w:val="single" w:sz="4" w:space="0" w:color="7BFFFA" w:themeColor="accent4" w:themeTint="66"/>
        <w:bottom w:val="single" w:sz="4" w:space="0" w:color="7BFFFA" w:themeColor="accent4" w:themeTint="66"/>
        <w:right w:val="single" w:sz="4" w:space="0" w:color="7BFFFA" w:themeColor="accent4" w:themeTint="66"/>
        <w:insideH w:val="single" w:sz="4" w:space="0" w:color="7BFFFA" w:themeColor="accent4" w:themeTint="66"/>
        <w:insideV w:val="single" w:sz="4" w:space="0" w:color="7BFFFA" w:themeColor="accent4" w:themeTint="66"/>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2" w:space="0" w:color="39FFF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9FFB9" w:themeColor="accent5" w:themeTint="66"/>
        <w:left w:val="single" w:sz="4" w:space="0" w:color="79FFB9" w:themeColor="accent5" w:themeTint="66"/>
        <w:bottom w:val="single" w:sz="4" w:space="0" w:color="79FFB9" w:themeColor="accent5" w:themeTint="66"/>
        <w:right w:val="single" w:sz="4" w:space="0" w:color="79FFB9" w:themeColor="accent5" w:themeTint="66"/>
        <w:insideH w:val="single" w:sz="4" w:space="0" w:color="79FFB9" w:themeColor="accent5" w:themeTint="66"/>
        <w:insideV w:val="single" w:sz="4" w:space="0" w:color="79FFB9" w:themeColor="accent5" w:themeTint="66"/>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2" w:space="0" w:color="37FF9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D09BE1" w:themeColor="accent6" w:themeTint="66"/>
        <w:left w:val="single" w:sz="4" w:space="0" w:color="D09BE1" w:themeColor="accent6" w:themeTint="66"/>
        <w:bottom w:val="single" w:sz="4" w:space="0" w:color="D09BE1" w:themeColor="accent6" w:themeTint="66"/>
        <w:right w:val="single" w:sz="4" w:space="0" w:color="D09BE1" w:themeColor="accent6" w:themeTint="66"/>
        <w:insideH w:val="single" w:sz="4" w:space="0" w:color="D09BE1" w:themeColor="accent6" w:themeTint="66"/>
        <w:insideV w:val="single" w:sz="4" w:space="0" w:color="D09BE1" w:themeColor="accent6" w:themeTint="66"/>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2" w:space="0" w:color="B969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2BAAFF" w:themeColor="accent1" w:themeTint="99"/>
        <w:bottom w:val="single" w:sz="2" w:space="0" w:color="2BAAFF" w:themeColor="accent1" w:themeTint="99"/>
        <w:insideH w:val="single" w:sz="2" w:space="0" w:color="2BAAFF" w:themeColor="accent1" w:themeTint="99"/>
        <w:insideV w:val="single" w:sz="2" w:space="0" w:color="2BAAFF" w:themeColor="accent1" w:themeTint="99"/>
      </w:tblBorders>
    </w:tblPr>
    <w:tblStylePr w:type="firstRow">
      <w:rPr>
        <w:b/>
        <w:bCs/>
      </w:rPr>
      <w:tblPr/>
      <w:tcPr>
        <w:tcBorders>
          <w:top w:val="nil"/>
          <w:bottom w:val="single" w:sz="12" w:space="0" w:color="2BAAFF" w:themeColor="accent1" w:themeTint="99"/>
          <w:insideH w:val="nil"/>
          <w:insideV w:val="nil"/>
        </w:tcBorders>
        <w:shd w:val="clear" w:color="auto" w:fill="FFFFFF" w:themeFill="background1"/>
      </w:tcPr>
    </w:tblStylePr>
    <w:tblStylePr w:type="lastRow">
      <w:rPr>
        <w:b/>
        <w:bCs/>
      </w:rPr>
      <w:tblPr/>
      <w:tcPr>
        <w:tcBorders>
          <w:top w:val="double" w:sz="2" w:space="0" w:color="2BA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2-Accent2">
    <w:name w:val="Grid Table 2 Accent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EB4FF" w:themeColor="accent2" w:themeTint="99"/>
        <w:bottom w:val="single" w:sz="2" w:space="0" w:color="3EB4FF" w:themeColor="accent2" w:themeTint="99"/>
        <w:insideH w:val="single" w:sz="2" w:space="0" w:color="3EB4FF" w:themeColor="accent2" w:themeTint="99"/>
        <w:insideV w:val="single" w:sz="2" w:space="0" w:color="3EB4FF" w:themeColor="accent2" w:themeTint="99"/>
      </w:tblBorders>
    </w:tblPr>
    <w:tblStylePr w:type="firstRow">
      <w:rPr>
        <w:b/>
        <w:bCs/>
      </w:rPr>
      <w:tblPr/>
      <w:tcPr>
        <w:tcBorders>
          <w:top w:val="nil"/>
          <w:bottom w:val="single" w:sz="12" w:space="0" w:color="3EB4FF" w:themeColor="accent2" w:themeTint="99"/>
          <w:insideH w:val="nil"/>
          <w:insideV w:val="nil"/>
        </w:tcBorders>
        <w:shd w:val="clear" w:color="auto" w:fill="FFFFFF" w:themeFill="background1"/>
      </w:tcPr>
    </w:tblStylePr>
    <w:tblStylePr w:type="lastRow">
      <w:rPr>
        <w:b/>
        <w:bCs/>
      </w:rPr>
      <w:tblPr/>
      <w:tcPr>
        <w:tcBorders>
          <w:top w:val="double" w:sz="2" w:space="0" w:color="3EB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2-Accent3">
    <w:name w:val="Grid Table 2 Accent 3"/>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FBC37E" w:themeColor="accent3" w:themeTint="99"/>
        <w:bottom w:val="single" w:sz="2" w:space="0" w:color="FBC37E" w:themeColor="accent3" w:themeTint="99"/>
        <w:insideH w:val="single" w:sz="2" w:space="0" w:color="FBC37E" w:themeColor="accent3" w:themeTint="99"/>
        <w:insideV w:val="single" w:sz="2" w:space="0" w:color="FBC37E" w:themeColor="accent3" w:themeTint="99"/>
      </w:tblBorders>
    </w:tblPr>
    <w:tblStylePr w:type="firstRow">
      <w:rPr>
        <w:b/>
        <w:bCs/>
      </w:rPr>
      <w:tblPr/>
      <w:tcPr>
        <w:tcBorders>
          <w:top w:val="nil"/>
          <w:bottom w:val="single" w:sz="12" w:space="0" w:color="FBC37E" w:themeColor="accent3" w:themeTint="99"/>
          <w:insideH w:val="nil"/>
          <w:insideV w:val="nil"/>
        </w:tcBorders>
        <w:shd w:val="clear" w:color="auto" w:fill="FFFFFF" w:themeFill="background1"/>
      </w:tcPr>
    </w:tblStylePr>
    <w:tblStylePr w:type="lastRow">
      <w:rPr>
        <w:b/>
        <w:bCs/>
      </w:rPr>
      <w:tblPr/>
      <w:tcPr>
        <w:tcBorders>
          <w:top w:val="double" w:sz="2" w:space="0" w:color="FBC3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2-Accent4">
    <w:name w:val="Grid Table 2 Accent 4"/>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9FFF8" w:themeColor="accent4" w:themeTint="99"/>
        <w:bottom w:val="single" w:sz="2" w:space="0" w:color="39FFF8" w:themeColor="accent4" w:themeTint="99"/>
        <w:insideH w:val="single" w:sz="2" w:space="0" w:color="39FFF8" w:themeColor="accent4" w:themeTint="99"/>
        <w:insideV w:val="single" w:sz="2" w:space="0" w:color="39FFF8" w:themeColor="accent4" w:themeTint="99"/>
      </w:tblBorders>
    </w:tblPr>
    <w:tblStylePr w:type="firstRow">
      <w:rPr>
        <w:b/>
        <w:bCs/>
      </w:rPr>
      <w:tblPr/>
      <w:tcPr>
        <w:tcBorders>
          <w:top w:val="nil"/>
          <w:bottom w:val="single" w:sz="12" w:space="0" w:color="39FFF8" w:themeColor="accent4" w:themeTint="99"/>
          <w:insideH w:val="nil"/>
          <w:insideV w:val="nil"/>
        </w:tcBorders>
        <w:shd w:val="clear" w:color="auto" w:fill="FFFFFF" w:themeFill="background1"/>
      </w:tcPr>
    </w:tblStylePr>
    <w:tblStylePr w:type="lastRow">
      <w:rPr>
        <w:b/>
        <w:bCs/>
      </w:rPr>
      <w:tblPr/>
      <w:tcPr>
        <w:tcBorders>
          <w:top w:val="double" w:sz="2" w:space="0" w:color="39FFF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2-Accent5">
    <w:name w:val="Grid Table 2 Accent 5"/>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7FF97" w:themeColor="accent5" w:themeTint="99"/>
        <w:bottom w:val="single" w:sz="2" w:space="0" w:color="37FF97" w:themeColor="accent5" w:themeTint="99"/>
        <w:insideH w:val="single" w:sz="2" w:space="0" w:color="37FF97" w:themeColor="accent5" w:themeTint="99"/>
        <w:insideV w:val="single" w:sz="2" w:space="0" w:color="37FF97" w:themeColor="accent5" w:themeTint="99"/>
      </w:tblBorders>
    </w:tblPr>
    <w:tblStylePr w:type="firstRow">
      <w:rPr>
        <w:b/>
        <w:bCs/>
      </w:rPr>
      <w:tblPr/>
      <w:tcPr>
        <w:tcBorders>
          <w:top w:val="nil"/>
          <w:bottom w:val="single" w:sz="12" w:space="0" w:color="37FF97" w:themeColor="accent5" w:themeTint="99"/>
          <w:insideH w:val="nil"/>
          <w:insideV w:val="nil"/>
        </w:tcBorders>
        <w:shd w:val="clear" w:color="auto" w:fill="FFFFFF" w:themeFill="background1"/>
      </w:tcPr>
    </w:tblStylePr>
    <w:tblStylePr w:type="lastRow">
      <w:rPr>
        <w:b/>
        <w:bCs/>
      </w:rPr>
      <w:tblPr/>
      <w:tcPr>
        <w:tcBorders>
          <w:top w:val="double" w:sz="2" w:space="0" w:color="37FF9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2-Accent6">
    <w:name w:val="Grid Table 2 Accent 6"/>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B969D2" w:themeColor="accent6" w:themeTint="99"/>
        <w:bottom w:val="single" w:sz="2" w:space="0" w:color="B969D2" w:themeColor="accent6" w:themeTint="99"/>
        <w:insideH w:val="single" w:sz="2" w:space="0" w:color="B969D2" w:themeColor="accent6" w:themeTint="99"/>
        <w:insideV w:val="single" w:sz="2" w:space="0" w:color="B969D2" w:themeColor="accent6" w:themeTint="99"/>
      </w:tblBorders>
    </w:tblPr>
    <w:tblStylePr w:type="firstRow">
      <w:rPr>
        <w:b/>
        <w:bCs/>
      </w:rPr>
      <w:tblPr/>
      <w:tcPr>
        <w:tcBorders>
          <w:top w:val="nil"/>
          <w:bottom w:val="single" w:sz="12" w:space="0" w:color="B969D2" w:themeColor="accent6" w:themeTint="99"/>
          <w:insideH w:val="nil"/>
          <w:insideV w:val="nil"/>
        </w:tcBorders>
        <w:shd w:val="clear" w:color="auto" w:fill="FFFFFF" w:themeFill="background1"/>
      </w:tcPr>
    </w:tblStylePr>
    <w:tblStylePr w:type="lastRow">
      <w:rPr>
        <w:b/>
        <w:bCs/>
      </w:rPr>
      <w:tblPr/>
      <w:tcPr>
        <w:tcBorders>
          <w:top w:val="double" w:sz="2" w:space="0" w:color="B969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3">
    <w:name w:val="Grid Table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3-Accent2">
    <w:name w:val="Grid Table 3 Accent 2"/>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3-Accent3">
    <w:name w:val="Grid Table 3 Accent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3-Accent4">
    <w:name w:val="Grid Table 3 Accent 4"/>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3-Accent5">
    <w:name w:val="Grid Table 3 Accent 5"/>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3-Accent6">
    <w:name w:val="Grid Table 3 Accent 6"/>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GridTable4">
    <w:name w:val="Grid Table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insideV w:val="nil"/>
        </w:tcBorders>
        <w:shd w:val="clear" w:color="auto" w:fill="005F9E" w:themeFill="accent1"/>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4-Accent2">
    <w:name w:val="Grid Table 4 Accent 2"/>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insideV w:val="nil"/>
        </w:tcBorders>
        <w:shd w:val="clear" w:color="auto" w:fill="0075BD" w:themeFill="accent2"/>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4-Accent3">
    <w:name w:val="Grid Table 4 Accent 3"/>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insideV w:val="nil"/>
        </w:tcBorders>
        <w:shd w:val="clear" w:color="auto" w:fill="F99D2A" w:themeFill="accent3"/>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4-Accent4">
    <w:name w:val="Grid Table 4 Accent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insideV w:val="nil"/>
        </w:tcBorders>
        <w:shd w:val="clear" w:color="auto" w:fill="00B5AF" w:themeFill="accent4"/>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4-Accent5">
    <w:name w:val="Grid Table 4 Accent 5"/>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insideV w:val="nil"/>
        </w:tcBorders>
        <w:shd w:val="clear" w:color="auto" w:fill="00B156" w:themeFill="accent5"/>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4-Accent6">
    <w:name w:val="Grid Table 4 Accent 6"/>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insideV w:val="nil"/>
        </w:tcBorders>
        <w:shd w:val="clear" w:color="auto" w:fill="782B90" w:themeFill="accent6"/>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5Dark">
    <w:name w:val="Grid Table 5 Dark"/>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F9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F9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F9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F9E" w:themeFill="accent1"/>
      </w:tcPr>
    </w:tblStylePr>
    <w:tblStylePr w:type="band1Vert">
      <w:tblPr/>
      <w:tcPr>
        <w:shd w:val="clear" w:color="auto" w:fill="72C6FF" w:themeFill="accent1" w:themeFillTint="66"/>
      </w:tcPr>
    </w:tblStylePr>
    <w:tblStylePr w:type="band1Horz">
      <w:tblPr/>
      <w:tcPr>
        <w:shd w:val="clear" w:color="auto" w:fill="72C6FF" w:themeFill="accent1" w:themeFillTint="66"/>
      </w:tcPr>
    </w:tblStylePr>
  </w:style>
  <w:style w:type="table" w:styleId="GridTable5Dark-Accent2">
    <w:name w:val="Grid Table 5 Dark Accent 2"/>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BD" w:themeFill="accent2"/>
      </w:tcPr>
    </w:tblStylePr>
    <w:tblStylePr w:type="band1Vert">
      <w:tblPr/>
      <w:tcPr>
        <w:shd w:val="clear" w:color="auto" w:fill="7ECDFF" w:themeFill="accent2" w:themeFillTint="66"/>
      </w:tcPr>
    </w:tblStylePr>
    <w:tblStylePr w:type="band1Horz">
      <w:tblPr/>
      <w:tcPr>
        <w:shd w:val="clear" w:color="auto" w:fill="7ECDFF" w:themeFill="accent2" w:themeFillTint="66"/>
      </w:tcPr>
    </w:tblStylePr>
  </w:style>
  <w:style w:type="table" w:styleId="GridTable5Dark-Accent3">
    <w:name w:val="Grid Table 5 Dark Accent 3"/>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D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D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D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D2A" w:themeFill="accent3"/>
      </w:tcPr>
    </w:tblStylePr>
    <w:tblStylePr w:type="band1Vert">
      <w:tblPr/>
      <w:tcPr>
        <w:shd w:val="clear" w:color="auto" w:fill="FCD7A9" w:themeFill="accent3" w:themeFillTint="66"/>
      </w:tcPr>
    </w:tblStylePr>
    <w:tblStylePr w:type="band1Horz">
      <w:tblPr/>
      <w:tcPr>
        <w:shd w:val="clear" w:color="auto" w:fill="FCD7A9" w:themeFill="accent3" w:themeFillTint="66"/>
      </w:tcPr>
    </w:tblStylePr>
  </w:style>
  <w:style w:type="table" w:styleId="GridTable5Dark-Accent4">
    <w:name w:val="Grid Table 5 Dark Accent 4"/>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5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5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5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5AF" w:themeFill="accent4"/>
      </w:tcPr>
    </w:tblStylePr>
    <w:tblStylePr w:type="band1Vert">
      <w:tblPr/>
      <w:tcPr>
        <w:shd w:val="clear" w:color="auto" w:fill="7BFFFA" w:themeFill="accent4" w:themeFillTint="66"/>
      </w:tcPr>
    </w:tblStylePr>
    <w:tblStylePr w:type="band1Horz">
      <w:tblPr/>
      <w:tcPr>
        <w:shd w:val="clear" w:color="auto" w:fill="7BFFFA" w:themeFill="accent4" w:themeFillTint="66"/>
      </w:tcPr>
    </w:tblStylePr>
  </w:style>
  <w:style w:type="table" w:styleId="GridTable5Dark-Accent5">
    <w:name w:val="Grid Table 5 Dark Accent 5"/>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5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5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5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56" w:themeFill="accent5"/>
      </w:tcPr>
    </w:tblStylePr>
    <w:tblStylePr w:type="band1Vert">
      <w:tblPr/>
      <w:tcPr>
        <w:shd w:val="clear" w:color="auto" w:fill="79FFB9" w:themeFill="accent5" w:themeFillTint="66"/>
      </w:tcPr>
    </w:tblStylePr>
    <w:tblStylePr w:type="band1Horz">
      <w:tblPr/>
      <w:tcPr>
        <w:shd w:val="clear" w:color="auto" w:fill="79FFB9" w:themeFill="accent5" w:themeFillTint="66"/>
      </w:tcPr>
    </w:tblStylePr>
  </w:style>
  <w:style w:type="table" w:styleId="GridTable5Dark-Accent6">
    <w:name w:val="Grid Table 5 Dark Accent 6"/>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D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2B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2B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2B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2B90" w:themeFill="accent6"/>
      </w:tcPr>
    </w:tblStylePr>
    <w:tblStylePr w:type="band1Vert">
      <w:tblPr/>
      <w:tcPr>
        <w:shd w:val="clear" w:color="auto" w:fill="D09BE1" w:themeFill="accent6" w:themeFillTint="66"/>
      </w:tcPr>
    </w:tblStylePr>
    <w:tblStylePr w:type="band1Horz">
      <w:tblPr/>
      <w:tcPr>
        <w:shd w:val="clear" w:color="auto" w:fill="D09BE1" w:themeFill="accent6" w:themeFillTint="66"/>
      </w:tcPr>
    </w:tblStylePr>
  </w:style>
  <w:style w:type="table" w:styleId="GridTable6Colorful">
    <w:name w:val="Grid Table 6 Colorful"/>
    <w:basedOn w:val="TableNormal"/>
    <w:uiPriority w:val="51"/>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62808"/>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6Colorful-Accent2">
    <w:name w:val="Grid Table 6 Colorful Accent 2"/>
    <w:basedOn w:val="TableNormal"/>
    <w:uiPriority w:val="51"/>
    <w:rsid w:val="00062808"/>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6Colorful-Accent3">
    <w:name w:val="Grid Table 6 Colorful Accent 3"/>
    <w:basedOn w:val="TableNormal"/>
    <w:uiPriority w:val="51"/>
    <w:rsid w:val="00062808"/>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6Colorful-Accent4">
    <w:name w:val="Grid Table 6 Colorful Accent 4"/>
    <w:basedOn w:val="TableNormal"/>
    <w:uiPriority w:val="51"/>
    <w:rsid w:val="00062808"/>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6Colorful-Accent5">
    <w:name w:val="Grid Table 6 Colorful Accent 5"/>
    <w:basedOn w:val="TableNormal"/>
    <w:uiPriority w:val="51"/>
    <w:rsid w:val="00062808"/>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6Colorful-Accent6">
    <w:name w:val="Grid Table 6 Colorful Accent 6"/>
    <w:basedOn w:val="TableNormal"/>
    <w:uiPriority w:val="51"/>
    <w:rsid w:val="00062808"/>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7Colorful">
    <w:name w:val="Grid Table 7 Colorful"/>
    <w:basedOn w:val="TableNormal"/>
    <w:uiPriority w:val="52"/>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62808"/>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7Colorful-Accent2">
    <w:name w:val="Grid Table 7 Colorful Accent 2"/>
    <w:basedOn w:val="TableNormal"/>
    <w:uiPriority w:val="52"/>
    <w:rsid w:val="00062808"/>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7Colorful-Accent3">
    <w:name w:val="Grid Table 7 Colorful Accent 3"/>
    <w:basedOn w:val="TableNormal"/>
    <w:uiPriority w:val="52"/>
    <w:rsid w:val="00062808"/>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7Colorful-Accent4">
    <w:name w:val="Grid Table 7 Colorful Accent 4"/>
    <w:basedOn w:val="TableNormal"/>
    <w:uiPriority w:val="52"/>
    <w:rsid w:val="00062808"/>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7Colorful-Accent5">
    <w:name w:val="Grid Table 7 Colorful Accent 5"/>
    <w:basedOn w:val="TableNormal"/>
    <w:uiPriority w:val="52"/>
    <w:rsid w:val="00062808"/>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7Colorful-Accent6">
    <w:name w:val="Grid Table 7 Colorful Accent 6"/>
    <w:basedOn w:val="TableNormal"/>
    <w:uiPriority w:val="52"/>
    <w:rsid w:val="00062808"/>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LightGrid">
    <w:name w:val="Light Grid"/>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18" w:space="0" w:color="005F9E" w:themeColor="accent1"/>
          <w:right w:val="single" w:sz="8" w:space="0" w:color="005F9E" w:themeColor="accent1"/>
          <w:insideH w:val="nil"/>
          <w:insideV w:val="single" w:sz="8" w:space="0" w:color="005F9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insideH w:val="nil"/>
          <w:insideV w:val="single" w:sz="8" w:space="0" w:color="005F9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shd w:val="clear" w:color="auto" w:fill="A8DCFF" w:themeFill="accent1" w:themeFillTint="3F"/>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shd w:val="clear" w:color="auto" w:fill="A8DCFF" w:themeFill="accent1" w:themeFillTint="3F"/>
      </w:tcPr>
    </w:tblStylePr>
    <w:tblStylePr w:type="band2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tcPr>
    </w:tblStylePr>
  </w:style>
  <w:style w:type="table" w:styleId="LightGrid-Accent2">
    <w:name w:val="Light Grid Accent 2"/>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18" w:space="0" w:color="0075BD" w:themeColor="accent2"/>
          <w:right w:val="single" w:sz="8" w:space="0" w:color="0075BD" w:themeColor="accent2"/>
          <w:insideH w:val="nil"/>
          <w:insideV w:val="single" w:sz="8" w:space="0" w:color="0075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insideH w:val="nil"/>
          <w:insideV w:val="single" w:sz="8" w:space="0" w:color="0075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shd w:val="clear" w:color="auto" w:fill="AFE0FF" w:themeFill="accent2" w:themeFillTint="3F"/>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shd w:val="clear" w:color="auto" w:fill="AFE0FF" w:themeFill="accent2" w:themeFillTint="3F"/>
      </w:tcPr>
    </w:tblStylePr>
    <w:tblStylePr w:type="band2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tcPr>
    </w:tblStylePr>
  </w:style>
  <w:style w:type="table" w:styleId="LightGrid-Accent3">
    <w:name w:val="Light Grid Accent 3"/>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18" w:space="0" w:color="F99D2A" w:themeColor="accent3"/>
          <w:right w:val="single" w:sz="8" w:space="0" w:color="F99D2A" w:themeColor="accent3"/>
          <w:insideH w:val="nil"/>
          <w:insideV w:val="single" w:sz="8" w:space="0" w:color="F99D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insideH w:val="nil"/>
          <w:insideV w:val="single" w:sz="8" w:space="0" w:color="F99D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shd w:val="clear" w:color="auto" w:fill="FDE6CA" w:themeFill="accent3" w:themeFillTint="3F"/>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shd w:val="clear" w:color="auto" w:fill="FDE6CA" w:themeFill="accent3" w:themeFillTint="3F"/>
      </w:tcPr>
    </w:tblStylePr>
    <w:tblStylePr w:type="band2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tcPr>
    </w:tblStylePr>
  </w:style>
  <w:style w:type="table" w:styleId="LightGrid-Accent4">
    <w:name w:val="Light Grid Accent 4"/>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18" w:space="0" w:color="00B5AF" w:themeColor="accent4"/>
          <w:right w:val="single" w:sz="8" w:space="0" w:color="00B5AF" w:themeColor="accent4"/>
          <w:insideH w:val="nil"/>
          <w:insideV w:val="single" w:sz="8" w:space="0" w:color="00B5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insideH w:val="nil"/>
          <w:insideV w:val="single" w:sz="8" w:space="0" w:color="00B5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shd w:val="clear" w:color="auto" w:fill="ADFFFC" w:themeFill="accent4" w:themeFillTint="3F"/>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shd w:val="clear" w:color="auto" w:fill="ADFFFC" w:themeFill="accent4" w:themeFillTint="3F"/>
      </w:tcPr>
    </w:tblStylePr>
    <w:tblStylePr w:type="band2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tcPr>
    </w:tblStylePr>
  </w:style>
  <w:style w:type="table" w:styleId="LightGrid-Accent5">
    <w:name w:val="Light Grid Accent 5"/>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18" w:space="0" w:color="00B156" w:themeColor="accent5"/>
          <w:right w:val="single" w:sz="8" w:space="0" w:color="00B156" w:themeColor="accent5"/>
          <w:insideH w:val="nil"/>
          <w:insideV w:val="single" w:sz="8" w:space="0" w:color="00B15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insideH w:val="nil"/>
          <w:insideV w:val="single" w:sz="8" w:space="0" w:color="00B15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shd w:val="clear" w:color="auto" w:fill="ACFFD4" w:themeFill="accent5" w:themeFillTint="3F"/>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shd w:val="clear" w:color="auto" w:fill="ACFFD4" w:themeFill="accent5" w:themeFillTint="3F"/>
      </w:tcPr>
    </w:tblStylePr>
    <w:tblStylePr w:type="band2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tcPr>
    </w:tblStylePr>
  </w:style>
  <w:style w:type="table" w:styleId="LightGrid-Accent6">
    <w:name w:val="Light Grid Accent 6"/>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18" w:space="0" w:color="782B90" w:themeColor="accent6"/>
          <w:right w:val="single" w:sz="8" w:space="0" w:color="782B90" w:themeColor="accent6"/>
          <w:insideH w:val="nil"/>
          <w:insideV w:val="single" w:sz="8" w:space="0" w:color="782B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insideH w:val="nil"/>
          <w:insideV w:val="single" w:sz="8" w:space="0" w:color="782B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shd w:val="clear" w:color="auto" w:fill="E2C1EC" w:themeFill="accent6" w:themeFillTint="3F"/>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shd w:val="clear" w:color="auto" w:fill="E2C1EC" w:themeFill="accent6" w:themeFillTint="3F"/>
      </w:tcPr>
    </w:tblStylePr>
    <w:tblStylePr w:type="band2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tcPr>
    </w:tblStylePr>
  </w:style>
  <w:style w:type="table" w:styleId="LightList">
    <w:name w:val="Light List"/>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pPr>
        <w:spacing w:before="0" w:after="0" w:line="240" w:lineRule="auto"/>
      </w:pPr>
      <w:rPr>
        <w:b/>
        <w:bCs/>
        <w:color w:val="FFFFFF" w:themeColor="background1"/>
      </w:rPr>
      <w:tblPr/>
      <w:tcPr>
        <w:shd w:val="clear" w:color="auto" w:fill="005F9E" w:themeFill="accent1"/>
      </w:tcPr>
    </w:tblStylePr>
    <w:tblStylePr w:type="lastRow">
      <w:pPr>
        <w:spacing w:before="0" w:after="0" w:line="240" w:lineRule="auto"/>
      </w:pPr>
      <w:rPr>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tcBorders>
      </w:tcPr>
    </w:tblStylePr>
    <w:tblStylePr w:type="firstCol">
      <w:rPr>
        <w:b/>
        <w:bCs/>
      </w:rPr>
    </w:tblStylePr>
    <w:tblStylePr w:type="lastCol">
      <w:rPr>
        <w:b/>
        <w:bCs/>
      </w:r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style>
  <w:style w:type="table" w:styleId="LightList-Accent2">
    <w:name w:val="Light List Accent 2"/>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pPr>
        <w:spacing w:before="0" w:after="0" w:line="240" w:lineRule="auto"/>
      </w:pPr>
      <w:rPr>
        <w:b/>
        <w:bCs/>
        <w:color w:val="FFFFFF" w:themeColor="background1"/>
      </w:rPr>
      <w:tblPr/>
      <w:tcPr>
        <w:shd w:val="clear" w:color="auto" w:fill="0075BD" w:themeFill="accent2"/>
      </w:tcPr>
    </w:tblStylePr>
    <w:tblStylePr w:type="lastRow">
      <w:pPr>
        <w:spacing w:before="0" w:after="0" w:line="240" w:lineRule="auto"/>
      </w:pPr>
      <w:rPr>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tcBorders>
      </w:tcPr>
    </w:tblStylePr>
    <w:tblStylePr w:type="firstCol">
      <w:rPr>
        <w:b/>
        <w:bCs/>
      </w:rPr>
    </w:tblStylePr>
    <w:tblStylePr w:type="lastCol">
      <w:rPr>
        <w:b/>
        <w:bCs/>
      </w:r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style>
  <w:style w:type="table" w:styleId="LightList-Accent3">
    <w:name w:val="Light List Accent 3"/>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pPr>
        <w:spacing w:before="0" w:after="0" w:line="240" w:lineRule="auto"/>
      </w:pPr>
      <w:rPr>
        <w:b/>
        <w:bCs/>
        <w:color w:val="FFFFFF" w:themeColor="background1"/>
      </w:rPr>
      <w:tblPr/>
      <w:tcPr>
        <w:shd w:val="clear" w:color="auto" w:fill="F99D2A" w:themeFill="accent3"/>
      </w:tcPr>
    </w:tblStylePr>
    <w:tblStylePr w:type="lastRow">
      <w:pPr>
        <w:spacing w:before="0" w:after="0" w:line="240" w:lineRule="auto"/>
      </w:pPr>
      <w:rPr>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tcBorders>
      </w:tcPr>
    </w:tblStylePr>
    <w:tblStylePr w:type="firstCol">
      <w:rPr>
        <w:b/>
        <w:bCs/>
      </w:rPr>
    </w:tblStylePr>
    <w:tblStylePr w:type="lastCol">
      <w:rPr>
        <w:b/>
        <w:bCs/>
      </w:r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style>
  <w:style w:type="table" w:styleId="LightList-Accent4">
    <w:name w:val="Light List Accent 4"/>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pPr>
        <w:spacing w:before="0" w:after="0" w:line="240" w:lineRule="auto"/>
      </w:pPr>
      <w:rPr>
        <w:b/>
        <w:bCs/>
        <w:color w:val="FFFFFF" w:themeColor="background1"/>
      </w:rPr>
      <w:tblPr/>
      <w:tcPr>
        <w:shd w:val="clear" w:color="auto" w:fill="00B5AF" w:themeFill="accent4"/>
      </w:tcPr>
    </w:tblStylePr>
    <w:tblStylePr w:type="lastRow">
      <w:pPr>
        <w:spacing w:before="0" w:after="0" w:line="240" w:lineRule="auto"/>
      </w:pPr>
      <w:rPr>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tcBorders>
      </w:tcPr>
    </w:tblStylePr>
    <w:tblStylePr w:type="firstCol">
      <w:rPr>
        <w:b/>
        <w:bCs/>
      </w:rPr>
    </w:tblStylePr>
    <w:tblStylePr w:type="lastCol">
      <w:rPr>
        <w:b/>
        <w:bCs/>
      </w:r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style>
  <w:style w:type="table" w:styleId="LightList-Accent5">
    <w:name w:val="Light List Accent 5"/>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pPr>
        <w:spacing w:before="0" w:after="0" w:line="240" w:lineRule="auto"/>
      </w:pPr>
      <w:rPr>
        <w:b/>
        <w:bCs/>
        <w:color w:val="FFFFFF" w:themeColor="background1"/>
      </w:rPr>
      <w:tblPr/>
      <w:tcPr>
        <w:shd w:val="clear" w:color="auto" w:fill="00B156" w:themeFill="accent5"/>
      </w:tcPr>
    </w:tblStylePr>
    <w:tblStylePr w:type="lastRow">
      <w:pPr>
        <w:spacing w:before="0" w:after="0" w:line="240" w:lineRule="auto"/>
      </w:pPr>
      <w:rPr>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tcBorders>
      </w:tcPr>
    </w:tblStylePr>
    <w:tblStylePr w:type="firstCol">
      <w:rPr>
        <w:b/>
        <w:bCs/>
      </w:rPr>
    </w:tblStylePr>
    <w:tblStylePr w:type="lastCol">
      <w:rPr>
        <w:b/>
        <w:bCs/>
      </w:r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style>
  <w:style w:type="table" w:styleId="LightList-Accent6">
    <w:name w:val="Light List Accent 6"/>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pPr>
        <w:spacing w:before="0" w:after="0" w:line="240" w:lineRule="auto"/>
      </w:pPr>
      <w:rPr>
        <w:b/>
        <w:bCs/>
        <w:color w:val="FFFFFF" w:themeColor="background1"/>
      </w:rPr>
      <w:tblPr/>
      <w:tcPr>
        <w:shd w:val="clear" w:color="auto" w:fill="782B90" w:themeFill="accent6"/>
      </w:tcPr>
    </w:tblStylePr>
    <w:tblStylePr w:type="lastRow">
      <w:pPr>
        <w:spacing w:before="0" w:after="0" w:line="240" w:lineRule="auto"/>
      </w:pPr>
      <w:rPr>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tcBorders>
      </w:tcPr>
    </w:tblStylePr>
    <w:tblStylePr w:type="firstCol">
      <w:rPr>
        <w:b/>
        <w:bCs/>
      </w:rPr>
    </w:tblStylePr>
    <w:tblStylePr w:type="lastCol">
      <w:rPr>
        <w:b/>
        <w:bCs/>
      </w:r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style>
  <w:style w:type="table" w:styleId="LightShading-Accent1">
    <w:name w:val="Light Shading Accent 1"/>
    <w:basedOn w:val="TableNormal"/>
    <w:uiPriority w:val="60"/>
    <w:semiHidden/>
    <w:rsid w:val="00062808"/>
    <w:rPr>
      <w:rFonts w:asciiTheme="minorHAnsi" w:hAnsiTheme="minorHAnsi" w:cs="Arial"/>
      <w:color w:val="004776" w:themeColor="accent1" w:themeShade="BF"/>
      <w:lang w:eastAsia="en-AU"/>
    </w:rPr>
    <w:tblPr>
      <w:tblStyleRowBandSize w:val="1"/>
      <w:tblStyleColBandSize w:val="1"/>
      <w:tblBorders>
        <w:top w:val="single" w:sz="8" w:space="0" w:color="005F9E" w:themeColor="accent1"/>
        <w:bottom w:val="single" w:sz="8" w:space="0" w:color="005F9E" w:themeColor="accent1"/>
      </w:tblBorders>
    </w:tblPr>
    <w:tblStylePr w:type="fir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la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left w:val="nil"/>
          <w:right w:val="nil"/>
          <w:insideH w:val="nil"/>
          <w:insideV w:val="nil"/>
        </w:tcBorders>
        <w:shd w:val="clear" w:color="auto" w:fill="A8DCFF" w:themeFill="accent1" w:themeFillTint="3F"/>
      </w:tcPr>
    </w:tblStylePr>
  </w:style>
  <w:style w:type="table" w:styleId="LightShading-Accent2">
    <w:name w:val="Light Shading Accent 2"/>
    <w:basedOn w:val="TableNormal"/>
    <w:uiPriority w:val="60"/>
    <w:semiHidden/>
    <w:rsid w:val="00062808"/>
    <w:rPr>
      <w:rFonts w:asciiTheme="minorHAnsi" w:hAnsiTheme="minorHAnsi" w:cs="Arial"/>
      <w:color w:val="00578D" w:themeColor="accent2" w:themeShade="BF"/>
      <w:lang w:eastAsia="en-AU"/>
    </w:rPr>
    <w:tblPr>
      <w:tblStyleRowBandSize w:val="1"/>
      <w:tblStyleColBandSize w:val="1"/>
      <w:tblBorders>
        <w:top w:val="single" w:sz="8" w:space="0" w:color="0075BD" w:themeColor="accent2"/>
        <w:bottom w:val="single" w:sz="8" w:space="0" w:color="0075BD" w:themeColor="accent2"/>
      </w:tblBorders>
    </w:tblPr>
    <w:tblStylePr w:type="fir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la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left w:val="nil"/>
          <w:right w:val="nil"/>
          <w:insideH w:val="nil"/>
          <w:insideV w:val="nil"/>
        </w:tcBorders>
        <w:shd w:val="clear" w:color="auto" w:fill="AFE0FF" w:themeFill="accent2" w:themeFillTint="3F"/>
      </w:tcPr>
    </w:tblStylePr>
  </w:style>
  <w:style w:type="table" w:styleId="LightShading-Accent3">
    <w:name w:val="Light Shading Accent 3"/>
    <w:basedOn w:val="TableNormal"/>
    <w:uiPriority w:val="60"/>
    <w:semiHidden/>
    <w:rsid w:val="00062808"/>
    <w:rPr>
      <w:rFonts w:asciiTheme="minorHAnsi" w:hAnsiTheme="minorHAnsi" w:cs="Arial"/>
      <w:color w:val="D37706" w:themeColor="accent3" w:themeShade="BF"/>
      <w:lang w:eastAsia="en-AU"/>
    </w:rPr>
    <w:tblPr>
      <w:tblStyleRowBandSize w:val="1"/>
      <w:tblStyleColBandSize w:val="1"/>
      <w:tblBorders>
        <w:top w:val="single" w:sz="8" w:space="0" w:color="F99D2A" w:themeColor="accent3"/>
        <w:bottom w:val="single" w:sz="8" w:space="0" w:color="F99D2A" w:themeColor="accent3"/>
      </w:tblBorders>
    </w:tblPr>
    <w:tblStylePr w:type="fir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la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left w:val="nil"/>
          <w:right w:val="nil"/>
          <w:insideH w:val="nil"/>
          <w:insideV w:val="nil"/>
        </w:tcBorders>
        <w:shd w:val="clear" w:color="auto" w:fill="FDE6CA" w:themeFill="accent3" w:themeFillTint="3F"/>
      </w:tcPr>
    </w:tblStylePr>
  </w:style>
  <w:style w:type="table" w:styleId="LightShading-Accent4">
    <w:name w:val="Light Shading Accent 4"/>
    <w:basedOn w:val="TableNormal"/>
    <w:uiPriority w:val="60"/>
    <w:semiHidden/>
    <w:rsid w:val="00062808"/>
    <w:rPr>
      <w:rFonts w:asciiTheme="minorHAnsi" w:hAnsiTheme="minorHAnsi" w:cs="Arial"/>
      <w:color w:val="008782" w:themeColor="accent4" w:themeShade="BF"/>
      <w:lang w:eastAsia="en-AU"/>
    </w:rPr>
    <w:tblPr>
      <w:tblStyleRowBandSize w:val="1"/>
      <w:tblStyleColBandSize w:val="1"/>
      <w:tblBorders>
        <w:top w:val="single" w:sz="8" w:space="0" w:color="00B5AF" w:themeColor="accent4"/>
        <w:bottom w:val="single" w:sz="8" w:space="0" w:color="00B5AF" w:themeColor="accent4"/>
      </w:tblBorders>
    </w:tblPr>
    <w:tblStylePr w:type="fir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la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left w:val="nil"/>
          <w:right w:val="nil"/>
          <w:insideH w:val="nil"/>
          <w:insideV w:val="nil"/>
        </w:tcBorders>
        <w:shd w:val="clear" w:color="auto" w:fill="ADFFFC" w:themeFill="accent4" w:themeFillTint="3F"/>
      </w:tcPr>
    </w:tblStylePr>
  </w:style>
  <w:style w:type="table" w:styleId="LightShading-Accent5">
    <w:name w:val="Light Shading Accent 5"/>
    <w:basedOn w:val="TableNormal"/>
    <w:uiPriority w:val="60"/>
    <w:semiHidden/>
    <w:rsid w:val="00062808"/>
    <w:rPr>
      <w:rFonts w:asciiTheme="minorHAnsi" w:hAnsiTheme="minorHAnsi" w:cs="Arial"/>
      <w:color w:val="00843F" w:themeColor="accent5" w:themeShade="BF"/>
      <w:lang w:eastAsia="en-AU"/>
    </w:rPr>
    <w:tblPr>
      <w:tblStyleRowBandSize w:val="1"/>
      <w:tblStyleColBandSize w:val="1"/>
      <w:tblBorders>
        <w:top w:val="single" w:sz="8" w:space="0" w:color="00B156" w:themeColor="accent5"/>
        <w:bottom w:val="single" w:sz="8" w:space="0" w:color="00B156" w:themeColor="accent5"/>
      </w:tblBorders>
    </w:tblPr>
    <w:tblStylePr w:type="fir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la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left w:val="nil"/>
          <w:right w:val="nil"/>
          <w:insideH w:val="nil"/>
          <w:insideV w:val="nil"/>
        </w:tcBorders>
        <w:shd w:val="clear" w:color="auto" w:fill="ACFFD4" w:themeFill="accent5" w:themeFillTint="3F"/>
      </w:tcPr>
    </w:tblStylePr>
  </w:style>
  <w:style w:type="table" w:styleId="LightShading-Accent6">
    <w:name w:val="Light Shading Accent 6"/>
    <w:basedOn w:val="TableNormal"/>
    <w:uiPriority w:val="60"/>
    <w:semiHidden/>
    <w:rsid w:val="00062808"/>
    <w:rPr>
      <w:rFonts w:asciiTheme="minorHAnsi" w:hAnsiTheme="minorHAnsi" w:cs="Arial"/>
      <w:color w:val="59206B" w:themeColor="accent6" w:themeShade="BF"/>
      <w:lang w:eastAsia="en-AU"/>
    </w:rPr>
    <w:tblPr>
      <w:tblStyleRowBandSize w:val="1"/>
      <w:tblStyleColBandSize w:val="1"/>
      <w:tblBorders>
        <w:top w:val="single" w:sz="8" w:space="0" w:color="782B90" w:themeColor="accent6"/>
        <w:bottom w:val="single" w:sz="8" w:space="0" w:color="782B90" w:themeColor="accent6"/>
      </w:tblBorders>
    </w:tblPr>
    <w:tblStylePr w:type="fir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la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left w:val="nil"/>
          <w:right w:val="nil"/>
          <w:insideH w:val="nil"/>
          <w:insideV w:val="nil"/>
        </w:tcBorders>
        <w:shd w:val="clear" w:color="auto" w:fill="E2C1EC" w:themeFill="accent6" w:themeFillTint="3F"/>
      </w:tcPr>
    </w:tblStylePr>
  </w:style>
  <w:style w:type="table" w:styleId="ListTable1Light">
    <w:name w:val="List Table 1 Light"/>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2BAAFF" w:themeColor="accent1" w:themeTint="99"/>
        </w:tcBorders>
      </w:tcPr>
    </w:tblStylePr>
    <w:tblStylePr w:type="lastRow">
      <w:rPr>
        <w:b/>
        <w:bCs/>
      </w:rPr>
      <w:tblPr/>
      <w:tcPr>
        <w:tcBorders>
          <w:top w:val="sing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1Light-Accent2">
    <w:name w:val="List Table 1 Light Accent 2"/>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EB4FF" w:themeColor="accent2" w:themeTint="99"/>
        </w:tcBorders>
      </w:tcPr>
    </w:tblStylePr>
    <w:tblStylePr w:type="lastRow">
      <w:rPr>
        <w:b/>
        <w:bCs/>
      </w:rPr>
      <w:tblPr/>
      <w:tcPr>
        <w:tcBorders>
          <w:top w:val="sing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1Light-Accent3">
    <w:name w:val="List Table 1 Light Accent 3"/>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FBC37E" w:themeColor="accent3" w:themeTint="99"/>
        </w:tcBorders>
      </w:tcPr>
    </w:tblStylePr>
    <w:tblStylePr w:type="lastRow">
      <w:rPr>
        <w:b/>
        <w:bCs/>
      </w:rPr>
      <w:tblPr/>
      <w:tcPr>
        <w:tcBorders>
          <w:top w:val="sing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1Light-Accent4">
    <w:name w:val="List Table 1 Light Accent 4"/>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9FFF8" w:themeColor="accent4" w:themeTint="99"/>
        </w:tcBorders>
      </w:tcPr>
    </w:tblStylePr>
    <w:tblStylePr w:type="lastRow">
      <w:rPr>
        <w:b/>
        <w:bCs/>
      </w:rPr>
      <w:tblPr/>
      <w:tcPr>
        <w:tcBorders>
          <w:top w:val="sing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1Light-Accent5">
    <w:name w:val="List Table 1 Light Accent 5"/>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7FF97" w:themeColor="accent5" w:themeTint="99"/>
        </w:tcBorders>
      </w:tcPr>
    </w:tblStylePr>
    <w:tblStylePr w:type="lastRow">
      <w:rPr>
        <w:b/>
        <w:bCs/>
      </w:rPr>
      <w:tblPr/>
      <w:tcPr>
        <w:tcBorders>
          <w:top w:val="sing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1Light-Accent6">
    <w:name w:val="List Table 1 Light Accent 6"/>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B969D2" w:themeColor="accent6" w:themeTint="99"/>
        </w:tcBorders>
      </w:tcPr>
    </w:tblStylePr>
    <w:tblStylePr w:type="lastRow">
      <w:rPr>
        <w:b/>
        <w:bCs/>
      </w:rPr>
      <w:tblPr/>
      <w:tcPr>
        <w:tcBorders>
          <w:top w:val="sing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2">
    <w:name w:val="List Table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bottom w:val="single" w:sz="4" w:space="0" w:color="2BAAFF" w:themeColor="accent1" w:themeTint="99"/>
        <w:insideH w:val="single" w:sz="4" w:space="0" w:color="2BA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2-Accent2">
    <w:name w:val="List Table 2 Accent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bottom w:val="single" w:sz="4" w:space="0" w:color="3EB4FF" w:themeColor="accent2" w:themeTint="99"/>
        <w:insideH w:val="single" w:sz="4" w:space="0" w:color="3EB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2-Accent3">
    <w:name w:val="List Table 2 Accent 3"/>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bottom w:val="single" w:sz="4" w:space="0" w:color="FBC37E" w:themeColor="accent3" w:themeTint="99"/>
        <w:insideH w:val="single" w:sz="4" w:space="0" w:color="FBC3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2-Accent4">
    <w:name w:val="List Table 2 Accent 4"/>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bottom w:val="single" w:sz="4" w:space="0" w:color="39FFF8" w:themeColor="accent4" w:themeTint="99"/>
        <w:insideH w:val="single" w:sz="4" w:space="0" w:color="39FFF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2-Accent5">
    <w:name w:val="List Table 2 Accent 5"/>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bottom w:val="single" w:sz="4" w:space="0" w:color="37FF97" w:themeColor="accent5" w:themeTint="99"/>
        <w:insideH w:val="single" w:sz="4" w:space="0" w:color="37FF9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2-Accent6">
    <w:name w:val="List Table 2 Accent 6"/>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bottom w:val="single" w:sz="4" w:space="0" w:color="B969D2" w:themeColor="accent6" w:themeTint="99"/>
        <w:insideH w:val="single" w:sz="4" w:space="0" w:color="B969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3">
    <w:name w:val="List Table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5F9E" w:themeColor="accent1"/>
        <w:left w:val="single" w:sz="4" w:space="0" w:color="005F9E" w:themeColor="accent1"/>
        <w:bottom w:val="single" w:sz="4" w:space="0" w:color="005F9E" w:themeColor="accent1"/>
        <w:right w:val="single" w:sz="4" w:space="0" w:color="005F9E" w:themeColor="accent1"/>
      </w:tblBorders>
    </w:tblPr>
    <w:tblStylePr w:type="firstRow">
      <w:rPr>
        <w:b/>
        <w:bCs/>
        <w:color w:val="FFFFFF" w:themeColor="background1"/>
      </w:rPr>
      <w:tblPr/>
      <w:tcPr>
        <w:shd w:val="clear" w:color="auto" w:fill="005F9E" w:themeFill="accent1"/>
      </w:tcPr>
    </w:tblStylePr>
    <w:tblStylePr w:type="lastRow">
      <w:rPr>
        <w:b/>
        <w:bCs/>
      </w:rPr>
      <w:tblPr/>
      <w:tcPr>
        <w:tcBorders>
          <w:top w:val="double" w:sz="4" w:space="0" w:color="005F9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F9E" w:themeColor="accent1"/>
          <w:right w:val="single" w:sz="4" w:space="0" w:color="005F9E" w:themeColor="accent1"/>
        </w:tcBorders>
      </w:tcPr>
    </w:tblStylePr>
    <w:tblStylePr w:type="band1Horz">
      <w:tblPr/>
      <w:tcPr>
        <w:tcBorders>
          <w:top w:val="single" w:sz="4" w:space="0" w:color="005F9E" w:themeColor="accent1"/>
          <w:bottom w:val="single" w:sz="4" w:space="0" w:color="005F9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F9E" w:themeColor="accent1"/>
          <w:left w:val="nil"/>
        </w:tcBorders>
      </w:tcPr>
    </w:tblStylePr>
    <w:tblStylePr w:type="swCell">
      <w:tblPr/>
      <w:tcPr>
        <w:tcBorders>
          <w:top w:val="double" w:sz="4" w:space="0" w:color="005F9E" w:themeColor="accent1"/>
          <w:right w:val="nil"/>
        </w:tcBorders>
      </w:tcPr>
    </w:tblStylePr>
  </w:style>
  <w:style w:type="table" w:styleId="ListTable3-Accent2">
    <w:name w:val="List Table 3 Accent 2"/>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75BD" w:themeColor="accent2"/>
        <w:left w:val="single" w:sz="4" w:space="0" w:color="0075BD" w:themeColor="accent2"/>
        <w:bottom w:val="single" w:sz="4" w:space="0" w:color="0075BD" w:themeColor="accent2"/>
        <w:right w:val="single" w:sz="4" w:space="0" w:color="0075BD" w:themeColor="accent2"/>
      </w:tblBorders>
    </w:tblPr>
    <w:tblStylePr w:type="firstRow">
      <w:rPr>
        <w:b/>
        <w:bCs/>
        <w:color w:val="FFFFFF" w:themeColor="background1"/>
      </w:rPr>
      <w:tblPr/>
      <w:tcPr>
        <w:shd w:val="clear" w:color="auto" w:fill="0075BD" w:themeFill="accent2"/>
      </w:tcPr>
    </w:tblStylePr>
    <w:tblStylePr w:type="lastRow">
      <w:rPr>
        <w:b/>
        <w:bCs/>
      </w:rPr>
      <w:tblPr/>
      <w:tcPr>
        <w:tcBorders>
          <w:top w:val="double" w:sz="4" w:space="0" w:color="0075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BD" w:themeColor="accent2"/>
          <w:right w:val="single" w:sz="4" w:space="0" w:color="0075BD" w:themeColor="accent2"/>
        </w:tcBorders>
      </w:tcPr>
    </w:tblStylePr>
    <w:tblStylePr w:type="band1Horz">
      <w:tblPr/>
      <w:tcPr>
        <w:tcBorders>
          <w:top w:val="single" w:sz="4" w:space="0" w:color="0075BD" w:themeColor="accent2"/>
          <w:bottom w:val="single" w:sz="4" w:space="0" w:color="0075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BD" w:themeColor="accent2"/>
          <w:left w:val="nil"/>
        </w:tcBorders>
      </w:tcPr>
    </w:tblStylePr>
    <w:tblStylePr w:type="swCell">
      <w:tblPr/>
      <w:tcPr>
        <w:tcBorders>
          <w:top w:val="double" w:sz="4" w:space="0" w:color="0075BD" w:themeColor="accent2"/>
          <w:right w:val="nil"/>
        </w:tcBorders>
      </w:tcPr>
    </w:tblStylePr>
  </w:style>
  <w:style w:type="table" w:styleId="ListTable3-Accent3">
    <w:name w:val="List Table 3 Accent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F99D2A" w:themeColor="accent3"/>
        <w:left w:val="single" w:sz="4" w:space="0" w:color="F99D2A" w:themeColor="accent3"/>
        <w:bottom w:val="single" w:sz="4" w:space="0" w:color="F99D2A" w:themeColor="accent3"/>
        <w:right w:val="single" w:sz="4" w:space="0" w:color="F99D2A" w:themeColor="accent3"/>
      </w:tblBorders>
    </w:tblPr>
    <w:tblStylePr w:type="firstRow">
      <w:rPr>
        <w:b/>
        <w:bCs/>
        <w:color w:val="FFFFFF" w:themeColor="background1"/>
      </w:rPr>
      <w:tblPr/>
      <w:tcPr>
        <w:shd w:val="clear" w:color="auto" w:fill="F99D2A" w:themeFill="accent3"/>
      </w:tcPr>
    </w:tblStylePr>
    <w:tblStylePr w:type="lastRow">
      <w:rPr>
        <w:b/>
        <w:bCs/>
      </w:rPr>
      <w:tblPr/>
      <w:tcPr>
        <w:tcBorders>
          <w:top w:val="double" w:sz="4" w:space="0" w:color="F99D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D2A" w:themeColor="accent3"/>
          <w:right w:val="single" w:sz="4" w:space="0" w:color="F99D2A" w:themeColor="accent3"/>
        </w:tcBorders>
      </w:tcPr>
    </w:tblStylePr>
    <w:tblStylePr w:type="band1Horz">
      <w:tblPr/>
      <w:tcPr>
        <w:tcBorders>
          <w:top w:val="single" w:sz="4" w:space="0" w:color="F99D2A" w:themeColor="accent3"/>
          <w:bottom w:val="single" w:sz="4" w:space="0" w:color="F99D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D2A" w:themeColor="accent3"/>
          <w:left w:val="nil"/>
        </w:tcBorders>
      </w:tcPr>
    </w:tblStylePr>
    <w:tblStylePr w:type="swCell">
      <w:tblPr/>
      <w:tcPr>
        <w:tcBorders>
          <w:top w:val="double" w:sz="4" w:space="0" w:color="F99D2A" w:themeColor="accent3"/>
          <w:right w:val="nil"/>
        </w:tcBorders>
      </w:tcPr>
    </w:tblStylePr>
  </w:style>
  <w:style w:type="table" w:styleId="ListTable3-Accent4">
    <w:name w:val="List Table 3 Accent 4"/>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B5AF" w:themeColor="accent4"/>
        <w:left w:val="single" w:sz="4" w:space="0" w:color="00B5AF" w:themeColor="accent4"/>
        <w:bottom w:val="single" w:sz="4" w:space="0" w:color="00B5AF" w:themeColor="accent4"/>
        <w:right w:val="single" w:sz="4" w:space="0" w:color="00B5AF" w:themeColor="accent4"/>
      </w:tblBorders>
    </w:tblPr>
    <w:tblStylePr w:type="firstRow">
      <w:rPr>
        <w:b/>
        <w:bCs/>
        <w:color w:val="FFFFFF" w:themeColor="background1"/>
      </w:rPr>
      <w:tblPr/>
      <w:tcPr>
        <w:shd w:val="clear" w:color="auto" w:fill="00B5AF" w:themeFill="accent4"/>
      </w:tcPr>
    </w:tblStylePr>
    <w:tblStylePr w:type="lastRow">
      <w:rPr>
        <w:b/>
        <w:bCs/>
      </w:rPr>
      <w:tblPr/>
      <w:tcPr>
        <w:tcBorders>
          <w:top w:val="double" w:sz="4" w:space="0" w:color="00B5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5AF" w:themeColor="accent4"/>
          <w:right w:val="single" w:sz="4" w:space="0" w:color="00B5AF" w:themeColor="accent4"/>
        </w:tcBorders>
      </w:tcPr>
    </w:tblStylePr>
    <w:tblStylePr w:type="band1Horz">
      <w:tblPr/>
      <w:tcPr>
        <w:tcBorders>
          <w:top w:val="single" w:sz="4" w:space="0" w:color="00B5AF" w:themeColor="accent4"/>
          <w:bottom w:val="single" w:sz="4" w:space="0" w:color="00B5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5AF" w:themeColor="accent4"/>
          <w:left w:val="nil"/>
        </w:tcBorders>
      </w:tcPr>
    </w:tblStylePr>
    <w:tblStylePr w:type="swCell">
      <w:tblPr/>
      <w:tcPr>
        <w:tcBorders>
          <w:top w:val="double" w:sz="4" w:space="0" w:color="00B5AF" w:themeColor="accent4"/>
          <w:right w:val="nil"/>
        </w:tcBorders>
      </w:tcPr>
    </w:tblStylePr>
  </w:style>
  <w:style w:type="table" w:styleId="ListTable3-Accent5">
    <w:name w:val="List Table 3 Accent 5"/>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B156" w:themeColor="accent5"/>
        <w:left w:val="single" w:sz="4" w:space="0" w:color="00B156" w:themeColor="accent5"/>
        <w:bottom w:val="single" w:sz="4" w:space="0" w:color="00B156" w:themeColor="accent5"/>
        <w:right w:val="single" w:sz="4" w:space="0" w:color="00B156" w:themeColor="accent5"/>
      </w:tblBorders>
    </w:tblPr>
    <w:tblStylePr w:type="firstRow">
      <w:rPr>
        <w:b/>
        <w:bCs/>
        <w:color w:val="FFFFFF" w:themeColor="background1"/>
      </w:rPr>
      <w:tblPr/>
      <w:tcPr>
        <w:shd w:val="clear" w:color="auto" w:fill="00B156" w:themeFill="accent5"/>
      </w:tcPr>
    </w:tblStylePr>
    <w:tblStylePr w:type="lastRow">
      <w:rPr>
        <w:b/>
        <w:bCs/>
      </w:rPr>
      <w:tblPr/>
      <w:tcPr>
        <w:tcBorders>
          <w:top w:val="double" w:sz="4" w:space="0" w:color="00B15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56" w:themeColor="accent5"/>
          <w:right w:val="single" w:sz="4" w:space="0" w:color="00B156" w:themeColor="accent5"/>
        </w:tcBorders>
      </w:tcPr>
    </w:tblStylePr>
    <w:tblStylePr w:type="band1Horz">
      <w:tblPr/>
      <w:tcPr>
        <w:tcBorders>
          <w:top w:val="single" w:sz="4" w:space="0" w:color="00B156" w:themeColor="accent5"/>
          <w:bottom w:val="single" w:sz="4" w:space="0" w:color="00B15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56" w:themeColor="accent5"/>
          <w:left w:val="nil"/>
        </w:tcBorders>
      </w:tcPr>
    </w:tblStylePr>
    <w:tblStylePr w:type="swCell">
      <w:tblPr/>
      <w:tcPr>
        <w:tcBorders>
          <w:top w:val="double" w:sz="4" w:space="0" w:color="00B156" w:themeColor="accent5"/>
          <w:right w:val="nil"/>
        </w:tcBorders>
      </w:tcPr>
    </w:tblStylePr>
  </w:style>
  <w:style w:type="table" w:styleId="ListTable3-Accent6">
    <w:name w:val="List Table 3 Accent 6"/>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782B90" w:themeColor="accent6"/>
        <w:left w:val="single" w:sz="4" w:space="0" w:color="782B90" w:themeColor="accent6"/>
        <w:bottom w:val="single" w:sz="4" w:space="0" w:color="782B90" w:themeColor="accent6"/>
        <w:right w:val="single" w:sz="4" w:space="0" w:color="782B90" w:themeColor="accent6"/>
      </w:tblBorders>
    </w:tblPr>
    <w:tblStylePr w:type="firstRow">
      <w:rPr>
        <w:b/>
        <w:bCs/>
        <w:color w:val="FFFFFF" w:themeColor="background1"/>
      </w:rPr>
      <w:tblPr/>
      <w:tcPr>
        <w:shd w:val="clear" w:color="auto" w:fill="782B90" w:themeFill="accent6"/>
      </w:tcPr>
    </w:tblStylePr>
    <w:tblStylePr w:type="lastRow">
      <w:rPr>
        <w:b/>
        <w:bCs/>
      </w:rPr>
      <w:tblPr/>
      <w:tcPr>
        <w:tcBorders>
          <w:top w:val="double" w:sz="4" w:space="0" w:color="782B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2B90" w:themeColor="accent6"/>
          <w:right w:val="single" w:sz="4" w:space="0" w:color="782B90" w:themeColor="accent6"/>
        </w:tcBorders>
      </w:tcPr>
    </w:tblStylePr>
    <w:tblStylePr w:type="band1Horz">
      <w:tblPr/>
      <w:tcPr>
        <w:tcBorders>
          <w:top w:val="single" w:sz="4" w:space="0" w:color="782B90" w:themeColor="accent6"/>
          <w:bottom w:val="single" w:sz="4" w:space="0" w:color="782B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2B90" w:themeColor="accent6"/>
          <w:left w:val="nil"/>
        </w:tcBorders>
      </w:tcPr>
    </w:tblStylePr>
    <w:tblStylePr w:type="swCell">
      <w:tblPr/>
      <w:tcPr>
        <w:tcBorders>
          <w:top w:val="double" w:sz="4" w:space="0" w:color="782B90" w:themeColor="accent6"/>
          <w:right w:val="nil"/>
        </w:tcBorders>
      </w:tcPr>
    </w:tblStylePr>
  </w:style>
  <w:style w:type="table" w:styleId="ListTable4">
    <w:name w:val="List Table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tcBorders>
        <w:shd w:val="clear" w:color="auto" w:fill="005F9E" w:themeFill="accent1"/>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4-Accent2">
    <w:name w:val="List Table 4 Accent 2"/>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tcBorders>
        <w:shd w:val="clear" w:color="auto" w:fill="0075BD" w:themeFill="accent2"/>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4-Accent3">
    <w:name w:val="List Table 4 Accent 3"/>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tcBorders>
        <w:shd w:val="clear" w:color="auto" w:fill="F99D2A" w:themeFill="accent3"/>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4-Accent4">
    <w:name w:val="List Table 4 Accent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tcBorders>
        <w:shd w:val="clear" w:color="auto" w:fill="00B5AF" w:themeFill="accent4"/>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4-Accent5">
    <w:name w:val="List Table 4 Accent 5"/>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tcBorders>
        <w:shd w:val="clear" w:color="auto" w:fill="00B156" w:themeFill="accent5"/>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4-Accent6">
    <w:name w:val="List Table 4 Accent 6"/>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tcBorders>
        <w:shd w:val="clear" w:color="auto" w:fill="782B90" w:themeFill="accent6"/>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5Dark">
    <w:name w:val="List Table 5 Dark"/>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5F9E" w:themeColor="accent1"/>
        <w:left w:val="single" w:sz="24" w:space="0" w:color="005F9E" w:themeColor="accent1"/>
        <w:bottom w:val="single" w:sz="24" w:space="0" w:color="005F9E" w:themeColor="accent1"/>
        <w:right w:val="single" w:sz="24" w:space="0" w:color="005F9E" w:themeColor="accent1"/>
      </w:tblBorders>
    </w:tblPr>
    <w:tcPr>
      <w:shd w:val="clear" w:color="auto" w:fill="005F9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75BD" w:themeColor="accent2"/>
        <w:left w:val="single" w:sz="24" w:space="0" w:color="0075BD" w:themeColor="accent2"/>
        <w:bottom w:val="single" w:sz="24" w:space="0" w:color="0075BD" w:themeColor="accent2"/>
        <w:right w:val="single" w:sz="24" w:space="0" w:color="0075BD" w:themeColor="accent2"/>
      </w:tblBorders>
    </w:tblPr>
    <w:tcPr>
      <w:shd w:val="clear" w:color="auto" w:fill="0075B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F99D2A" w:themeColor="accent3"/>
        <w:left w:val="single" w:sz="24" w:space="0" w:color="F99D2A" w:themeColor="accent3"/>
        <w:bottom w:val="single" w:sz="24" w:space="0" w:color="F99D2A" w:themeColor="accent3"/>
        <w:right w:val="single" w:sz="24" w:space="0" w:color="F99D2A" w:themeColor="accent3"/>
      </w:tblBorders>
    </w:tblPr>
    <w:tcPr>
      <w:shd w:val="clear" w:color="auto" w:fill="F99D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B5AF" w:themeColor="accent4"/>
        <w:left w:val="single" w:sz="24" w:space="0" w:color="00B5AF" w:themeColor="accent4"/>
        <w:bottom w:val="single" w:sz="24" w:space="0" w:color="00B5AF" w:themeColor="accent4"/>
        <w:right w:val="single" w:sz="24" w:space="0" w:color="00B5AF" w:themeColor="accent4"/>
      </w:tblBorders>
    </w:tblPr>
    <w:tcPr>
      <w:shd w:val="clear" w:color="auto" w:fill="00B5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B156" w:themeColor="accent5"/>
        <w:left w:val="single" w:sz="24" w:space="0" w:color="00B156" w:themeColor="accent5"/>
        <w:bottom w:val="single" w:sz="24" w:space="0" w:color="00B156" w:themeColor="accent5"/>
        <w:right w:val="single" w:sz="24" w:space="0" w:color="00B156" w:themeColor="accent5"/>
      </w:tblBorders>
    </w:tblPr>
    <w:tcPr>
      <w:shd w:val="clear" w:color="auto" w:fill="00B15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782B90" w:themeColor="accent6"/>
        <w:left w:val="single" w:sz="24" w:space="0" w:color="782B90" w:themeColor="accent6"/>
        <w:bottom w:val="single" w:sz="24" w:space="0" w:color="782B90" w:themeColor="accent6"/>
        <w:right w:val="single" w:sz="24" w:space="0" w:color="782B90" w:themeColor="accent6"/>
      </w:tblBorders>
    </w:tblPr>
    <w:tcPr>
      <w:shd w:val="clear" w:color="auto" w:fill="782B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62808"/>
    <w:rPr>
      <w:rFonts w:asciiTheme="minorHAnsi" w:hAnsiTheme="minorHAnsi" w:cs="Arial"/>
      <w:color w:val="000000" w:themeColor="text1"/>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62808"/>
    <w:rPr>
      <w:rFonts w:asciiTheme="minorHAnsi" w:hAnsiTheme="minorHAnsi" w:cs="Arial"/>
      <w:color w:val="004776" w:themeColor="accent1" w:themeShade="BF"/>
      <w:lang w:eastAsia="en-AU"/>
    </w:rPr>
    <w:tblPr>
      <w:tblStyleRowBandSize w:val="1"/>
      <w:tblStyleColBandSize w:val="1"/>
      <w:tblBorders>
        <w:top w:val="single" w:sz="4" w:space="0" w:color="005F9E" w:themeColor="accent1"/>
        <w:bottom w:val="single" w:sz="4" w:space="0" w:color="005F9E" w:themeColor="accent1"/>
      </w:tblBorders>
    </w:tblPr>
    <w:tblStylePr w:type="firstRow">
      <w:rPr>
        <w:b/>
        <w:bCs/>
      </w:rPr>
      <w:tblPr/>
      <w:tcPr>
        <w:tcBorders>
          <w:bottom w:val="single" w:sz="4" w:space="0" w:color="005F9E" w:themeColor="accent1"/>
        </w:tcBorders>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6Colorful-Accent2">
    <w:name w:val="List Table 6 Colorful Accent 2"/>
    <w:basedOn w:val="TableNormal"/>
    <w:uiPriority w:val="51"/>
    <w:rsid w:val="00062808"/>
    <w:rPr>
      <w:rFonts w:asciiTheme="minorHAnsi" w:hAnsiTheme="minorHAnsi" w:cs="Arial"/>
      <w:color w:val="00578D" w:themeColor="accent2" w:themeShade="BF"/>
      <w:lang w:eastAsia="en-AU"/>
    </w:rPr>
    <w:tblPr>
      <w:tblStyleRowBandSize w:val="1"/>
      <w:tblStyleColBandSize w:val="1"/>
      <w:tblBorders>
        <w:top w:val="single" w:sz="4" w:space="0" w:color="0075BD" w:themeColor="accent2"/>
        <w:bottom w:val="single" w:sz="4" w:space="0" w:color="0075BD" w:themeColor="accent2"/>
      </w:tblBorders>
    </w:tblPr>
    <w:tblStylePr w:type="firstRow">
      <w:rPr>
        <w:b/>
        <w:bCs/>
      </w:rPr>
      <w:tblPr/>
      <w:tcPr>
        <w:tcBorders>
          <w:bottom w:val="single" w:sz="4" w:space="0" w:color="0075BD" w:themeColor="accent2"/>
        </w:tcBorders>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6Colorful-Accent3">
    <w:name w:val="List Table 6 Colorful Accent 3"/>
    <w:basedOn w:val="TableNormal"/>
    <w:uiPriority w:val="51"/>
    <w:rsid w:val="00062808"/>
    <w:rPr>
      <w:rFonts w:asciiTheme="minorHAnsi" w:hAnsiTheme="minorHAnsi" w:cs="Arial"/>
      <w:color w:val="D37706" w:themeColor="accent3" w:themeShade="BF"/>
      <w:lang w:eastAsia="en-AU"/>
    </w:rPr>
    <w:tblPr>
      <w:tblStyleRowBandSize w:val="1"/>
      <w:tblStyleColBandSize w:val="1"/>
      <w:tblBorders>
        <w:top w:val="single" w:sz="4" w:space="0" w:color="F99D2A" w:themeColor="accent3"/>
        <w:bottom w:val="single" w:sz="4" w:space="0" w:color="F99D2A" w:themeColor="accent3"/>
      </w:tblBorders>
    </w:tblPr>
    <w:tblStylePr w:type="firstRow">
      <w:rPr>
        <w:b/>
        <w:bCs/>
      </w:rPr>
      <w:tblPr/>
      <w:tcPr>
        <w:tcBorders>
          <w:bottom w:val="single" w:sz="4" w:space="0" w:color="F99D2A" w:themeColor="accent3"/>
        </w:tcBorders>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6Colorful-Accent4">
    <w:name w:val="List Table 6 Colorful Accent 4"/>
    <w:basedOn w:val="TableNormal"/>
    <w:uiPriority w:val="51"/>
    <w:rsid w:val="00062808"/>
    <w:rPr>
      <w:rFonts w:asciiTheme="minorHAnsi" w:hAnsiTheme="minorHAnsi" w:cs="Arial"/>
      <w:color w:val="008782" w:themeColor="accent4" w:themeShade="BF"/>
      <w:lang w:eastAsia="en-AU"/>
    </w:rPr>
    <w:tblPr>
      <w:tblStyleRowBandSize w:val="1"/>
      <w:tblStyleColBandSize w:val="1"/>
      <w:tblBorders>
        <w:top w:val="single" w:sz="4" w:space="0" w:color="00B5AF" w:themeColor="accent4"/>
        <w:bottom w:val="single" w:sz="4" w:space="0" w:color="00B5AF" w:themeColor="accent4"/>
      </w:tblBorders>
    </w:tblPr>
    <w:tblStylePr w:type="firstRow">
      <w:rPr>
        <w:b/>
        <w:bCs/>
      </w:rPr>
      <w:tblPr/>
      <w:tcPr>
        <w:tcBorders>
          <w:bottom w:val="single" w:sz="4" w:space="0" w:color="00B5AF" w:themeColor="accent4"/>
        </w:tcBorders>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6Colorful-Accent5">
    <w:name w:val="List Table 6 Colorful Accent 5"/>
    <w:basedOn w:val="TableNormal"/>
    <w:uiPriority w:val="51"/>
    <w:rsid w:val="00062808"/>
    <w:rPr>
      <w:rFonts w:asciiTheme="minorHAnsi" w:hAnsiTheme="minorHAnsi" w:cs="Arial"/>
      <w:color w:val="00843F" w:themeColor="accent5" w:themeShade="BF"/>
      <w:lang w:eastAsia="en-AU"/>
    </w:rPr>
    <w:tblPr>
      <w:tblStyleRowBandSize w:val="1"/>
      <w:tblStyleColBandSize w:val="1"/>
      <w:tblBorders>
        <w:top w:val="single" w:sz="4" w:space="0" w:color="00B156" w:themeColor="accent5"/>
        <w:bottom w:val="single" w:sz="4" w:space="0" w:color="00B156" w:themeColor="accent5"/>
      </w:tblBorders>
    </w:tblPr>
    <w:tblStylePr w:type="firstRow">
      <w:rPr>
        <w:b/>
        <w:bCs/>
      </w:rPr>
      <w:tblPr/>
      <w:tcPr>
        <w:tcBorders>
          <w:bottom w:val="single" w:sz="4" w:space="0" w:color="00B156" w:themeColor="accent5"/>
        </w:tcBorders>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6Colorful-Accent6">
    <w:name w:val="List Table 6 Colorful Accent 6"/>
    <w:basedOn w:val="TableNormal"/>
    <w:uiPriority w:val="51"/>
    <w:rsid w:val="00062808"/>
    <w:rPr>
      <w:rFonts w:asciiTheme="minorHAnsi" w:hAnsiTheme="minorHAnsi" w:cs="Arial"/>
      <w:color w:val="59206B" w:themeColor="accent6" w:themeShade="BF"/>
      <w:lang w:eastAsia="en-AU"/>
    </w:rPr>
    <w:tblPr>
      <w:tblStyleRowBandSize w:val="1"/>
      <w:tblStyleColBandSize w:val="1"/>
      <w:tblBorders>
        <w:top w:val="single" w:sz="4" w:space="0" w:color="782B90" w:themeColor="accent6"/>
        <w:bottom w:val="single" w:sz="4" w:space="0" w:color="782B90" w:themeColor="accent6"/>
      </w:tblBorders>
    </w:tblPr>
    <w:tblStylePr w:type="firstRow">
      <w:rPr>
        <w:b/>
        <w:bCs/>
      </w:rPr>
      <w:tblPr/>
      <w:tcPr>
        <w:tcBorders>
          <w:bottom w:val="single" w:sz="4" w:space="0" w:color="782B90" w:themeColor="accent6"/>
        </w:tcBorders>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7Colorful">
    <w:name w:val="List Table 7 Colorful"/>
    <w:basedOn w:val="TableNormal"/>
    <w:uiPriority w:val="52"/>
    <w:rsid w:val="00062808"/>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62808"/>
    <w:rPr>
      <w:rFonts w:asciiTheme="minorHAnsi" w:hAnsiTheme="minorHAnsi" w:cs="Arial"/>
      <w:color w:val="004776"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F9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F9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F9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F9E" w:themeColor="accent1"/>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62808"/>
    <w:rPr>
      <w:rFonts w:asciiTheme="minorHAnsi" w:hAnsiTheme="minorHAnsi" w:cs="Arial"/>
      <w:color w:val="00578D"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B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B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B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BD" w:themeColor="accent2"/>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62808"/>
    <w:rPr>
      <w:rFonts w:asciiTheme="minorHAnsi" w:hAnsiTheme="minorHAnsi" w:cs="Arial"/>
      <w:color w:val="D37706"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D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D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D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D2A" w:themeColor="accent3"/>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62808"/>
    <w:rPr>
      <w:rFonts w:asciiTheme="minorHAnsi" w:hAnsiTheme="minorHAnsi" w:cs="Arial"/>
      <w:color w:val="008782"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5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5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5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5AF" w:themeColor="accent4"/>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62808"/>
    <w:rPr>
      <w:rFonts w:asciiTheme="minorHAnsi" w:hAnsiTheme="minorHAnsi" w:cs="Arial"/>
      <w:color w:val="00843F"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5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5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5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56" w:themeColor="accent5"/>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62808"/>
    <w:rPr>
      <w:rFonts w:asciiTheme="minorHAnsi" w:hAnsiTheme="minorHAnsi" w:cs="Arial"/>
      <w:color w:val="59206B"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2B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2B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2B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2B90" w:themeColor="accent6"/>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insideV w:val="single" w:sz="8" w:space="0" w:color="0093F6" w:themeColor="accent1" w:themeTint="BF"/>
      </w:tblBorders>
    </w:tblPr>
    <w:tcPr>
      <w:shd w:val="clear" w:color="auto" w:fill="A8DCFF" w:themeFill="accent1" w:themeFillTint="3F"/>
    </w:tcPr>
    <w:tblStylePr w:type="firstRow">
      <w:rPr>
        <w:b/>
        <w:bCs/>
      </w:rPr>
    </w:tblStylePr>
    <w:tblStylePr w:type="lastRow">
      <w:rPr>
        <w:b/>
        <w:bCs/>
      </w:rPr>
      <w:tblPr/>
      <w:tcPr>
        <w:tcBorders>
          <w:top w:val="single" w:sz="18" w:space="0" w:color="0093F6" w:themeColor="accent1" w:themeTint="BF"/>
        </w:tcBorders>
      </w:tcPr>
    </w:tblStylePr>
    <w:tblStylePr w:type="firstCol">
      <w:rPr>
        <w:b/>
        <w:bCs/>
      </w:rPr>
    </w:tblStylePr>
    <w:tblStylePr w:type="lastCol">
      <w:rPr>
        <w:b/>
        <w:bCs/>
      </w:r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MediumGrid1-Accent2">
    <w:name w:val="Medium Grid 1 Accent 2"/>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insideV w:val="single" w:sz="8" w:space="0" w:color="0EA2FF" w:themeColor="accent2" w:themeTint="BF"/>
      </w:tblBorders>
    </w:tblPr>
    <w:tcPr>
      <w:shd w:val="clear" w:color="auto" w:fill="AFE0FF" w:themeFill="accent2" w:themeFillTint="3F"/>
    </w:tcPr>
    <w:tblStylePr w:type="firstRow">
      <w:rPr>
        <w:b/>
        <w:bCs/>
      </w:rPr>
    </w:tblStylePr>
    <w:tblStylePr w:type="lastRow">
      <w:rPr>
        <w:b/>
        <w:bCs/>
      </w:rPr>
      <w:tblPr/>
      <w:tcPr>
        <w:tcBorders>
          <w:top w:val="single" w:sz="18" w:space="0" w:color="0EA2FF" w:themeColor="accent2" w:themeTint="BF"/>
        </w:tcBorders>
      </w:tcPr>
    </w:tblStylePr>
    <w:tblStylePr w:type="firstCol">
      <w:rPr>
        <w:b/>
        <w:bCs/>
      </w:rPr>
    </w:tblStylePr>
    <w:tblStylePr w:type="lastCol">
      <w:rPr>
        <w:b/>
        <w:bCs/>
      </w:r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MediumGrid1-Accent3">
    <w:name w:val="Medium Grid 1 Accent 3"/>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insideV w:val="single" w:sz="8" w:space="0" w:color="FAB55F" w:themeColor="accent3" w:themeTint="BF"/>
      </w:tblBorders>
    </w:tblPr>
    <w:tcPr>
      <w:shd w:val="clear" w:color="auto" w:fill="FDE6CA" w:themeFill="accent3" w:themeFillTint="3F"/>
    </w:tcPr>
    <w:tblStylePr w:type="firstRow">
      <w:rPr>
        <w:b/>
        <w:bCs/>
      </w:rPr>
    </w:tblStylePr>
    <w:tblStylePr w:type="lastRow">
      <w:rPr>
        <w:b/>
        <w:bCs/>
      </w:rPr>
      <w:tblPr/>
      <w:tcPr>
        <w:tcBorders>
          <w:top w:val="single" w:sz="18" w:space="0" w:color="FAB55F" w:themeColor="accent3" w:themeTint="BF"/>
        </w:tcBorders>
      </w:tcPr>
    </w:tblStylePr>
    <w:tblStylePr w:type="firstCol">
      <w:rPr>
        <w:b/>
        <w:bCs/>
      </w:rPr>
    </w:tblStylePr>
    <w:tblStylePr w:type="lastCol">
      <w:rPr>
        <w:b/>
        <w:bCs/>
      </w:r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MediumGrid1-Accent4">
    <w:name w:val="Medium Grid 1 Accent 4"/>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insideV w:val="single" w:sz="8" w:space="0" w:color="08FFF6" w:themeColor="accent4" w:themeTint="BF"/>
      </w:tblBorders>
    </w:tblPr>
    <w:tcPr>
      <w:shd w:val="clear" w:color="auto" w:fill="ADFFFC" w:themeFill="accent4" w:themeFillTint="3F"/>
    </w:tcPr>
    <w:tblStylePr w:type="firstRow">
      <w:rPr>
        <w:b/>
        <w:bCs/>
      </w:rPr>
    </w:tblStylePr>
    <w:tblStylePr w:type="lastRow">
      <w:rPr>
        <w:b/>
        <w:bCs/>
      </w:rPr>
      <w:tblPr/>
      <w:tcPr>
        <w:tcBorders>
          <w:top w:val="single" w:sz="18" w:space="0" w:color="08FFF6" w:themeColor="accent4" w:themeTint="BF"/>
        </w:tcBorders>
      </w:tcPr>
    </w:tblStylePr>
    <w:tblStylePr w:type="firstCol">
      <w:rPr>
        <w:b/>
        <w:bCs/>
      </w:rPr>
    </w:tblStylePr>
    <w:tblStylePr w:type="lastCol">
      <w:rPr>
        <w:b/>
        <w:bCs/>
      </w:r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MediumGrid1-Accent5">
    <w:name w:val="Medium Grid 1 Accent 5"/>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insideV w:val="single" w:sz="8" w:space="0" w:color="05FF7D" w:themeColor="accent5" w:themeTint="BF"/>
      </w:tblBorders>
    </w:tblPr>
    <w:tcPr>
      <w:shd w:val="clear" w:color="auto" w:fill="ACFFD4" w:themeFill="accent5" w:themeFillTint="3F"/>
    </w:tcPr>
    <w:tblStylePr w:type="firstRow">
      <w:rPr>
        <w:b/>
        <w:bCs/>
      </w:rPr>
    </w:tblStylePr>
    <w:tblStylePr w:type="lastRow">
      <w:rPr>
        <w:b/>
        <w:bCs/>
      </w:rPr>
      <w:tblPr/>
      <w:tcPr>
        <w:tcBorders>
          <w:top w:val="single" w:sz="18" w:space="0" w:color="05FF7D" w:themeColor="accent5" w:themeTint="BF"/>
        </w:tcBorders>
      </w:tcPr>
    </w:tblStylePr>
    <w:tblStylePr w:type="firstCol">
      <w:rPr>
        <w:b/>
        <w:bCs/>
      </w:rPr>
    </w:tblStylePr>
    <w:tblStylePr w:type="lastCol">
      <w:rPr>
        <w:b/>
        <w:bCs/>
      </w:r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MediumGrid1-Accent6">
    <w:name w:val="Medium Grid 1 Accent 6"/>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insideV w:val="single" w:sz="8" w:space="0" w:color="A844C7" w:themeColor="accent6" w:themeTint="BF"/>
      </w:tblBorders>
    </w:tblPr>
    <w:tcPr>
      <w:shd w:val="clear" w:color="auto" w:fill="E2C1EC" w:themeFill="accent6" w:themeFillTint="3F"/>
    </w:tcPr>
    <w:tblStylePr w:type="firstRow">
      <w:rPr>
        <w:b/>
        <w:bCs/>
      </w:rPr>
    </w:tblStylePr>
    <w:tblStylePr w:type="lastRow">
      <w:rPr>
        <w:b/>
        <w:bCs/>
      </w:rPr>
      <w:tblPr/>
      <w:tcPr>
        <w:tcBorders>
          <w:top w:val="single" w:sz="18" w:space="0" w:color="A844C7" w:themeColor="accent6" w:themeTint="BF"/>
        </w:tcBorders>
      </w:tcPr>
    </w:tblStylePr>
    <w:tblStylePr w:type="firstCol">
      <w:rPr>
        <w:b/>
        <w:bCs/>
      </w:rPr>
    </w:tblStylePr>
    <w:tblStylePr w:type="lastCol">
      <w:rPr>
        <w:b/>
        <w:bCs/>
      </w:r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MediumGrid2">
    <w:name w:val="Medium Grid 2"/>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cPr>
      <w:shd w:val="clear" w:color="auto" w:fill="A8DCFF" w:themeFill="accent1" w:themeFillTint="3F"/>
    </w:tcPr>
    <w:tblStylePr w:type="firstRow">
      <w:rPr>
        <w:b/>
        <w:bCs/>
        <w:color w:val="000000" w:themeColor="text1"/>
      </w:rPr>
      <w:tblPr/>
      <w:tcPr>
        <w:shd w:val="clear" w:color="auto" w:fill="DC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2FF" w:themeFill="accent1" w:themeFillTint="33"/>
      </w:tcPr>
    </w:tblStylePr>
    <w:tblStylePr w:type="band1Vert">
      <w:tblPr/>
      <w:tcPr>
        <w:shd w:val="clear" w:color="auto" w:fill="4FB8FF" w:themeFill="accent1" w:themeFillTint="7F"/>
      </w:tcPr>
    </w:tblStylePr>
    <w:tblStylePr w:type="band1Horz">
      <w:tblPr/>
      <w:tcPr>
        <w:tcBorders>
          <w:insideH w:val="single" w:sz="6" w:space="0" w:color="005F9E" w:themeColor="accent1"/>
          <w:insideV w:val="single" w:sz="6" w:space="0" w:color="005F9E" w:themeColor="accent1"/>
        </w:tcBorders>
        <w:shd w:val="clear" w:color="auto" w:fill="4FB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cPr>
      <w:shd w:val="clear" w:color="auto" w:fill="AFE0FF" w:themeFill="accent2" w:themeFillTint="3F"/>
    </w:tcPr>
    <w:tblStylePr w:type="firstRow">
      <w:rPr>
        <w:b/>
        <w:bCs/>
        <w:color w:val="000000" w:themeColor="text1"/>
      </w:rPr>
      <w:tblPr/>
      <w:tcPr>
        <w:shd w:val="clear" w:color="auto" w:fill="DF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6FF" w:themeFill="accent2" w:themeFillTint="33"/>
      </w:tcPr>
    </w:tblStylePr>
    <w:tblStylePr w:type="band1Vert">
      <w:tblPr/>
      <w:tcPr>
        <w:shd w:val="clear" w:color="auto" w:fill="5FC1FF" w:themeFill="accent2" w:themeFillTint="7F"/>
      </w:tcPr>
    </w:tblStylePr>
    <w:tblStylePr w:type="band1Horz">
      <w:tblPr/>
      <w:tcPr>
        <w:tcBorders>
          <w:insideH w:val="single" w:sz="6" w:space="0" w:color="0075BD" w:themeColor="accent2"/>
          <w:insideV w:val="single" w:sz="6" w:space="0" w:color="0075BD" w:themeColor="accent2"/>
        </w:tcBorders>
        <w:shd w:val="clear" w:color="auto" w:fill="5FC1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cPr>
      <w:shd w:val="clear" w:color="auto" w:fill="FDE6CA" w:themeFill="accent3" w:themeFillTint="3F"/>
    </w:tcPr>
    <w:tblStylePr w:type="firstRow">
      <w:rPr>
        <w:b/>
        <w:bCs/>
        <w:color w:val="000000" w:themeColor="text1"/>
      </w:rPr>
      <w:tblPr/>
      <w:tcPr>
        <w:shd w:val="clear" w:color="auto" w:fill="FE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BD4" w:themeFill="accent3" w:themeFillTint="33"/>
      </w:tcPr>
    </w:tblStylePr>
    <w:tblStylePr w:type="band1Vert">
      <w:tblPr/>
      <w:tcPr>
        <w:shd w:val="clear" w:color="auto" w:fill="FCCD94" w:themeFill="accent3" w:themeFillTint="7F"/>
      </w:tcPr>
    </w:tblStylePr>
    <w:tblStylePr w:type="band1Horz">
      <w:tblPr/>
      <w:tcPr>
        <w:tcBorders>
          <w:insideH w:val="single" w:sz="6" w:space="0" w:color="F99D2A" w:themeColor="accent3"/>
          <w:insideV w:val="single" w:sz="6" w:space="0" w:color="F99D2A" w:themeColor="accent3"/>
        </w:tcBorders>
        <w:shd w:val="clear" w:color="auto" w:fill="FCC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cPr>
      <w:shd w:val="clear" w:color="auto" w:fill="ADFFFC" w:themeFill="accent4" w:themeFillTint="3F"/>
    </w:tcPr>
    <w:tblStylePr w:type="firstRow">
      <w:rPr>
        <w:b/>
        <w:bCs/>
        <w:color w:val="000000" w:themeColor="text1"/>
      </w:rPr>
      <w:tblPr/>
      <w:tcPr>
        <w:shd w:val="clear" w:color="auto" w:fill="DEFF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FFC" w:themeFill="accent4" w:themeFillTint="33"/>
      </w:tcPr>
    </w:tblStylePr>
    <w:tblStylePr w:type="band1Vert">
      <w:tblPr/>
      <w:tcPr>
        <w:shd w:val="clear" w:color="auto" w:fill="5BFFF9" w:themeFill="accent4" w:themeFillTint="7F"/>
      </w:tcPr>
    </w:tblStylePr>
    <w:tblStylePr w:type="band1Horz">
      <w:tblPr/>
      <w:tcPr>
        <w:tcBorders>
          <w:insideH w:val="single" w:sz="6" w:space="0" w:color="00B5AF" w:themeColor="accent4"/>
          <w:insideV w:val="single" w:sz="6" w:space="0" w:color="00B5AF" w:themeColor="accent4"/>
        </w:tcBorders>
        <w:shd w:val="clear" w:color="auto" w:fill="5BFF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cPr>
      <w:shd w:val="clear" w:color="auto" w:fill="ACFFD4" w:themeFill="accent5" w:themeFillTint="3F"/>
    </w:tcPr>
    <w:tblStylePr w:type="firstRow">
      <w:rPr>
        <w:b/>
        <w:bCs/>
        <w:color w:val="000000" w:themeColor="text1"/>
      </w:rPr>
      <w:tblPr/>
      <w:tcPr>
        <w:shd w:val="clear" w:color="auto" w:fill="DEFF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C" w:themeFill="accent5" w:themeFillTint="33"/>
      </w:tcPr>
    </w:tblStylePr>
    <w:tblStylePr w:type="band1Vert">
      <w:tblPr/>
      <w:tcPr>
        <w:shd w:val="clear" w:color="auto" w:fill="59FFA9" w:themeFill="accent5" w:themeFillTint="7F"/>
      </w:tcPr>
    </w:tblStylePr>
    <w:tblStylePr w:type="band1Horz">
      <w:tblPr/>
      <w:tcPr>
        <w:tcBorders>
          <w:insideH w:val="single" w:sz="6" w:space="0" w:color="00B156" w:themeColor="accent5"/>
          <w:insideV w:val="single" w:sz="6" w:space="0" w:color="00B156" w:themeColor="accent5"/>
        </w:tcBorders>
        <w:shd w:val="clear" w:color="auto" w:fill="59FFA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cPr>
      <w:shd w:val="clear" w:color="auto" w:fill="E2C1EC" w:themeFill="accent6" w:themeFillTint="3F"/>
    </w:tcPr>
    <w:tblStylePr w:type="firstRow">
      <w:rPr>
        <w:b/>
        <w:bCs/>
        <w:color w:val="000000" w:themeColor="text1"/>
      </w:rPr>
      <w:tblPr/>
      <w:tcPr>
        <w:shd w:val="clear" w:color="auto" w:fill="F3E6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DF0" w:themeFill="accent6" w:themeFillTint="33"/>
      </w:tcPr>
    </w:tblStylePr>
    <w:tblStylePr w:type="band1Vert">
      <w:tblPr/>
      <w:tcPr>
        <w:shd w:val="clear" w:color="auto" w:fill="C583DA" w:themeFill="accent6" w:themeFillTint="7F"/>
      </w:tcPr>
    </w:tblStylePr>
    <w:tblStylePr w:type="band1Horz">
      <w:tblPr/>
      <w:tcPr>
        <w:tcBorders>
          <w:insideH w:val="single" w:sz="6" w:space="0" w:color="782B90" w:themeColor="accent6"/>
          <w:insideV w:val="single" w:sz="6" w:space="0" w:color="782B90" w:themeColor="accent6"/>
        </w:tcBorders>
        <w:shd w:val="clear" w:color="auto" w:fill="C583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F9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F9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B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B8FF" w:themeFill="accent1" w:themeFillTint="7F"/>
      </w:tcPr>
    </w:tblStylePr>
  </w:style>
  <w:style w:type="table" w:styleId="MediumGrid3-Accent2">
    <w:name w:val="Medium Grid 3 Accent 2"/>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E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C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C1FF" w:themeFill="accent2" w:themeFillTint="7F"/>
      </w:tcPr>
    </w:tblStylePr>
  </w:style>
  <w:style w:type="table" w:styleId="MediumGrid3-Accent3">
    <w:name w:val="Medium Grid 3 Accent 3"/>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6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D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D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D94" w:themeFill="accent3" w:themeFillTint="7F"/>
      </w:tcPr>
    </w:tblStylePr>
  </w:style>
  <w:style w:type="table" w:styleId="MediumGrid3-Accent4">
    <w:name w:val="Medium Grid 3 Accent 4"/>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F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F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FF9" w:themeFill="accent4" w:themeFillTint="7F"/>
      </w:tcPr>
    </w:tblStylePr>
  </w:style>
  <w:style w:type="table" w:styleId="MediumGrid3-Accent5">
    <w:name w:val="Medium Grid 3 Accent 5"/>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5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5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A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A9" w:themeFill="accent5" w:themeFillTint="7F"/>
      </w:tcPr>
    </w:tblStylePr>
  </w:style>
  <w:style w:type="table" w:styleId="MediumGrid3-Accent6">
    <w:name w:val="Medium Grid 3 Accent 6"/>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1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2B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2B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83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83DA" w:themeFill="accent6" w:themeFillTint="7F"/>
      </w:tcPr>
    </w:tblStylePr>
  </w:style>
  <w:style w:type="table" w:styleId="MediumList1">
    <w:name w:val="Medium List 1"/>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457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bottom w:val="single" w:sz="8" w:space="0" w:color="005F9E" w:themeColor="accent1"/>
      </w:tblBorders>
    </w:tblPr>
    <w:tblStylePr w:type="firstRow">
      <w:rPr>
        <w:rFonts w:asciiTheme="majorHAnsi" w:eastAsiaTheme="majorEastAsia" w:hAnsiTheme="majorHAnsi" w:cstheme="majorBidi"/>
      </w:rPr>
      <w:tblPr/>
      <w:tcPr>
        <w:tcBorders>
          <w:top w:val="nil"/>
          <w:bottom w:val="single" w:sz="8" w:space="0" w:color="005F9E" w:themeColor="accent1"/>
        </w:tcBorders>
      </w:tcPr>
    </w:tblStylePr>
    <w:tblStylePr w:type="lastRow">
      <w:rPr>
        <w:b/>
        <w:bCs/>
        <w:color w:val="545759" w:themeColor="text2"/>
      </w:rPr>
      <w:tblPr/>
      <w:tcPr>
        <w:tcBorders>
          <w:top w:val="single" w:sz="8" w:space="0" w:color="005F9E" w:themeColor="accent1"/>
          <w:bottom w:val="single" w:sz="8" w:space="0" w:color="005F9E" w:themeColor="accent1"/>
        </w:tcBorders>
      </w:tcPr>
    </w:tblStylePr>
    <w:tblStylePr w:type="firstCol">
      <w:rPr>
        <w:b/>
        <w:bCs/>
      </w:rPr>
    </w:tblStylePr>
    <w:tblStylePr w:type="lastCol">
      <w:rPr>
        <w:b/>
        <w:bCs/>
      </w:rPr>
      <w:tblPr/>
      <w:tcPr>
        <w:tcBorders>
          <w:top w:val="single" w:sz="8" w:space="0" w:color="005F9E" w:themeColor="accent1"/>
          <w:bottom w:val="single" w:sz="8" w:space="0" w:color="005F9E" w:themeColor="accent1"/>
        </w:tcBorders>
      </w:tcPr>
    </w:tblStylePr>
    <w:tblStylePr w:type="band1Vert">
      <w:tblPr/>
      <w:tcPr>
        <w:shd w:val="clear" w:color="auto" w:fill="A8DCFF" w:themeFill="accent1" w:themeFillTint="3F"/>
      </w:tcPr>
    </w:tblStylePr>
    <w:tblStylePr w:type="band1Horz">
      <w:tblPr/>
      <w:tcPr>
        <w:shd w:val="clear" w:color="auto" w:fill="A8DCFF" w:themeFill="accent1" w:themeFillTint="3F"/>
      </w:tcPr>
    </w:tblStylePr>
  </w:style>
  <w:style w:type="table" w:styleId="MediumList1-Accent2">
    <w:name w:val="Medium List 1 Accent 2"/>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bottom w:val="single" w:sz="8" w:space="0" w:color="0075BD" w:themeColor="accent2"/>
      </w:tblBorders>
    </w:tblPr>
    <w:tblStylePr w:type="firstRow">
      <w:rPr>
        <w:rFonts w:asciiTheme="majorHAnsi" w:eastAsiaTheme="majorEastAsia" w:hAnsiTheme="majorHAnsi" w:cstheme="majorBidi"/>
      </w:rPr>
      <w:tblPr/>
      <w:tcPr>
        <w:tcBorders>
          <w:top w:val="nil"/>
          <w:bottom w:val="single" w:sz="8" w:space="0" w:color="0075BD" w:themeColor="accent2"/>
        </w:tcBorders>
      </w:tcPr>
    </w:tblStylePr>
    <w:tblStylePr w:type="lastRow">
      <w:rPr>
        <w:b/>
        <w:bCs/>
        <w:color w:val="545759" w:themeColor="text2"/>
      </w:rPr>
      <w:tblPr/>
      <w:tcPr>
        <w:tcBorders>
          <w:top w:val="single" w:sz="8" w:space="0" w:color="0075BD" w:themeColor="accent2"/>
          <w:bottom w:val="single" w:sz="8" w:space="0" w:color="0075BD" w:themeColor="accent2"/>
        </w:tcBorders>
      </w:tcPr>
    </w:tblStylePr>
    <w:tblStylePr w:type="firstCol">
      <w:rPr>
        <w:b/>
        <w:bCs/>
      </w:rPr>
    </w:tblStylePr>
    <w:tblStylePr w:type="lastCol">
      <w:rPr>
        <w:b/>
        <w:bCs/>
      </w:rPr>
      <w:tblPr/>
      <w:tcPr>
        <w:tcBorders>
          <w:top w:val="single" w:sz="8" w:space="0" w:color="0075BD" w:themeColor="accent2"/>
          <w:bottom w:val="single" w:sz="8" w:space="0" w:color="0075BD" w:themeColor="accent2"/>
        </w:tcBorders>
      </w:tcPr>
    </w:tblStylePr>
    <w:tblStylePr w:type="band1Vert">
      <w:tblPr/>
      <w:tcPr>
        <w:shd w:val="clear" w:color="auto" w:fill="AFE0FF" w:themeFill="accent2" w:themeFillTint="3F"/>
      </w:tcPr>
    </w:tblStylePr>
    <w:tblStylePr w:type="band1Horz">
      <w:tblPr/>
      <w:tcPr>
        <w:shd w:val="clear" w:color="auto" w:fill="AFE0FF" w:themeFill="accent2" w:themeFillTint="3F"/>
      </w:tcPr>
    </w:tblStylePr>
  </w:style>
  <w:style w:type="table" w:styleId="MediumList1-Accent3">
    <w:name w:val="Medium List 1 Accent 3"/>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bottom w:val="single" w:sz="8" w:space="0" w:color="F99D2A" w:themeColor="accent3"/>
      </w:tblBorders>
    </w:tblPr>
    <w:tblStylePr w:type="firstRow">
      <w:rPr>
        <w:rFonts w:asciiTheme="majorHAnsi" w:eastAsiaTheme="majorEastAsia" w:hAnsiTheme="majorHAnsi" w:cstheme="majorBidi"/>
      </w:rPr>
      <w:tblPr/>
      <w:tcPr>
        <w:tcBorders>
          <w:top w:val="nil"/>
          <w:bottom w:val="single" w:sz="8" w:space="0" w:color="F99D2A" w:themeColor="accent3"/>
        </w:tcBorders>
      </w:tcPr>
    </w:tblStylePr>
    <w:tblStylePr w:type="lastRow">
      <w:rPr>
        <w:b/>
        <w:bCs/>
        <w:color w:val="545759" w:themeColor="text2"/>
      </w:rPr>
      <w:tblPr/>
      <w:tcPr>
        <w:tcBorders>
          <w:top w:val="single" w:sz="8" w:space="0" w:color="F99D2A" w:themeColor="accent3"/>
          <w:bottom w:val="single" w:sz="8" w:space="0" w:color="F99D2A" w:themeColor="accent3"/>
        </w:tcBorders>
      </w:tcPr>
    </w:tblStylePr>
    <w:tblStylePr w:type="firstCol">
      <w:rPr>
        <w:b/>
        <w:bCs/>
      </w:rPr>
    </w:tblStylePr>
    <w:tblStylePr w:type="lastCol">
      <w:rPr>
        <w:b/>
        <w:bCs/>
      </w:rPr>
      <w:tblPr/>
      <w:tcPr>
        <w:tcBorders>
          <w:top w:val="single" w:sz="8" w:space="0" w:color="F99D2A" w:themeColor="accent3"/>
          <w:bottom w:val="single" w:sz="8" w:space="0" w:color="F99D2A" w:themeColor="accent3"/>
        </w:tcBorders>
      </w:tcPr>
    </w:tblStylePr>
    <w:tblStylePr w:type="band1Vert">
      <w:tblPr/>
      <w:tcPr>
        <w:shd w:val="clear" w:color="auto" w:fill="FDE6CA" w:themeFill="accent3" w:themeFillTint="3F"/>
      </w:tcPr>
    </w:tblStylePr>
    <w:tblStylePr w:type="band1Horz">
      <w:tblPr/>
      <w:tcPr>
        <w:shd w:val="clear" w:color="auto" w:fill="FDE6CA" w:themeFill="accent3" w:themeFillTint="3F"/>
      </w:tcPr>
    </w:tblStylePr>
  </w:style>
  <w:style w:type="table" w:styleId="MediumList1-Accent4">
    <w:name w:val="Medium List 1 Accent 4"/>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bottom w:val="single" w:sz="8" w:space="0" w:color="00B5AF" w:themeColor="accent4"/>
      </w:tblBorders>
    </w:tblPr>
    <w:tblStylePr w:type="firstRow">
      <w:rPr>
        <w:rFonts w:asciiTheme="majorHAnsi" w:eastAsiaTheme="majorEastAsia" w:hAnsiTheme="majorHAnsi" w:cstheme="majorBidi"/>
      </w:rPr>
      <w:tblPr/>
      <w:tcPr>
        <w:tcBorders>
          <w:top w:val="nil"/>
          <w:bottom w:val="single" w:sz="8" w:space="0" w:color="00B5AF" w:themeColor="accent4"/>
        </w:tcBorders>
      </w:tcPr>
    </w:tblStylePr>
    <w:tblStylePr w:type="lastRow">
      <w:rPr>
        <w:b/>
        <w:bCs/>
        <w:color w:val="545759" w:themeColor="text2"/>
      </w:rPr>
      <w:tblPr/>
      <w:tcPr>
        <w:tcBorders>
          <w:top w:val="single" w:sz="8" w:space="0" w:color="00B5AF" w:themeColor="accent4"/>
          <w:bottom w:val="single" w:sz="8" w:space="0" w:color="00B5AF" w:themeColor="accent4"/>
        </w:tcBorders>
      </w:tcPr>
    </w:tblStylePr>
    <w:tblStylePr w:type="firstCol">
      <w:rPr>
        <w:b/>
        <w:bCs/>
      </w:rPr>
    </w:tblStylePr>
    <w:tblStylePr w:type="lastCol">
      <w:rPr>
        <w:b/>
        <w:bCs/>
      </w:rPr>
      <w:tblPr/>
      <w:tcPr>
        <w:tcBorders>
          <w:top w:val="single" w:sz="8" w:space="0" w:color="00B5AF" w:themeColor="accent4"/>
          <w:bottom w:val="single" w:sz="8" w:space="0" w:color="00B5AF" w:themeColor="accent4"/>
        </w:tcBorders>
      </w:tcPr>
    </w:tblStylePr>
    <w:tblStylePr w:type="band1Vert">
      <w:tblPr/>
      <w:tcPr>
        <w:shd w:val="clear" w:color="auto" w:fill="ADFFFC" w:themeFill="accent4" w:themeFillTint="3F"/>
      </w:tcPr>
    </w:tblStylePr>
    <w:tblStylePr w:type="band1Horz">
      <w:tblPr/>
      <w:tcPr>
        <w:shd w:val="clear" w:color="auto" w:fill="ADFFFC" w:themeFill="accent4" w:themeFillTint="3F"/>
      </w:tcPr>
    </w:tblStylePr>
  </w:style>
  <w:style w:type="table" w:styleId="MediumList1-Accent5">
    <w:name w:val="Medium List 1 Accent 5"/>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bottom w:val="single" w:sz="8" w:space="0" w:color="00B156" w:themeColor="accent5"/>
      </w:tblBorders>
    </w:tblPr>
    <w:tblStylePr w:type="firstRow">
      <w:rPr>
        <w:rFonts w:asciiTheme="majorHAnsi" w:eastAsiaTheme="majorEastAsia" w:hAnsiTheme="majorHAnsi" w:cstheme="majorBidi"/>
      </w:rPr>
      <w:tblPr/>
      <w:tcPr>
        <w:tcBorders>
          <w:top w:val="nil"/>
          <w:bottom w:val="single" w:sz="8" w:space="0" w:color="00B156" w:themeColor="accent5"/>
        </w:tcBorders>
      </w:tcPr>
    </w:tblStylePr>
    <w:tblStylePr w:type="lastRow">
      <w:rPr>
        <w:b/>
        <w:bCs/>
        <w:color w:val="545759" w:themeColor="text2"/>
      </w:rPr>
      <w:tblPr/>
      <w:tcPr>
        <w:tcBorders>
          <w:top w:val="single" w:sz="8" w:space="0" w:color="00B156" w:themeColor="accent5"/>
          <w:bottom w:val="single" w:sz="8" w:space="0" w:color="00B156" w:themeColor="accent5"/>
        </w:tcBorders>
      </w:tcPr>
    </w:tblStylePr>
    <w:tblStylePr w:type="firstCol">
      <w:rPr>
        <w:b/>
        <w:bCs/>
      </w:rPr>
    </w:tblStylePr>
    <w:tblStylePr w:type="lastCol">
      <w:rPr>
        <w:b/>
        <w:bCs/>
      </w:rPr>
      <w:tblPr/>
      <w:tcPr>
        <w:tcBorders>
          <w:top w:val="single" w:sz="8" w:space="0" w:color="00B156" w:themeColor="accent5"/>
          <w:bottom w:val="single" w:sz="8" w:space="0" w:color="00B156" w:themeColor="accent5"/>
        </w:tcBorders>
      </w:tcPr>
    </w:tblStylePr>
    <w:tblStylePr w:type="band1Vert">
      <w:tblPr/>
      <w:tcPr>
        <w:shd w:val="clear" w:color="auto" w:fill="ACFFD4" w:themeFill="accent5" w:themeFillTint="3F"/>
      </w:tcPr>
    </w:tblStylePr>
    <w:tblStylePr w:type="band1Horz">
      <w:tblPr/>
      <w:tcPr>
        <w:shd w:val="clear" w:color="auto" w:fill="ACFFD4" w:themeFill="accent5" w:themeFillTint="3F"/>
      </w:tcPr>
    </w:tblStylePr>
  </w:style>
  <w:style w:type="table" w:styleId="MediumList1-Accent6">
    <w:name w:val="Medium List 1 Accent 6"/>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bottom w:val="single" w:sz="8" w:space="0" w:color="782B90" w:themeColor="accent6"/>
      </w:tblBorders>
    </w:tblPr>
    <w:tblStylePr w:type="firstRow">
      <w:rPr>
        <w:rFonts w:asciiTheme="majorHAnsi" w:eastAsiaTheme="majorEastAsia" w:hAnsiTheme="majorHAnsi" w:cstheme="majorBidi"/>
      </w:rPr>
      <w:tblPr/>
      <w:tcPr>
        <w:tcBorders>
          <w:top w:val="nil"/>
          <w:bottom w:val="single" w:sz="8" w:space="0" w:color="782B90" w:themeColor="accent6"/>
        </w:tcBorders>
      </w:tcPr>
    </w:tblStylePr>
    <w:tblStylePr w:type="lastRow">
      <w:rPr>
        <w:b/>
        <w:bCs/>
        <w:color w:val="545759" w:themeColor="text2"/>
      </w:rPr>
      <w:tblPr/>
      <w:tcPr>
        <w:tcBorders>
          <w:top w:val="single" w:sz="8" w:space="0" w:color="782B90" w:themeColor="accent6"/>
          <w:bottom w:val="single" w:sz="8" w:space="0" w:color="782B90" w:themeColor="accent6"/>
        </w:tcBorders>
      </w:tcPr>
    </w:tblStylePr>
    <w:tblStylePr w:type="firstCol">
      <w:rPr>
        <w:b/>
        <w:bCs/>
      </w:rPr>
    </w:tblStylePr>
    <w:tblStylePr w:type="lastCol">
      <w:rPr>
        <w:b/>
        <w:bCs/>
      </w:rPr>
      <w:tblPr/>
      <w:tcPr>
        <w:tcBorders>
          <w:top w:val="single" w:sz="8" w:space="0" w:color="782B90" w:themeColor="accent6"/>
          <w:bottom w:val="single" w:sz="8" w:space="0" w:color="782B90" w:themeColor="accent6"/>
        </w:tcBorders>
      </w:tcPr>
    </w:tblStylePr>
    <w:tblStylePr w:type="band1Vert">
      <w:tblPr/>
      <w:tcPr>
        <w:shd w:val="clear" w:color="auto" w:fill="E2C1EC" w:themeFill="accent6" w:themeFillTint="3F"/>
      </w:tcPr>
    </w:tblStylePr>
    <w:tblStylePr w:type="band1Horz">
      <w:tblPr/>
      <w:tcPr>
        <w:shd w:val="clear" w:color="auto" w:fill="E2C1EC" w:themeFill="accent6" w:themeFillTint="3F"/>
      </w:tcPr>
    </w:tblStylePr>
  </w:style>
  <w:style w:type="table" w:styleId="MediumList2">
    <w:name w:val="Medium List 2"/>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rPr>
        <w:sz w:val="24"/>
        <w:szCs w:val="24"/>
      </w:rPr>
      <w:tblPr/>
      <w:tcPr>
        <w:tcBorders>
          <w:top w:val="nil"/>
          <w:left w:val="nil"/>
          <w:bottom w:val="single" w:sz="24" w:space="0" w:color="005F9E" w:themeColor="accent1"/>
          <w:right w:val="nil"/>
          <w:insideH w:val="nil"/>
          <w:insideV w:val="nil"/>
        </w:tcBorders>
        <w:shd w:val="clear" w:color="auto" w:fill="FFFFFF" w:themeFill="background1"/>
      </w:tcPr>
    </w:tblStylePr>
    <w:tblStylePr w:type="lastRow">
      <w:tblPr/>
      <w:tcPr>
        <w:tcBorders>
          <w:top w:val="single" w:sz="8" w:space="0" w:color="005F9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F9E" w:themeColor="accent1"/>
          <w:insideH w:val="nil"/>
          <w:insideV w:val="nil"/>
        </w:tcBorders>
        <w:shd w:val="clear" w:color="auto" w:fill="FFFFFF" w:themeFill="background1"/>
      </w:tcPr>
    </w:tblStylePr>
    <w:tblStylePr w:type="lastCol">
      <w:tblPr/>
      <w:tcPr>
        <w:tcBorders>
          <w:top w:val="nil"/>
          <w:left w:val="single" w:sz="8" w:space="0" w:color="005F9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top w:val="nil"/>
          <w:bottom w:val="nil"/>
          <w:insideH w:val="nil"/>
          <w:insideV w:val="nil"/>
        </w:tcBorders>
        <w:shd w:val="clear" w:color="auto" w:fill="A8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rPr>
        <w:sz w:val="24"/>
        <w:szCs w:val="24"/>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tblPr/>
      <w:tcPr>
        <w:tcBorders>
          <w:top w:val="single" w:sz="8" w:space="0" w:color="0075B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BD" w:themeColor="accent2"/>
          <w:insideH w:val="nil"/>
          <w:insideV w:val="nil"/>
        </w:tcBorders>
        <w:shd w:val="clear" w:color="auto" w:fill="FFFFFF" w:themeFill="background1"/>
      </w:tcPr>
    </w:tblStylePr>
    <w:tblStylePr w:type="lastCol">
      <w:tblPr/>
      <w:tcPr>
        <w:tcBorders>
          <w:top w:val="nil"/>
          <w:left w:val="single" w:sz="8" w:space="0" w:color="0075B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top w:val="nil"/>
          <w:bottom w:val="nil"/>
          <w:insideH w:val="nil"/>
          <w:insideV w:val="nil"/>
        </w:tcBorders>
        <w:shd w:val="clear" w:color="auto" w:fill="AFE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rPr>
        <w:sz w:val="24"/>
        <w:szCs w:val="24"/>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tblPr/>
      <w:tcPr>
        <w:tcBorders>
          <w:top w:val="single" w:sz="8" w:space="0" w:color="F99D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D2A" w:themeColor="accent3"/>
          <w:insideH w:val="nil"/>
          <w:insideV w:val="nil"/>
        </w:tcBorders>
        <w:shd w:val="clear" w:color="auto" w:fill="FFFFFF" w:themeFill="background1"/>
      </w:tcPr>
    </w:tblStylePr>
    <w:tblStylePr w:type="lastCol">
      <w:tblPr/>
      <w:tcPr>
        <w:tcBorders>
          <w:top w:val="nil"/>
          <w:left w:val="single" w:sz="8" w:space="0" w:color="F99D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top w:val="nil"/>
          <w:bottom w:val="nil"/>
          <w:insideH w:val="nil"/>
          <w:insideV w:val="nil"/>
        </w:tcBorders>
        <w:shd w:val="clear" w:color="auto" w:fill="FDE6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rPr>
        <w:sz w:val="24"/>
        <w:szCs w:val="24"/>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tblPr/>
      <w:tcPr>
        <w:tcBorders>
          <w:top w:val="single" w:sz="8" w:space="0" w:color="00B5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AF" w:themeColor="accent4"/>
          <w:insideH w:val="nil"/>
          <w:insideV w:val="nil"/>
        </w:tcBorders>
        <w:shd w:val="clear" w:color="auto" w:fill="FFFFFF" w:themeFill="background1"/>
      </w:tcPr>
    </w:tblStylePr>
    <w:tblStylePr w:type="lastCol">
      <w:tblPr/>
      <w:tcPr>
        <w:tcBorders>
          <w:top w:val="nil"/>
          <w:left w:val="single" w:sz="8" w:space="0" w:color="00B5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top w:val="nil"/>
          <w:bottom w:val="nil"/>
          <w:insideH w:val="nil"/>
          <w:insideV w:val="nil"/>
        </w:tcBorders>
        <w:shd w:val="clear" w:color="auto" w:fill="ADFF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rPr>
        <w:sz w:val="24"/>
        <w:szCs w:val="24"/>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tblPr/>
      <w:tcPr>
        <w:tcBorders>
          <w:top w:val="single" w:sz="8" w:space="0" w:color="00B15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56" w:themeColor="accent5"/>
          <w:insideH w:val="nil"/>
          <w:insideV w:val="nil"/>
        </w:tcBorders>
        <w:shd w:val="clear" w:color="auto" w:fill="FFFFFF" w:themeFill="background1"/>
      </w:tcPr>
    </w:tblStylePr>
    <w:tblStylePr w:type="lastCol">
      <w:tblPr/>
      <w:tcPr>
        <w:tcBorders>
          <w:top w:val="nil"/>
          <w:left w:val="single" w:sz="8" w:space="0" w:color="00B15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top w:val="nil"/>
          <w:bottom w:val="nil"/>
          <w:insideH w:val="nil"/>
          <w:insideV w:val="nil"/>
        </w:tcBorders>
        <w:shd w:val="clear" w:color="auto" w:fill="ACFF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rPr>
        <w:sz w:val="24"/>
        <w:szCs w:val="24"/>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tblPr/>
      <w:tcPr>
        <w:tcBorders>
          <w:top w:val="single" w:sz="8" w:space="0" w:color="782B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2B90" w:themeColor="accent6"/>
          <w:insideH w:val="nil"/>
          <w:insideV w:val="nil"/>
        </w:tcBorders>
        <w:shd w:val="clear" w:color="auto" w:fill="FFFFFF" w:themeFill="background1"/>
      </w:tcPr>
    </w:tblStylePr>
    <w:tblStylePr w:type="lastCol">
      <w:tblPr/>
      <w:tcPr>
        <w:tcBorders>
          <w:top w:val="nil"/>
          <w:left w:val="single" w:sz="8" w:space="0" w:color="782B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top w:val="nil"/>
          <w:bottom w:val="nil"/>
          <w:insideH w:val="nil"/>
          <w:insideV w:val="nil"/>
        </w:tcBorders>
        <w:shd w:val="clear" w:color="auto" w:fill="E2C1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tblBorders>
    </w:tblPr>
    <w:tblStylePr w:type="firstRow">
      <w:pPr>
        <w:spacing w:before="0" w:after="0" w:line="240" w:lineRule="auto"/>
      </w:pPr>
      <w:rPr>
        <w:b/>
        <w:bCs/>
        <w:color w:val="FFFFFF" w:themeColor="background1"/>
      </w:rPr>
      <w:tblPr/>
      <w:tcPr>
        <w:tc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shd w:val="clear" w:color="auto" w:fill="005F9E" w:themeFill="accent1"/>
      </w:tcPr>
    </w:tblStylePr>
    <w:tblStylePr w:type="lastRow">
      <w:pPr>
        <w:spacing w:before="0" w:after="0" w:line="240" w:lineRule="auto"/>
      </w:pPr>
      <w:rPr>
        <w:b/>
        <w:bCs/>
      </w:rPr>
      <w:tblPr/>
      <w:tcPr>
        <w:tcBorders>
          <w:top w:val="double" w:sz="6"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DCFF" w:themeFill="accent1" w:themeFillTint="3F"/>
      </w:tcPr>
    </w:tblStylePr>
    <w:tblStylePr w:type="band1Horz">
      <w:tblPr/>
      <w:tcPr>
        <w:tcBorders>
          <w:insideH w:val="nil"/>
          <w:insideV w:val="nil"/>
        </w:tcBorders>
        <w:shd w:val="clear" w:color="auto" w:fill="A8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tblBorders>
    </w:tblPr>
    <w:tblStylePr w:type="firstRow">
      <w:pPr>
        <w:spacing w:before="0" w:after="0" w:line="240" w:lineRule="auto"/>
      </w:pPr>
      <w:rPr>
        <w:b/>
        <w:bCs/>
        <w:color w:val="FFFFFF" w:themeColor="background1"/>
      </w:rPr>
      <w:tblPr/>
      <w:tcPr>
        <w:tc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shd w:val="clear" w:color="auto" w:fill="0075BD" w:themeFill="accent2"/>
      </w:tcPr>
    </w:tblStylePr>
    <w:tblStylePr w:type="lastRow">
      <w:pPr>
        <w:spacing w:before="0" w:after="0" w:line="240" w:lineRule="auto"/>
      </w:pPr>
      <w:rPr>
        <w:b/>
        <w:bCs/>
      </w:rPr>
      <w:tblPr/>
      <w:tcPr>
        <w:tcBorders>
          <w:top w:val="double" w:sz="6"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FE0FF" w:themeFill="accent2" w:themeFillTint="3F"/>
      </w:tcPr>
    </w:tblStylePr>
    <w:tblStylePr w:type="band1Horz">
      <w:tblPr/>
      <w:tcPr>
        <w:tcBorders>
          <w:insideH w:val="nil"/>
          <w:insideV w:val="nil"/>
        </w:tcBorders>
        <w:shd w:val="clear" w:color="auto" w:fill="AFE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tblBorders>
    </w:tblPr>
    <w:tblStylePr w:type="firstRow">
      <w:pPr>
        <w:spacing w:before="0" w:after="0" w:line="240" w:lineRule="auto"/>
      </w:pPr>
      <w:rPr>
        <w:b/>
        <w:bCs/>
        <w:color w:val="FFFFFF" w:themeColor="background1"/>
      </w:rPr>
      <w:tblPr/>
      <w:tcPr>
        <w:tc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shd w:val="clear" w:color="auto" w:fill="F99D2A" w:themeFill="accent3"/>
      </w:tcPr>
    </w:tblStylePr>
    <w:tblStylePr w:type="lastRow">
      <w:pPr>
        <w:spacing w:before="0" w:after="0" w:line="240" w:lineRule="auto"/>
      </w:pPr>
      <w:rPr>
        <w:b/>
        <w:bCs/>
      </w:rPr>
      <w:tblPr/>
      <w:tcPr>
        <w:tcBorders>
          <w:top w:val="double" w:sz="6"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E6CA" w:themeFill="accent3" w:themeFillTint="3F"/>
      </w:tcPr>
    </w:tblStylePr>
    <w:tblStylePr w:type="band1Horz">
      <w:tblPr/>
      <w:tcPr>
        <w:tcBorders>
          <w:insideH w:val="nil"/>
          <w:insideV w:val="nil"/>
        </w:tcBorders>
        <w:shd w:val="clear" w:color="auto" w:fill="FDE6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tblBorders>
    </w:tblPr>
    <w:tblStylePr w:type="firstRow">
      <w:pPr>
        <w:spacing w:before="0" w:after="0" w:line="240" w:lineRule="auto"/>
      </w:pPr>
      <w:rPr>
        <w:b/>
        <w:bCs/>
        <w:color w:val="FFFFFF" w:themeColor="background1"/>
      </w:rPr>
      <w:tblPr/>
      <w:tcPr>
        <w:tc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shd w:val="clear" w:color="auto" w:fill="00B5AF" w:themeFill="accent4"/>
      </w:tcPr>
    </w:tblStylePr>
    <w:tblStylePr w:type="lastRow">
      <w:pPr>
        <w:spacing w:before="0" w:after="0" w:line="240" w:lineRule="auto"/>
      </w:pPr>
      <w:rPr>
        <w:b/>
        <w:bCs/>
      </w:rPr>
      <w:tblPr/>
      <w:tcPr>
        <w:tcBorders>
          <w:top w:val="double" w:sz="6"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tcPr>
    </w:tblStylePr>
    <w:tblStylePr w:type="firstCol">
      <w:rPr>
        <w:b/>
        <w:bCs/>
      </w:rPr>
    </w:tblStylePr>
    <w:tblStylePr w:type="lastCol">
      <w:rPr>
        <w:b/>
        <w:bCs/>
      </w:rPr>
    </w:tblStylePr>
    <w:tblStylePr w:type="band1Vert">
      <w:tblPr/>
      <w:tcPr>
        <w:shd w:val="clear" w:color="auto" w:fill="ADFFFC" w:themeFill="accent4" w:themeFillTint="3F"/>
      </w:tcPr>
    </w:tblStylePr>
    <w:tblStylePr w:type="band1Horz">
      <w:tblPr/>
      <w:tcPr>
        <w:tcBorders>
          <w:insideH w:val="nil"/>
          <w:insideV w:val="nil"/>
        </w:tcBorders>
        <w:shd w:val="clear" w:color="auto" w:fill="ADFF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tblBorders>
    </w:tblPr>
    <w:tblStylePr w:type="firstRow">
      <w:pPr>
        <w:spacing w:before="0" w:after="0" w:line="240" w:lineRule="auto"/>
      </w:pPr>
      <w:rPr>
        <w:b/>
        <w:bCs/>
        <w:color w:val="FFFFFF" w:themeColor="background1"/>
      </w:rPr>
      <w:tblPr/>
      <w:tcPr>
        <w:tc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shd w:val="clear" w:color="auto" w:fill="00B156" w:themeFill="accent5"/>
      </w:tcPr>
    </w:tblStylePr>
    <w:tblStylePr w:type="lastRow">
      <w:pPr>
        <w:spacing w:before="0" w:after="0" w:line="240" w:lineRule="auto"/>
      </w:pPr>
      <w:rPr>
        <w:b/>
        <w:bCs/>
      </w:rPr>
      <w:tblPr/>
      <w:tcPr>
        <w:tcBorders>
          <w:top w:val="double" w:sz="6"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ACFFD4" w:themeFill="accent5" w:themeFillTint="3F"/>
      </w:tcPr>
    </w:tblStylePr>
    <w:tblStylePr w:type="band1Horz">
      <w:tblPr/>
      <w:tcPr>
        <w:tcBorders>
          <w:insideH w:val="nil"/>
          <w:insideV w:val="nil"/>
        </w:tcBorders>
        <w:shd w:val="clear" w:color="auto" w:fill="ACFF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tblBorders>
    </w:tblPr>
    <w:tblStylePr w:type="firstRow">
      <w:pPr>
        <w:spacing w:before="0" w:after="0" w:line="240" w:lineRule="auto"/>
      </w:pPr>
      <w:rPr>
        <w:b/>
        <w:bCs/>
        <w:color w:val="FFFFFF" w:themeColor="background1"/>
      </w:rPr>
      <w:tblPr/>
      <w:tcPr>
        <w:tc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shd w:val="clear" w:color="auto" w:fill="782B90" w:themeFill="accent6"/>
      </w:tcPr>
    </w:tblStylePr>
    <w:tblStylePr w:type="lastRow">
      <w:pPr>
        <w:spacing w:before="0" w:after="0" w:line="240" w:lineRule="auto"/>
      </w:pPr>
      <w:rPr>
        <w:b/>
        <w:bCs/>
      </w:rPr>
      <w:tblPr/>
      <w:tcPr>
        <w:tcBorders>
          <w:top w:val="double" w:sz="6"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C1EC" w:themeFill="accent6" w:themeFillTint="3F"/>
      </w:tcPr>
    </w:tblStylePr>
    <w:tblStylePr w:type="band1Horz">
      <w:tblPr/>
      <w:tcPr>
        <w:tcBorders>
          <w:insideH w:val="nil"/>
          <w:insideV w:val="nil"/>
        </w:tcBorders>
        <w:shd w:val="clear" w:color="auto" w:fill="E2C1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F9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F9E" w:themeFill="accent1"/>
      </w:tcPr>
    </w:tblStylePr>
    <w:tblStylePr w:type="lastCol">
      <w:rPr>
        <w:b/>
        <w:bCs/>
        <w:color w:val="FFFFFF" w:themeColor="background1"/>
      </w:rPr>
      <w:tblPr/>
      <w:tcPr>
        <w:tcBorders>
          <w:left w:val="nil"/>
          <w:right w:val="nil"/>
          <w:insideH w:val="nil"/>
          <w:insideV w:val="nil"/>
        </w:tcBorders>
        <w:shd w:val="clear" w:color="auto" w:fill="005F9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BD" w:themeFill="accent2"/>
      </w:tcPr>
    </w:tblStylePr>
    <w:tblStylePr w:type="lastCol">
      <w:rPr>
        <w:b/>
        <w:bCs/>
        <w:color w:val="FFFFFF" w:themeColor="background1"/>
      </w:rPr>
      <w:tblPr/>
      <w:tcPr>
        <w:tcBorders>
          <w:left w:val="nil"/>
          <w:right w:val="nil"/>
          <w:insideH w:val="nil"/>
          <w:insideV w:val="nil"/>
        </w:tcBorders>
        <w:shd w:val="clear" w:color="auto" w:fill="0075B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9D2A" w:themeFill="accent3"/>
      </w:tcPr>
    </w:tblStylePr>
    <w:tblStylePr w:type="lastCol">
      <w:rPr>
        <w:b/>
        <w:bCs/>
        <w:color w:val="FFFFFF" w:themeColor="background1"/>
      </w:rPr>
      <w:tblPr/>
      <w:tcPr>
        <w:tcBorders>
          <w:left w:val="nil"/>
          <w:right w:val="nil"/>
          <w:insideH w:val="nil"/>
          <w:insideV w:val="nil"/>
        </w:tcBorders>
        <w:shd w:val="clear" w:color="auto" w:fill="F99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AF" w:themeFill="accent4"/>
      </w:tcPr>
    </w:tblStylePr>
    <w:tblStylePr w:type="lastCol">
      <w:rPr>
        <w:b/>
        <w:bCs/>
        <w:color w:val="FFFFFF" w:themeColor="background1"/>
      </w:rPr>
      <w:tblPr/>
      <w:tcPr>
        <w:tcBorders>
          <w:left w:val="nil"/>
          <w:right w:val="nil"/>
          <w:insideH w:val="nil"/>
          <w:insideV w:val="nil"/>
        </w:tcBorders>
        <w:shd w:val="clear" w:color="auto" w:fill="00B5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5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56" w:themeFill="accent5"/>
      </w:tcPr>
    </w:tblStylePr>
    <w:tblStylePr w:type="lastCol">
      <w:rPr>
        <w:b/>
        <w:bCs/>
        <w:color w:val="FFFFFF" w:themeColor="background1"/>
      </w:rPr>
      <w:tblPr/>
      <w:tcPr>
        <w:tcBorders>
          <w:left w:val="nil"/>
          <w:right w:val="nil"/>
          <w:insideH w:val="nil"/>
          <w:insideV w:val="nil"/>
        </w:tcBorders>
        <w:shd w:val="clear" w:color="auto" w:fill="00B15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2B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2B90" w:themeFill="accent6"/>
      </w:tcPr>
    </w:tblStylePr>
    <w:tblStylePr w:type="lastCol">
      <w:rPr>
        <w:b/>
        <w:bCs/>
        <w:color w:val="FFFFFF" w:themeColor="background1"/>
      </w:rPr>
      <w:tblPr/>
      <w:tcPr>
        <w:tcBorders>
          <w:left w:val="nil"/>
          <w:right w:val="nil"/>
          <w:insideH w:val="nil"/>
          <w:insideV w:val="nil"/>
        </w:tcBorders>
        <w:shd w:val="clear" w:color="auto" w:fill="782B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62808"/>
    <w:rPr>
      <w:rFonts w:asciiTheme="minorHAnsi" w:hAnsiTheme="minorHAnsi" w:cs="Arial"/>
      <w:color w:val="000000" w:themeColor="text1"/>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62808"/>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62808"/>
    <w:rPr>
      <w:rFonts w:asciiTheme="minorHAnsi" w:hAnsiTheme="minorHAnsi" w:cs="Arial"/>
      <w:color w:val="000000" w:themeColor="text1"/>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62808"/>
    <w:rPr>
      <w:rFonts w:asciiTheme="minorHAnsi" w:hAnsiTheme="minorHAnsi" w:cs="Arial"/>
      <w:color w:val="000000" w:themeColor="text1"/>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62808"/>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62808"/>
    <w:rPr>
      <w:rFonts w:asciiTheme="minorHAnsi" w:hAnsiTheme="minorHAnsi" w:cs="Arial"/>
      <w:color w:val="000000" w:themeColor="text1"/>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062808"/>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rsid w:val="00062808"/>
    <w:rPr>
      <w:color w:val="605E5C"/>
      <w:shd w:val="clear" w:color="auto" w:fill="E1DFDD"/>
    </w:rPr>
  </w:style>
  <w:style w:type="paragraph" w:customStyle="1" w:styleId="BodycopyBodycontent">
    <w:name w:val="Body copy (Body content)"/>
    <w:basedOn w:val="Normal"/>
    <w:next w:val="Normal"/>
    <w:uiPriority w:val="99"/>
    <w:rsid w:val="00062808"/>
    <w:pPr>
      <w:widowControl w:val="0"/>
      <w:tabs>
        <w:tab w:val="left" w:pos="227"/>
        <w:tab w:val="right" w:pos="5920"/>
      </w:tabs>
      <w:suppressAutoHyphens/>
      <w:autoSpaceDE w:val="0"/>
      <w:autoSpaceDN w:val="0"/>
      <w:adjustRightInd w:val="0"/>
      <w:snapToGrid/>
      <w:spacing w:after="113" w:line="260" w:lineRule="atLeast"/>
      <w:textAlignment w:val="center"/>
    </w:pPr>
    <w:rPr>
      <w:rFonts w:ascii="Calibri" w:eastAsia="Cambria" w:hAnsi="Calibri" w:cs="Calibri"/>
      <w:color w:val="000000"/>
      <w:szCs w:val="22"/>
      <w:lang w:val="en-GB"/>
    </w:rPr>
  </w:style>
  <w:style w:type="table" w:styleId="TableColumns3">
    <w:name w:val="Table Columns 3"/>
    <w:basedOn w:val="TableNormal"/>
    <w:rsid w:val="00062808"/>
    <w:pPr>
      <w:spacing w:line="240" w:lineRule="atLeast"/>
    </w:pPr>
    <w:rPr>
      <w:b/>
      <w:bCs/>
      <w:color w:val="000000" w:themeColor="text1"/>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062808"/>
    <w:pPr>
      <w:spacing w:line="240" w:lineRule="atLeast"/>
    </w:pPr>
    <w:rPr>
      <w:rFonts w:asciiTheme="minorHAnsi" w:hAnsiTheme="minorHAnsi" w:cs="Arial"/>
      <w:color w:val="000000" w:themeColor="text1"/>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062808"/>
    <w:pPr>
      <w:spacing w:line="240" w:lineRule="atLeast"/>
    </w:pPr>
    <w:rPr>
      <w:rFonts w:asciiTheme="minorHAnsi" w:hAnsiTheme="minorHAnsi" w:cs="Arial"/>
      <w:color w:val="000000" w:themeColor="text1"/>
      <w:sz w:val="16"/>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062808"/>
    <w:pPr>
      <w:spacing w:line="240" w:lineRule="atLeast"/>
    </w:pPr>
    <w:rPr>
      <w:rFonts w:asciiTheme="minorHAnsi" w:hAnsiTheme="minorHAnsi" w:cs="Arial"/>
      <w:color w:val="000000" w:themeColor="text1"/>
      <w:sz w:val="16"/>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4575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062808"/>
    <w:pPr>
      <w:spacing w:line="240" w:lineRule="atLeast"/>
    </w:pPr>
    <w:rPr>
      <w:rFonts w:asciiTheme="minorHAnsi" w:hAnsiTheme="minorHAnsi" w:cs="Arial"/>
      <w:color w:val="000000" w:themeColor="text1"/>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troductionParagraph">
    <w:name w:val="Introduction Paragraph"/>
    <w:basedOn w:val="Normal"/>
    <w:qFormat/>
    <w:rsid w:val="00062808"/>
    <w:pPr>
      <w:suppressAutoHyphens/>
      <w:snapToGrid/>
      <w:spacing w:after="240" w:line="276" w:lineRule="auto"/>
      <w:ind w:left="-284"/>
    </w:pPr>
    <w:rPr>
      <w:rFonts w:ascii="Arial" w:eastAsia="Cambria" w:hAnsi="Arial" w:cs="Times New Roman"/>
      <w:color w:val="0A2C56"/>
      <w:szCs w:val="24"/>
      <w:lang w:val="en-US"/>
    </w:rPr>
  </w:style>
  <w:style w:type="paragraph" w:customStyle="1" w:styleId="GreenLightPlanContentstext">
    <w:name w:val="Green Light Plan Contents text"/>
    <w:basedOn w:val="Normal"/>
    <w:qFormat/>
    <w:rsid w:val="00062808"/>
    <w:pPr>
      <w:widowControl w:val="0"/>
      <w:tabs>
        <w:tab w:val="left" w:pos="567"/>
        <w:tab w:val="right" w:pos="5670"/>
        <w:tab w:val="right" w:pos="9800"/>
      </w:tabs>
      <w:autoSpaceDE w:val="0"/>
      <w:autoSpaceDN w:val="0"/>
      <w:adjustRightInd w:val="0"/>
      <w:snapToGrid/>
      <w:spacing w:after="120" w:line="360" w:lineRule="auto"/>
      <w:ind w:left="284" w:right="1985"/>
      <w:textAlignment w:val="center"/>
    </w:pPr>
    <w:rPr>
      <w:rFonts w:ascii="Arial Bold" w:eastAsia="Cambria" w:hAnsi="Arial Bold" w:cs="MinionPro-Regular"/>
      <w:color w:val="007A6D"/>
      <w:kern w:val="22"/>
      <w:szCs w:val="24"/>
      <w:lang w:val="en-GB"/>
    </w:rPr>
  </w:style>
  <w:style w:type="paragraph" w:customStyle="1" w:styleId="GreenLightPlanNumbersList">
    <w:name w:val="Green Light Plan Numbers List"/>
    <w:basedOn w:val="Normal"/>
    <w:qFormat/>
    <w:rsid w:val="00062808"/>
    <w:pPr>
      <w:widowControl w:val="0"/>
      <w:numPr>
        <w:numId w:val="22"/>
      </w:numPr>
      <w:suppressAutoHyphens/>
      <w:autoSpaceDE w:val="0"/>
      <w:autoSpaceDN w:val="0"/>
      <w:adjustRightInd w:val="0"/>
      <w:snapToGrid/>
      <w:spacing w:after="120" w:line="260" w:lineRule="atLeast"/>
      <w:textAlignment w:val="center"/>
    </w:pPr>
    <w:rPr>
      <w:rFonts w:ascii="Arial" w:eastAsia="Cambria" w:hAnsi="Arial" w:cs="ArialMT"/>
      <w:color w:val="2D2D07"/>
      <w:szCs w:val="22"/>
      <w:lang w:val="en-GB"/>
    </w:rPr>
  </w:style>
  <w:style w:type="paragraph" w:customStyle="1" w:styleId="Style2">
    <w:name w:val="Style2"/>
    <w:basedOn w:val="Normal"/>
    <w:qFormat/>
    <w:rsid w:val="00062808"/>
    <w:pPr>
      <w:widowControl w:val="0"/>
      <w:autoSpaceDE w:val="0"/>
      <w:autoSpaceDN w:val="0"/>
      <w:adjustRightInd w:val="0"/>
      <w:snapToGrid/>
      <w:spacing w:after="0" w:line="240" w:lineRule="auto"/>
      <w:ind w:left="607"/>
    </w:pPr>
    <w:rPr>
      <w:rFonts w:ascii="Arial Bold" w:eastAsia="Times New Roman" w:hAnsi="Arial Bold" w:cs="Times New Roman"/>
      <w:caps/>
      <w:noProof/>
      <w:color w:val="auto"/>
      <w:szCs w:val="22"/>
      <w:lang w:val="en-US"/>
    </w:rPr>
  </w:style>
  <w:style w:type="paragraph" w:customStyle="1" w:styleId="Style3">
    <w:name w:val="Style3"/>
    <w:basedOn w:val="Normal"/>
    <w:qFormat/>
    <w:rsid w:val="00062808"/>
    <w:pPr>
      <w:widowControl w:val="0"/>
      <w:autoSpaceDE w:val="0"/>
      <w:autoSpaceDN w:val="0"/>
      <w:adjustRightInd w:val="0"/>
      <w:snapToGrid/>
      <w:spacing w:after="0" w:line="240" w:lineRule="auto"/>
      <w:ind w:left="2583"/>
    </w:pPr>
    <w:rPr>
      <w:rFonts w:ascii="Calibri" w:eastAsia="Times New Roman" w:hAnsi="Calibri" w:cs="Times New Roman"/>
      <w:caps/>
      <w:noProof/>
      <w:color w:val="auto"/>
      <w:szCs w:val="22"/>
      <w:lang w:val="en-US"/>
    </w:rPr>
  </w:style>
  <w:style w:type="paragraph" w:customStyle="1" w:styleId="CallidenTableTextHeading">
    <w:name w:val="Calliden Table Text Heading"/>
    <w:basedOn w:val="Normal"/>
    <w:qFormat/>
    <w:rsid w:val="00062808"/>
    <w:pPr>
      <w:snapToGrid/>
      <w:spacing w:before="60" w:after="60" w:line="240" w:lineRule="auto"/>
    </w:pPr>
    <w:rPr>
      <w:rFonts w:ascii="Arial Bold" w:eastAsia="ヒラギノ角ゴ Pro W3" w:hAnsi="Arial Bold" w:cs="Times New Roman"/>
      <w:b/>
      <w:color w:val="000000"/>
      <w:spacing w:val="-8"/>
      <w:szCs w:val="24"/>
      <w:lang w:val="en-US"/>
    </w:rPr>
  </w:style>
  <w:style w:type="paragraph" w:customStyle="1" w:styleId="Procurementdotpoints">
    <w:name w:val="Procurement dot points"/>
    <w:basedOn w:val="Normal"/>
    <w:rsid w:val="00062808"/>
    <w:pPr>
      <w:numPr>
        <w:numId w:val="23"/>
      </w:numPr>
      <w:snapToGrid/>
      <w:spacing w:before="120" w:after="120" w:line="240" w:lineRule="auto"/>
    </w:pPr>
    <w:rPr>
      <w:rFonts w:ascii="Arial" w:eastAsia="ヒラギノ角ゴ Pro W3" w:hAnsi="Arial" w:cs="Times New Roman"/>
      <w:color w:val="auto"/>
      <w:spacing w:val="-4"/>
      <w:szCs w:val="24"/>
      <w:lang w:val="en-US"/>
    </w:rPr>
  </w:style>
  <w:style w:type="paragraph" w:customStyle="1" w:styleId="Procurementheading2red">
    <w:name w:val="Procurement heading 2 red"/>
    <w:basedOn w:val="Normal"/>
    <w:qFormat/>
    <w:rsid w:val="00062808"/>
    <w:pPr>
      <w:widowControl w:val="0"/>
      <w:tabs>
        <w:tab w:val="left" w:pos="660"/>
      </w:tabs>
      <w:suppressAutoHyphens/>
      <w:autoSpaceDE w:val="0"/>
      <w:autoSpaceDN w:val="0"/>
      <w:adjustRightInd w:val="0"/>
      <w:snapToGrid/>
      <w:spacing w:after="360" w:line="288" w:lineRule="auto"/>
      <w:textAlignment w:val="center"/>
      <w:outlineLvl w:val="0"/>
    </w:pPr>
    <w:rPr>
      <w:rFonts w:ascii="Arial" w:eastAsia="Cambria" w:hAnsi="Arial" w:cs="DIN-Medium"/>
      <w:noProof/>
      <w:color w:val="F40026"/>
      <w:sz w:val="32"/>
      <w:szCs w:val="28"/>
      <w:u w:color="FF0000"/>
      <w:lang w:val="en-GB"/>
    </w:rPr>
  </w:style>
  <w:style w:type="paragraph" w:customStyle="1" w:styleId="Procurementbodytext">
    <w:name w:val="Procurement body text"/>
    <w:basedOn w:val="Normal"/>
    <w:qFormat/>
    <w:rsid w:val="00062808"/>
    <w:pPr>
      <w:widowControl w:val="0"/>
      <w:tabs>
        <w:tab w:val="left" w:pos="851"/>
      </w:tabs>
      <w:suppressAutoHyphens/>
      <w:autoSpaceDE w:val="0"/>
      <w:autoSpaceDN w:val="0"/>
      <w:adjustRightInd w:val="0"/>
      <w:snapToGrid/>
      <w:spacing w:after="113" w:line="288" w:lineRule="auto"/>
      <w:textAlignment w:val="center"/>
    </w:pPr>
    <w:rPr>
      <w:rFonts w:ascii="Arial" w:eastAsia="Cambria" w:hAnsi="Arial" w:cs="HelveticaNeueLTStd-Lt"/>
      <w:color w:val="000000"/>
      <w:szCs w:val="22"/>
      <w:lang w:val="en-GB"/>
    </w:rPr>
  </w:style>
  <w:style w:type="paragraph" w:customStyle="1" w:styleId="ProcurementHeading6red">
    <w:name w:val="Procurement Heading 6 red"/>
    <w:basedOn w:val="Procurementbodytext"/>
    <w:qFormat/>
    <w:rsid w:val="00062808"/>
    <w:pPr>
      <w:spacing w:after="120" w:line="240" w:lineRule="auto"/>
      <w:ind w:left="799" w:hanging="799"/>
    </w:pPr>
    <w:rPr>
      <w:color w:val="FF0000"/>
    </w:rPr>
  </w:style>
  <w:style w:type="paragraph" w:customStyle="1" w:styleId="ProcurementHeading1red">
    <w:name w:val="Procurement Heading 1 red"/>
    <w:basedOn w:val="Normal"/>
    <w:qFormat/>
    <w:rsid w:val="00062808"/>
    <w:pPr>
      <w:widowControl w:val="0"/>
      <w:autoSpaceDE w:val="0"/>
      <w:autoSpaceDN w:val="0"/>
      <w:adjustRightInd w:val="0"/>
      <w:snapToGrid/>
      <w:spacing w:before="100" w:beforeAutospacing="1" w:after="720" w:line="240" w:lineRule="auto"/>
      <w:ind w:left="641" w:hanging="641"/>
      <w:textAlignment w:val="center"/>
    </w:pPr>
    <w:rPr>
      <w:rFonts w:ascii="Arial" w:eastAsia="Cambria" w:hAnsi="Arial" w:cs="DIN-Medium"/>
      <w:color w:val="F40026"/>
      <w:sz w:val="52"/>
      <w:szCs w:val="56"/>
      <w:lang w:val="en-GB"/>
    </w:rPr>
  </w:style>
  <w:style w:type="paragraph" w:customStyle="1" w:styleId="ProcurementCoverTitle">
    <w:name w:val="Procurement Cover Title"/>
    <w:basedOn w:val="Normal"/>
    <w:qFormat/>
    <w:rsid w:val="00062808"/>
    <w:pPr>
      <w:widowControl w:val="0"/>
      <w:autoSpaceDE w:val="0"/>
      <w:autoSpaceDN w:val="0"/>
      <w:adjustRightInd w:val="0"/>
      <w:snapToGrid/>
      <w:spacing w:after="0" w:line="240" w:lineRule="auto"/>
      <w:jc w:val="right"/>
      <w:textAlignment w:val="center"/>
    </w:pPr>
    <w:rPr>
      <w:rFonts w:ascii="Arial" w:eastAsia="Cambria" w:hAnsi="Arial" w:cs="DIN-Medium"/>
      <w:color w:val="F40026"/>
      <w:sz w:val="58"/>
      <w:szCs w:val="58"/>
      <w:lang w:val="en-GB"/>
    </w:rPr>
  </w:style>
  <w:style w:type="paragraph" w:customStyle="1" w:styleId="Procurementheading3red">
    <w:name w:val="Procurement heading 3 red"/>
    <w:basedOn w:val="Normal"/>
    <w:qFormat/>
    <w:rsid w:val="00062808"/>
    <w:pPr>
      <w:widowControl w:val="0"/>
      <w:suppressAutoHyphens/>
      <w:autoSpaceDE w:val="0"/>
      <w:autoSpaceDN w:val="0"/>
      <w:adjustRightInd w:val="0"/>
      <w:snapToGrid/>
      <w:spacing w:before="113" w:after="113" w:line="288" w:lineRule="auto"/>
      <w:ind w:left="800" w:hanging="800"/>
      <w:textAlignment w:val="center"/>
      <w:outlineLvl w:val="0"/>
    </w:pPr>
    <w:rPr>
      <w:rFonts w:ascii="Arial" w:eastAsia="Cambria" w:hAnsi="Arial" w:cs="DIN-Medium"/>
      <w:b/>
      <w:color w:val="000000"/>
      <w:spacing w:val="-2"/>
      <w:sz w:val="28"/>
      <w:szCs w:val="24"/>
      <w:lang w:val="en-GB"/>
    </w:rPr>
  </w:style>
  <w:style w:type="paragraph" w:customStyle="1" w:styleId="Procurementheading4">
    <w:name w:val="Procurement heading 4"/>
    <w:basedOn w:val="Normal"/>
    <w:qFormat/>
    <w:rsid w:val="00062808"/>
    <w:pPr>
      <w:widowControl w:val="0"/>
      <w:suppressAutoHyphens/>
      <w:autoSpaceDE w:val="0"/>
      <w:autoSpaceDN w:val="0"/>
      <w:adjustRightInd w:val="0"/>
      <w:snapToGrid/>
      <w:spacing w:before="113" w:after="113" w:line="288" w:lineRule="auto"/>
      <w:ind w:left="800" w:hanging="800"/>
      <w:textAlignment w:val="center"/>
    </w:pPr>
    <w:rPr>
      <w:rFonts w:ascii="Arial" w:eastAsia="Cambria" w:hAnsi="Arial" w:cs="DIN-Regular"/>
      <w:color w:val="FF0000"/>
      <w:spacing w:val="-2"/>
      <w:sz w:val="24"/>
      <w:szCs w:val="22"/>
      <w:lang w:val="en-GB"/>
    </w:rPr>
  </w:style>
  <w:style w:type="paragraph" w:customStyle="1" w:styleId="ProcurementHeading5">
    <w:name w:val="Procurement Heading 5"/>
    <w:basedOn w:val="Procurementbodytext"/>
    <w:qFormat/>
    <w:rsid w:val="00062808"/>
    <w:pPr>
      <w:spacing w:after="120" w:line="240" w:lineRule="auto"/>
      <w:ind w:left="799" w:hanging="799"/>
    </w:pPr>
    <w:rPr>
      <w:b/>
      <w:sz w:val="20"/>
    </w:rPr>
  </w:style>
  <w:style w:type="paragraph" w:customStyle="1" w:styleId="ProcurementTableHeading">
    <w:name w:val="Procurement Table Heading"/>
    <w:basedOn w:val="Procurementbodytext"/>
    <w:next w:val="Procurementbodytext"/>
    <w:qFormat/>
    <w:rsid w:val="00062808"/>
    <w:pPr>
      <w:spacing w:before="120" w:after="120"/>
    </w:pPr>
    <w:rPr>
      <w:b/>
      <w:color w:val="FFFFFF"/>
    </w:rPr>
  </w:style>
  <w:style w:type="paragraph" w:customStyle="1" w:styleId="ProcurementTableordiagramheading">
    <w:name w:val="Procurement Table or diagram heading"/>
    <w:basedOn w:val="Procurementheading2red"/>
    <w:qFormat/>
    <w:rsid w:val="00062808"/>
    <w:pPr>
      <w:spacing w:after="120"/>
    </w:pPr>
    <w:rPr>
      <w:sz w:val="24"/>
    </w:rPr>
  </w:style>
  <w:style w:type="paragraph" w:customStyle="1" w:styleId="ProcurementTextforboxes">
    <w:name w:val="Procurement Text for boxes"/>
    <w:basedOn w:val="Procurementbodytext"/>
    <w:qFormat/>
    <w:rsid w:val="00062808"/>
    <w:rPr>
      <w:color w:val="D71F30"/>
    </w:rPr>
  </w:style>
  <w:style w:type="paragraph" w:customStyle="1" w:styleId="NoParagraphStyle">
    <w:name w:val="[No Paragraph Style]"/>
    <w:rsid w:val="00062808"/>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val="en-US"/>
    </w:rPr>
  </w:style>
  <w:style w:type="paragraph" w:customStyle="1" w:styleId="HeadingBHeadings">
    <w:name w:val="Heading B (Headings)"/>
    <w:basedOn w:val="NoParagraphStyle"/>
    <w:next w:val="NoParagraphStyle"/>
    <w:uiPriority w:val="99"/>
    <w:rsid w:val="00062808"/>
    <w:pPr>
      <w:suppressAutoHyphens/>
      <w:spacing w:before="113" w:after="113" w:line="320" w:lineRule="atLeast"/>
    </w:pPr>
    <w:rPr>
      <w:rFonts w:ascii="Calibri-Bold" w:hAnsi="Calibri-Bold" w:cs="Calibri-Bold"/>
      <w:b/>
      <w:bCs/>
      <w:color w:val="00838E"/>
      <w:sz w:val="28"/>
      <w:szCs w:val="28"/>
      <w:lang w:val="en-GB"/>
    </w:rPr>
  </w:style>
  <w:style w:type="paragraph" w:customStyle="1" w:styleId="HeadingAHeadings">
    <w:name w:val="Heading A (Headings)"/>
    <w:basedOn w:val="NoParagraphStyle"/>
    <w:next w:val="NoParagraphStyle"/>
    <w:uiPriority w:val="99"/>
    <w:rsid w:val="00062808"/>
    <w:pPr>
      <w:suppressAutoHyphens/>
      <w:spacing w:before="113" w:after="340" w:line="440" w:lineRule="atLeast"/>
    </w:pPr>
    <w:rPr>
      <w:rFonts w:ascii="Calibri" w:hAnsi="Calibri" w:cs="Calibri"/>
      <w:color w:val="00838E"/>
      <w:sz w:val="40"/>
      <w:szCs w:val="40"/>
      <w:lang w:val="en-GB"/>
    </w:rPr>
  </w:style>
  <w:style w:type="paragraph" w:customStyle="1" w:styleId="PulloutfeaturetextboxesBodycontent">
    <w:name w:val="Pullout/feature/text boxes (Body content)"/>
    <w:basedOn w:val="NoParagraphStyle"/>
    <w:uiPriority w:val="99"/>
    <w:rsid w:val="00062808"/>
    <w:pPr>
      <w:suppressAutoHyphens/>
      <w:spacing w:before="85" w:after="170" w:line="280" w:lineRule="atLeast"/>
    </w:pPr>
    <w:rPr>
      <w:rFonts w:ascii="Calibri" w:hAnsi="Calibri" w:cs="Calibri"/>
      <w:color w:val="00838E"/>
      <w:lang w:val="en-GB"/>
    </w:rPr>
  </w:style>
  <w:style w:type="paragraph" w:customStyle="1" w:styleId="BodybulletL1Bodycontent">
    <w:name w:val="Body bullet_L1 (Body content)"/>
    <w:basedOn w:val="NoParagraphStyle"/>
    <w:next w:val="NoParagraphStyle"/>
    <w:uiPriority w:val="99"/>
    <w:rsid w:val="00062808"/>
    <w:pPr>
      <w:suppressAutoHyphens/>
      <w:spacing w:after="113" w:line="260" w:lineRule="atLeast"/>
      <w:ind w:left="170" w:hanging="170"/>
    </w:pPr>
    <w:rPr>
      <w:rFonts w:ascii="Calibri" w:hAnsi="Calibri" w:cs="Calibri"/>
      <w:sz w:val="22"/>
      <w:szCs w:val="22"/>
      <w:lang w:val="en-GB"/>
    </w:rPr>
  </w:style>
  <w:style w:type="paragraph" w:customStyle="1" w:styleId="BodybulletlastL1Bodycontent">
    <w:name w:val="Body bullet_last_L1 (Body content)"/>
    <w:basedOn w:val="BodybulletL1Bodycontent"/>
    <w:next w:val="NoParagraphStyle"/>
    <w:uiPriority w:val="99"/>
    <w:rsid w:val="00062808"/>
    <w:pPr>
      <w:spacing w:after="227"/>
    </w:pPr>
  </w:style>
  <w:style w:type="paragraph" w:customStyle="1" w:styleId="Body2">
    <w:name w:val="_Body2"/>
    <w:basedOn w:val="Normal"/>
    <w:uiPriority w:val="99"/>
    <w:rsid w:val="00062808"/>
    <w:pPr>
      <w:widowControl w:val="0"/>
      <w:autoSpaceDE w:val="0"/>
      <w:autoSpaceDN w:val="0"/>
      <w:adjustRightInd w:val="0"/>
      <w:snapToGrid/>
      <w:spacing w:after="113" w:line="240" w:lineRule="atLeast"/>
      <w:textAlignment w:val="center"/>
    </w:pPr>
    <w:rPr>
      <w:rFonts w:ascii="Calibri" w:eastAsia="Cambria" w:hAnsi="Calibri" w:cs="Calibri"/>
      <w:color w:val="000000"/>
      <w:szCs w:val="22"/>
      <w:lang w:val="en-US"/>
    </w:rPr>
  </w:style>
  <w:style w:type="paragraph" w:customStyle="1" w:styleId="HA">
    <w:name w:val="_HA"/>
    <w:basedOn w:val="NoParagraphStyle"/>
    <w:next w:val="Normal"/>
    <w:uiPriority w:val="99"/>
    <w:rsid w:val="00062808"/>
    <w:pPr>
      <w:spacing w:after="600" w:line="460" w:lineRule="atLeast"/>
    </w:pPr>
    <w:rPr>
      <w:rFonts w:ascii="Calibri" w:hAnsi="Calibri" w:cs="Calibri"/>
      <w:color w:val="228591"/>
      <w:sz w:val="40"/>
      <w:szCs w:val="40"/>
    </w:rPr>
  </w:style>
  <w:style w:type="paragraph" w:customStyle="1" w:styleId="FigureCaptionFigures">
    <w:name w:val="Figure Caption (Figures)"/>
    <w:basedOn w:val="NoParagraphStyle"/>
    <w:uiPriority w:val="99"/>
    <w:rsid w:val="00062808"/>
    <w:pPr>
      <w:suppressAutoHyphens/>
      <w:spacing w:before="57" w:after="170" w:line="220" w:lineRule="atLeast"/>
    </w:pPr>
    <w:rPr>
      <w:rFonts w:ascii="Calibri-Bold" w:hAnsi="Calibri-Bold" w:cs="Calibri-Bold"/>
      <w:b/>
      <w:bCs/>
      <w:sz w:val="20"/>
      <w:szCs w:val="20"/>
      <w:lang w:val="en-GB"/>
    </w:rPr>
  </w:style>
  <w:style w:type="paragraph" w:customStyle="1" w:styleId="Pullout">
    <w:name w:val="_Pullout"/>
    <w:basedOn w:val="NoParagraphStyle"/>
    <w:uiPriority w:val="99"/>
    <w:rsid w:val="00062808"/>
    <w:pPr>
      <w:spacing w:before="85" w:after="170" w:line="300" w:lineRule="atLeast"/>
    </w:pPr>
    <w:rPr>
      <w:rFonts w:ascii="Calibri" w:hAnsi="Calibri" w:cs="Calibri"/>
      <w:color w:val="228591"/>
    </w:rPr>
  </w:style>
  <w:style w:type="paragraph" w:customStyle="1" w:styleId="EndnoteText1">
    <w:name w:val="Endnote Text1"/>
    <w:basedOn w:val="BodycopyBodycontent"/>
    <w:uiPriority w:val="99"/>
    <w:rsid w:val="00062808"/>
    <w:rPr>
      <w:sz w:val="20"/>
      <w:szCs w:val="20"/>
    </w:rPr>
  </w:style>
  <w:style w:type="paragraph" w:customStyle="1" w:styleId="TablebodyLTables">
    <w:name w:val="Table body L (Tables)"/>
    <w:basedOn w:val="NoParagraphStyle"/>
    <w:uiPriority w:val="99"/>
    <w:rsid w:val="00062808"/>
    <w:pPr>
      <w:tabs>
        <w:tab w:val="right" w:pos="5315"/>
      </w:tabs>
      <w:suppressAutoHyphens/>
      <w:spacing w:line="260" w:lineRule="atLeast"/>
    </w:pPr>
    <w:rPr>
      <w:rFonts w:ascii="Calibri" w:hAnsi="Calibri" w:cs="Calibri"/>
      <w:sz w:val="22"/>
      <w:szCs w:val="22"/>
      <w:lang w:val="en-GB"/>
    </w:rPr>
  </w:style>
  <w:style w:type="paragraph" w:customStyle="1" w:styleId="TableheadL1Tables">
    <w:name w:val="Table head_L1 (Tables)"/>
    <w:basedOn w:val="NoParagraphStyle"/>
    <w:uiPriority w:val="99"/>
    <w:rsid w:val="00062808"/>
    <w:pPr>
      <w:tabs>
        <w:tab w:val="right" w:pos="1572"/>
        <w:tab w:val="right" w:pos="3144"/>
        <w:tab w:val="right" w:pos="5315"/>
      </w:tabs>
      <w:suppressAutoHyphens/>
      <w:spacing w:after="115" w:line="260" w:lineRule="atLeast"/>
    </w:pPr>
    <w:rPr>
      <w:rFonts w:ascii="Calibri-Bold" w:hAnsi="Calibri-Bold" w:cs="Calibri-Bold"/>
      <w:b/>
      <w:bCs/>
      <w:sz w:val="22"/>
      <w:szCs w:val="22"/>
      <w:lang w:val="en-GB"/>
    </w:rPr>
  </w:style>
  <w:style w:type="paragraph" w:customStyle="1" w:styleId="BasicParagraph">
    <w:name w:val="[Basic Paragraph]"/>
    <w:basedOn w:val="NoParagraphStyle"/>
    <w:uiPriority w:val="99"/>
    <w:rsid w:val="00062808"/>
    <w:rPr>
      <w:lang w:val="en-GB"/>
    </w:rPr>
  </w:style>
  <w:style w:type="paragraph" w:customStyle="1" w:styleId="TablebulletL1Tables">
    <w:name w:val="Table bullet_L1 (Tables)"/>
    <w:basedOn w:val="BasicParagraph"/>
    <w:uiPriority w:val="99"/>
    <w:rsid w:val="00062808"/>
    <w:pPr>
      <w:spacing w:line="260" w:lineRule="atLeast"/>
      <w:ind w:left="170" w:hanging="170"/>
    </w:pPr>
    <w:rPr>
      <w:rFonts w:ascii="Calibri" w:hAnsi="Calibri" w:cs="Calibri"/>
      <w:sz w:val="22"/>
      <w:szCs w:val="22"/>
    </w:rPr>
  </w:style>
  <w:style w:type="paragraph" w:customStyle="1" w:styleId="TableHeading1Tables">
    <w:name w:val="Table Heading 1 (Tables)"/>
    <w:basedOn w:val="NoParagraphStyle"/>
    <w:uiPriority w:val="99"/>
    <w:rsid w:val="00062808"/>
    <w:pPr>
      <w:suppressAutoHyphens/>
      <w:spacing w:before="170" w:after="57" w:line="260" w:lineRule="atLeast"/>
    </w:pPr>
    <w:rPr>
      <w:rFonts w:ascii="Calibri-Bold" w:hAnsi="Calibri-Bold" w:cs="Calibri-Bold"/>
      <w:b/>
      <w:bCs/>
      <w:sz w:val="22"/>
      <w:szCs w:val="22"/>
      <w:lang w:val="en-GB"/>
    </w:rPr>
  </w:style>
  <w:style w:type="paragraph" w:customStyle="1" w:styleId="HeadingCHeadings">
    <w:name w:val="Heading C (Headings)"/>
    <w:basedOn w:val="NoParagraphStyle"/>
    <w:next w:val="NoParagraphStyle"/>
    <w:uiPriority w:val="99"/>
    <w:rsid w:val="00062808"/>
    <w:pPr>
      <w:suppressAutoHyphens/>
      <w:spacing w:before="85" w:after="85" w:line="260" w:lineRule="atLeast"/>
    </w:pPr>
    <w:rPr>
      <w:rFonts w:ascii="Calibri-Bold" w:hAnsi="Calibri-Bold" w:cs="Calibri-Bold"/>
      <w:b/>
      <w:bCs/>
      <w:lang w:val="en-GB"/>
    </w:rPr>
  </w:style>
  <w:style w:type="paragraph" w:customStyle="1" w:styleId="HeadingDHeadings">
    <w:name w:val="Heading D (Headings)"/>
    <w:basedOn w:val="HeadingCHeadings"/>
    <w:uiPriority w:val="99"/>
    <w:rsid w:val="00062808"/>
    <w:rPr>
      <w:rFonts w:ascii="Calibri-Italic" w:hAnsi="Calibri-Italic" w:cs="Calibri-Italic"/>
      <w:b w:val="0"/>
      <w:bCs w:val="0"/>
      <w:i/>
      <w:iCs/>
      <w:sz w:val="22"/>
      <w:szCs w:val="22"/>
    </w:rPr>
  </w:style>
  <w:style w:type="paragraph" w:customStyle="1" w:styleId="BodybulletL3Bodycontent">
    <w:name w:val="Body bullet_L3 (Body content)"/>
    <w:basedOn w:val="BodybulletL1Bodycontent"/>
    <w:uiPriority w:val="99"/>
    <w:rsid w:val="00062808"/>
    <w:pPr>
      <w:ind w:left="510"/>
    </w:pPr>
  </w:style>
  <w:style w:type="paragraph" w:customStyle="1" w:styleId="ColorfulList-Accent11">
    <w:name w:val="Colorful List - Accent 11"/>
    <w:basedOn w:val="Normal"/>
    <w:uiPriority w:val="99"/>
    <w:rsid w:val="00062808"/>
    <w:pPr>
      <w:widowControl w:val="0"/>
      <w:autoSpaceDE w:val="0"/>
      <w:autoSpaceDN w:val="0"/>
      <w:adjustRightInd w:val="0"/>
      <w:snapToGrid/>
      <w:spacing w:after="0" w:line="288" w:lineRule="auto"/>
      <w:textAlignment w:val="center"/>
    </w:pPr>
    <w:rPr>
      <w:rFonts w:ascii="ArialNarrow" w:eastAsia="Cambria" w:hAnsi="ArialNarrow" w:cs="ArialNarrow"/>
      <w:color w:val="000000"/>
      <w:szCs w:val="22"/>
      <w:lang w:val="en-US"/>
    </w:rPr>
  </w:style>
  <w:style w:type="character" w:customStyle="1" w:styleId="EndnoteReference1">
    <w:name w:val="Endnote Reference1"/>
    <w:uiPriority w:val="99"/>
    <w:rsid w:val="00062808"/>
    <w:rPr>
      <w:w w:val="100"/>
      <w:vertAlign w:val="superscript"/>
    </w:rPr>
  </w:style>
  <w:style w:type="character" w:customStyle="1" w:styleId="WordImportedListStyle9StylesforWordRTFImportedLists">
    <w:name w:val="Word Imported List Style9 (Styles for Word/RTF Imported Lists)"/>
    <w:uiPriority w:val="99"/>
    <w:rsid w:val="00062808"/>
    <w:rPr>
      <w:rFonts w:ascii="Symbol" w:hAnsi="Symbol" w:cs="Symbol"/>
      <w:w w:val="100"/>
      <w:lang w:val="en-US"/>
    </w:rPr>
  </w:style>
  <w:style w:type="character" w:customStyle="1" w:styleId="WordImportedListStyle26StylesforWordRTFImportedLists">
    <w:name w:val="Word Imported List Style26 (Styles for Word/RTF Imported Lists)"/>
    <w:uiPriority w:val="99"/>
    <w:rsid w:val="00062808"/>
    <w:rPr>
      <w:rFonts w:ascii="Wingdings" w:hAnsi="Wingdings" w:cs="Wingdings"/>
      <w:w w:val="100"/>
      <w:lang w:val="en-US"/>
    </w:rPr>
  </w:style>
  <w:style w:type="paragraph" w:customStyle="1" w:styleId="Imprintcopy">
    <w:name w:val="Imprint copy"/>
    <w:basedOn w:val="BasicParagraph"/>
    <w:uiPriority w:val="99"/>
    <w:rsid w:val="00062808"/>
    <w:pPr>
      <w:spacing w:before="57" w:line="200" w:lineRule="atLeast"/>
    </w:pPr>
    <w:rPr>
      <w:rFonts w:ascii="Calibri" w:hAnsi="Calibri" w:cs="Calibri"/>
      <w:sz w:val="16"/>
      <w:szCs w:val="16"/>
    </w:rPr>
  </w:style>
  <w:style w:type="paragraph" w:customStyle="1" w:styleId="zFooter">
    <w:name w:val="_zFooter"/>
    <w:uiPriority w:val="99"/>
    <w:rsid w:val="00062808"/>
    <w:pPr>
      <w:tabs>
        <w:tab w:val="right" w:pos="9639"/>
      </w:tabs>
      <w:jc w:val="center"/>
    </w:pPr>
    <w:rPr>
      <w:rFonts w:ascii="Calibri" w:hAnsi="Calibri"/>
      <w:szCs w:val="24"/>
    </w:rPr>
  </w:style>
  <w:style w:type="character" w:customStyle="1" w:styleId="zRptPgNum">
    <w:name w:val="_zRptPgNum"/>
    <w:uiPriority w:val="99"/>
    <w:rsid w:val="00062808"/>
    <w:rPr>
      <w:rFonts w:ascii="Calibri" w:hAnsi="Calibri"/>
      <w:color w:val="228591"/>
      <w:sz w:val="16"/>
    </w:rPr>
  </w:style>
  <w:style w:type="paragraph" w:customStyle="1" w:styleId="Pa3">
    <w:name w:val="Pa3"/>
    <w:basedOn w:val="Normal"/>
    <w:next w:val="Normal"/>
    <w:uiPriority w:val="99"/>
    <w:rsid w:val="00062808"/>
    <w:pPr>
      <w:autoSpaceDE w:val="0"/>
      <w:autoSpaceDN w:val="0"/>
      <w:adjustRightInd w:val="0"/>
      <w:snapToGrid/>
      <w:spacing w:after="0" w:line="741" w:lineRule="atLeast"/>
    </w:pPr>
    <w:rPr>
      <w:rFonts w:ascii="HelveticaNeueLT Pro 75 Bd" w:eastAsiaTheme="minorHAnsi" w:hAnsi="HelveticaNeueLT Pro 75 Bd" w:cstheme="minorBidi"/>
      <w:color w:val="auto"/>
      <w:sz w:val="24"/>
      <w:szCs w:val="24"/>
    </w:rPr>
  </w:style>
  <w:style w:type="paragraph" w:customStyle="1" w:styleId="paragraph">
    <w:name w:val="paragraph"/>
    <w:basedOn w:val="Normal"/>
    <w:rsid w:val="00062808"/>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findhit">
    <w:name w:val="findhit"/>
    <w:basedOn w:val="DefaultParagraphFont"/>
    <w:rsid w:val="00062808"/>
  </w:style>
  <w:style w:type="character" w:customStyle="1" w:styleId="normaltextrun">
    <w:name w:val="normaltextrun"/>
    <w:basedOn w:val="DefaultParagraphFont"/>
    <w:rsid w:val="00062808"/>
  </w:style>
  <w:style w:type="character" w:customStyle="1" w:styleId="eop">
    <w:name w:val="eop"/>
    <w:basedOn w:val="DefaultParagraphFont"/>
    <w:rsid w:val="00062808"/>
  </w:style>
  <w:style w:type="paragraph" w:customStyle="1" w:styleId="msonormal0">
    <w:name w:val="msonormal"/>
    <w:basedOn w:val="Normal"/>
    <w:rsid w:val="00605C77"/>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l104">
    <w:name w:val="xl104"/>
    <w:basedOn w:val="Normal"/>
    <w:rsid w:val="00605C77"/>
    <w:pPr>
      <w:snapToGrid/>
      <w:spacing w:before="100" w:beforeAutospacing="1" w:after="100" w:afterAutospacing="1" w:line="240" w:lineRule="auto"/>
    </w:pPr>
    <w:rPr>
      <w:rFonts w:ascii="Arial Narrow" w:eastAsia="Times New Roman" w:hAnsi="Arial Narrow" w:cs="Times New Roman"/>
      <w:color w:val="auto"/>
      <w:sz w:val="16"/>
      <w:szCs w:val="16"/>
      <w:lang w:eastAsia="en-AU"/>
    </w:rPr>
  </w:style>
  <w:style w:type="paragraph" w:customStyle="1" w:styleId="xl105">
    <w:name w:val="xl105"/>
    <w:basedOn w:val="Normal"/>
    <w:rsid w:val="00605C77"/>
    <w:pPr>
      <w:snapToGrid/>
      <w:spacing w:before="100" w:beforeAutospacing="1" w:after="100" w:afterAutospacing="1" w:line="240" w:lineRule="auto"/>
      <w:ind w:firstLineChars="100" w:firstLine="100"/>
    </w:pPr>
    <w:rPr>
      <w:rFonts w:ascii="Arial Narrow" w:eastAsia="Times New Roman" w:hAnsi="Arial Narrow" w:cs="Times New Roman"/>
      <w:color w:val="auto"/>
      <w:sz w:val="16"/>
      <w:szCs w:val="16"/>
      <w:lang w:eastAsia="en-AU"/>
    </w:rPr>
  </w:style>
  <w:style w:type="paragraph" w:customStyle="1" w:styleId="xl106">
    <w:name w:val="xl106"/>
    <w:basedOn w:val="Normal"/>
    <w:rsid w:val="00605C77"/>
    <w:pPr>
      <w:pBdr>
        <w:top w:val="single" w:sz="4" w:space="0" w:color="auto"/>
        <w:bottom w:val="single" w:sz="4" w:space="0" w:color="auto"/>
      </w:pBdr>
      <w:snapToGrid/>
      <w:spacing w:before="100" w:beforeAutospacing="1" w:after="100" w:afterAutospacing="1" w:line="240" w:lineRule="auto"/>
    </w:pPr>
    <w:rPr>
      <w:rFonts w:ascii="Arial Narrow" w:eastAsia="Times New Roman" w:hAnsi="Arial Narrow" w:cs="Times New Roman"/>
      <w:color w:val="auto"/>
      <w:sz w:val="16"/>
      <w:szCs w:val="16"/>
      <w:lang w:eastAsia="en-AU"/>
    </w:rPr>
  </w:style>
  <w:style w:type="paragraph" w:customStyle="1" w:styleId="xl107">
    <w:name w:val="xl107"/>
    <w:basedOn w:val="Normal"/>
    <w:rsid w:val="00605C77"/>
    <w:pPr>
      <w:pBdr>
        <w:top w:val="single" w:sz="4" w:space="0" w:color="auto"/>
        <w:bottom w:val="single" w:sz="4" w:space="0" w:color="auto"/>
      </w:pBdr>
      <w:snapToGrid/>
      <w:spacing w:before="100" w:beforeAutospacing="1" w:after="100" w:afterAutospacing="1" w:line="240" w:lineRule="auto"/>
    </w:pPr>
    <w:rPr>
      <w:rFonts w:ascii="Arial Narrow" w:eastAsia="Times New Roman" w:hAnsi="Arial Narrow" w:cs="Times New Roman"/>
      <w:b/>
      <w:bCs/>
      <w:color w:val="auto"/>
      <w:sz w:val="16"/>
      <w:szCs w:val="16"/>
      <w:lang w:eastAsia="en-AU"/>
    </w:rPr>
  </w:style>
  <w:style w:type="paragraph" w:customStyle="1" w:styleId="xl108">
    <w:name w:val="xl108"/>
    <w:basedOn w:val="Normal"/>
    <w:rsid w:val="00605C77"/>
    <w:pPr>
      <w:snapToGrid/>
      <w:spacing w:before="100" w:beforeAutospacing="1" w:after="100" w:afterAutospacing="1" w:line="240" w:lineRule="auto"/>
      <w:textAlignment w:val="center"/>
    </w:pPr>
    <w:rPr>
      <w:rFonts w:ascii="Arial Narrow" w:eastAsia="Times New Roman" w:hAnsi="Arial Narrow" w:cs="Times New Roman"/>
      <w:color w:val="auto"/>
      <w:sz w:val="16"/>
      <w:szCs w:val="16"/>
      <w:lang w:eastAsia="en-AU"/>
    </w:rPr>
  </w:style>
  <w:style w:type="paragraph" w:customStyle="1" w:styleId="xl109">
    <w:name w:val="xl109"/>
    <w:basedOn w:val="Normal"/>
    <w:rsid w:val="00605C77"/>
    <w:pPr>
      <w:snapToGrid/>
      <w:spacing w:before="100" w:beforeAutospacing="1" w:after="100" w:afterAutospacing="1" w:line="240" w:lineRule="auto"/>
    </w:pPr>
    <w:rPr>
      <w:rFonts w:ascii="Arial Narrow" w:eastAsia="Times New Roman" w:hAnsi="Arial Narrow" w:cs="Times New Roman"/>
      <w:color w:val="auto"/>
      <w:sz w:val="16"/>
      <w:szCs w:val="16"/>
      <w:lang w:eastAsia="en-AU"/>
    </w:rPr>
  </w:style>
  <w:style w:type="paragraph" w:customStyle="1" w:styleId="xl110">
    <w:name w:val="xl110"/>
    <w:basedOn w:val="Normal"/>
    <w:rsid w:val="00605C77"/>
    <w:pPr>
      <w:snapToGrid/>
      <w:spacing w:before="100" w:beforeAutospacing="1" w:after="100" w:afterAutospacing="1" w:line="240" w:lineRule="auto"/>
    </w:pPr>
    <w:rPr>
      <w:rFonts w:ascii="Arial" w:eastAsia="Times New Roman" w:hAnsi="Arial"/>
      <w:color w:val="auto"/>
      <w:sz w:val="16"/>
      <w:szCs w:val="16"/>
      <w:lang w:eastAsia="en-AU"/>
    </w:rPr>
  </w:style>
  <w:style w:type="paragraph" w:customStyle="1" w:styleId="xl111">
    <w:name w:val="xl111"/>
    <w:basedOn w:val="Normal"/>
    <w:rsid w:val="00605C77"/>
    <w:pPr>
      <w:snapToGrid/>
      <w:spacing w:before="100" w:beforeAutospacing="1" w:after="100" w:afterAutospacing="1" w:line="240" w:lineRule="auto"/>
    </w:pPr>
    <w:rPr>
      <w:rFonts w:ascii="Arial Narrow" w:eastAsia="Times New Roman" w:hAnsi="Arial Narrow" w:cs="Times New Roman"/>
      <w:b/>
      <w:bCs/>
      <w:color w:val="auto"/>
      <w:sz w:val="16"/>
      <w:szCs w:val="16"/>
      <w:lang w:eastAsia="en-AU"/>
    </w:rPr>
  </w:style>
  <w:style w:type="paragraph" w:customStyle="1" w:styleId="xl112">
    <w:name w:val="xl112"/>
    <w:basedOn w:val="Normal"/>
    <w:rsid w:val="00605C77"/>
    <w:pPr>
      <w:snapToGrid/>
      <w:spacing w:before="100" w:beforeAutospacing="1" w:after="100" w:afterAutospacing="1" w:line="240" w:lineRule="auto"/>
      <w:ind w:firstLineChars="100" w:firstLine="100"/>
    </w:pPr>
    <w:rPr>
      <w:rFonts w:ascii="Arial Narrow" w:eastAsia="Times New Roman" w:hAnsi="Arial Narrow" w:cs="Times New Roman"/>
      <w:b/>
      <w:bCs/>
      <w:color w:val="auto"/>
      <w:sz w:val="16"/>
      <w:szCs w:val="16"/>
      <w:lang w:eastAsia="en-AU"/>
    </w:rPr>
  </w:style>
  <w:style w:type="paragraph" w:customStyle="1" w:styleId="xl113">
    <w:name w:val="xl113"/>
    <w:basedOn w:val="Normal"/>
    <w:rsid w:val="00605C77"/>
    <w:pPr>
      <w:shd w:val="clear" w:color="000000" w:fill="4F81BD"/>
      <w:snapToGrid/>
      <w:spacing w:before="100" w:beforeAutospacing="1" w:after="100" w:afterAutospacing="1" w:line="240" w:lineRule="auto"/>
    </w:pPr>
    <w:rPr>
      <w:rFonts w:ascii="Arial Narrow" w:eastAsia="Times New Roman" w:hAnsi="Arial Narrow" w:cs="Times New Roman"/>
      <w:color w:val="FFFFFF"/>
      <w:sz w:val="16"/>
      <w:szCs w:val="16"/>
      <w:lang w:eastAsia="en-AU"/>
    </w:rPr>
  </w:style>
  <w:style w:type="paragraph" w:customStyle="1" w:styleId="xl114">
    <w:name w:val="xl114"/>
    <w:basedOn w:val="Normal"/>
    <w:rsid w:val="00605C77"/>
    <w:pPr>
      <w:shd w:val="clear" w:color="000000" w:fill="4F81BD"/>
      <w:snapToGrid/>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n-AU"/>
    </w:rPr>
  </w:style>
  <w:style w:type="paragraph" w:customStyle="1" w:styleId="xl115">
    <w:name w:val="xl115"/>
    <w:basedOn w:val="Normal"/>
    <w:rsid w:val="00605C77"/>
    <w:pPr>
      <w:shd w:val="clear" w:color="000000" w:fill="4F81BD"/>
      <w:snapToGrid/>
      <w:spacing w:before="100" w:beforeAutospacing="1" w:after="100" w:afterAutospacing="1" w:line="240" w:lineRule="auto"/>
    </w:pPr>
    <w:rPr>
      <w:rFonts w:ascii="Calibri" w:eastAsia="Times New Roman" w:hAnsi="Calibri" w:cs="Calibri"/>
      <w:color w:val="FFFFFF"/>
      <w:sz w:val="16"/>
      <w:szCs w:val="16"/>
      <w:lang w:eastAsia="en-AU"/>
    </w:rPr>
  </w:style>
  <w:style w:type="paragraph" w:customStyle="1" w:styleId="xl116">
    <w:name w:val="xl116"/>
    <w:basedOn w:val="Normal"/>
    <w:rsid w:val="00605C77"/>
    <w:pPr>
      <w:shd w:val="clear" w:color="000000" w:fill="4F81BD"/>
      <w:snapToGrid/>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n-AU"/>
    </w:rPr>
  </w:style>
  <w:style w:type="paragraph" w:customStyle="1" w:styleId="xl117">
    <w:name w:val="xl117"/>
    <w:basedOn w:val="Normal"/>
    <w:rsid w:val="00996DD1"/>
    <w:pPr>
      <w:shd w:val="clear" w:color="000000" w:fill="4F81BD"/>
      <w:snapToGrid/>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n-AU"/>
    </w:rPr>
  </w:style>
  <w:style w:type="paragraph" w:customStyle="1" w:styleId="xl118">
    <w:name w:val="xl118"/>
    <w:basedOn w:val="Normal"/>
    <w:rsid w:val="00996DD1"/>
    <w:pPr>
      <w:shd w:val="clear" w:color="000000" w:fill="4F81BD"/>
      <w:snapToGrid/>
      <w:spacing w:before="100" w:beforeAutospacing="1" w:after="100" w:afterAutospacing="1" w:line="240" w:lineRule="auto"/>
    </w:pPr>
    <w:rPr>
      <w:rFonts w:ascii="Calibri" w:eastAsia="Times New Roman" w:hAnsi="Calibri" w:cs="Calibri"/>
      <w:color w:val="FFFFFF"/>
      <w:sz w:val="16"/>
      <w:szCs w:val="16"/>
      <w:lang w:eastAsia="en-AU"/>
    </w:rPr>
  </w:style>
  <w:style w:type="paragraph" w:customStyle="1" w:styleId="xl119">
    <w:name w:val="xl119"/>
    <w:basedOn w:val="Normal"/>
    <w:rsid w:val="00996DD1"/>
    <w:pPr>
      <w:shd w:val="clear" w:color="000000" w:fill="4F81BD"/>
      <w:snapToGrid/>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n-AU"/>
    </w:rPr>
  </w:style>
  <w:style w:type="paragraph" w:customStyle="1" w:styleId="xl120">
    <w:name w:val="xl120"/>
    <w:basedOn w:val="Normal"/>
    <w:rsid w:val="00996DD1"/>
    <w:pPr>
      <w:shd w:val="clear" w:color="000000" w:fill="4F81BD"/>
      <w:snapToGrid/>
      <w:spacing w:before="100" w:beforeAutospacing="1" w:after="100" w:afterAutospacing="1" w:line="240" w:lineRule="auto"/>
    </w:pPr>
    <w:rPr>
      <w:rFonts w:ascii="Arial Narrow" w:eastAsia="Times New Roman" w:hAnsi="Arial Narrow" w:cs="Times New Roman"/>
      <w:b/>
      <w:bCs/>
      <w:color w:val="FFFFFF"/>
      <w:sz w:val="16"/>
      <w:szCs w:val="16"/>
      <w:lang w:eastAsia="en-AU"/>
    </w:rPr>
  </w:style>
  <w:style w:type="paragraph" w:customStyle="1" w:styleId="xl121">
    <w:name w:val="xl121"/>
    <w:basedOn w:val="Normal"/>
    <w:rsid w:val="00996DD1"/>
    <w:pPr>
      <w:snapToGrid/>
      <w:spacing w:before="100" w:beforeAutospacing="1" w:after="100" w:afterAutospacing="1" w:line="240" w:lineRule="auto"/>
      <w:jc w:val="center"/>
    </w:pPr>
    <w:rPr>
      <w:rFonts w:ascii="Arial Narrow" w:eastAsia="Times New Roman" w:hAnsi="Arial Narrow" w:cs="Times New Roman"/>
      <w:b/>
      <w:bCs/>
      <w:color w:val="auto"/>
      <w:sz w:val="16"/>
      <w:szCs w:val="16"/>
      <w:lang w:eastAsia="en-AU"/>
    </w:rPr>
  </w:style>
  <w:style w:type="paragraph" w:customStyle="1" w:styleId="xl122">
    <w:name w:val="xl122"/>
    <w:basedOn w:val="Normal"/>
    <w:rsid w:val="006801CF"/>
    <w:pPr>
      <w:snapToGrid/>
      <w:spacing w:before="100" w:beforeAutospacing="1" w:after="100" w:afterAutospacing="1" w:line="240" w:lineRule="auto"/>
      <w:jc w:val="center"/>
    </w:pPr>
    <w:rPr>
      <w:rFonts w:ascii="Arial Narrow" w:eastAsia="Times New Roman" w:hAnsi="Arial Narrow" w:cs="Times New Roman"/>
      <w:b/>
      <w:bCs/>
      <w:color w:val="auto"/>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7324">
      <w:bodyDiv w:val="1"/>
      <w:marLeft w:val="0"/>
      <w:marRight w:val="0"/>
      <w:marTop w:val="0"/>
      <w:marBottom w:val="0"/>
      <w:divBdr>
        <w:top w:val="none" w:sz="0" w:space="0" w:color="auto"/>
        <w:left w:val="none" w:sz="0" w:space="0" w:color="auto"/>
        <w:bottom w:val="none" w:sz="0" w:space="0" w:color="auto"/>
        <w:right w:val="none" w:sz="0" w:space="0" w:color="auto"/>
      </w:divBdr>
    </w:div>
    <w:div w:id="87040676">
      <w:bodyDiv w:val="1"/>
      <w:marLeft w:val="0"/>
      <w:marRight w:val="0"/>
      <w:marTop w:val="0"/>
      <w:marBottom w:val="0"/>
      <w:divBdr>
        <w:top w:val="none" w:sz="0" w:space="0" w:color="auto"/>
        <w:left w:val="none" w:sz="0" w:space="0" w:color="auto"/>
        <w:bottom w:val="none" w:sz="0" w:space="0" w:color="auto"/>
        <w:right w:val="none" w:sz="0" w:space="0" w:color="auto"/>
      </w:divBdr>
    </w:div>
    <w:div w:id="184364842">
      <w:bodyDiv w:val="1"/>
      <w:marLeft w:val="0"/>
      <w:marRight w:val="0"/>
      <w:marTop w:val="0"/>
      <w:marBottom w:val="0"/>
      <w:divBdr>
        <w:top w:val="none" w:sz="0" w:space="0" w:color="auto"/>
        <w:left w:val="none" w:sz="0" w:space="0" w:color="auto"/>
        <w:bottom w:val="none" w:sz="0" w:space="0" w:color="auto"/>
        <w:right w:val="none" w:sz="0" w:space="0" w:color="auto"/>
      </w:divBdr>
    </w:div>
    <w:div w:id="246430261">
      <w:bodyDiv w:val="1"/>
      <w:marLeft w:val="0"/>
      <w:marRight w:val="0"/>
      <w:marTop w:val="0"/>
      <w:marBottom w:val="0"/>
      <w:divBdr>
        <w:top w:val="none" w:sz="0" w:space="0" w:color="auto"/>
        <w:left w:val="none" w:sz="0" w:space="0" w:color="auto"/>
        <w:bottom w:val="none" w:sz="0" w:space="0" w:color="auto"/>
        <w:right w:val="none" w:sz="0" w:space="0" w:color="auto"/>
      </w:divBdr>
    </w:div>
    <w:div w:id="300113594">
      <w:bodyDiv w:val="1"/>
      <w:marLeft w:val="0"/>
      <w:marRight w:val="0"/>
      <w:marTop w:val="0"/>
      <w:marBottom w:val="0"/>
      <w:divBdr>
        <w:top w:val="none" w:sz="0" w:space="0" w:color="auto"/>
        <w:left w:val="none" w:sz="0" w:space="0" w:color="auto"/>
        <w:bottom w:val="none" w:sz="0" w:space="0" w:color="auto"/>
        <w:right w:val="none" w:sz="0" w:space="0" w:color="auto"/>
      </w:divBdr>
    </w:div>
    <w:div w:id="336660064">
      <w:bodyDiv w:val="1"/>
      <w:marLeft w:val="0"/>
      <w:marRight w:val="0"/>
      <w:marTop w:val="0"/>
      <w:marBottom w:val="0"/>
      <w:divBdr>
        <w:top w:val="none" w:sz="0" w:space="0" w:color="auto"/>
        <w:left w:val="none" w:sz="0" w:space="0" w:color="auto"/>
        <w:bottom w:val="none" w:sz="0" w:space="0" w:color="auto"/>
        <w:right w:val="none" w:sz="0" w:space="0" w:color="auto"/>
      </w:divBdr>
    </w:div>
    <w:div w:id="428046137">
      <w:bodyDiv w:val="1"/>
      <w:marLeft w:val="0"/>
      <w:marRight w:val="0"/>
      <w:marTop w:val="0"/>
      <w:marBottom w:val="0"/>
      <w:divBdr>
        <w:top w:val="none" w:sz="0" w:space="0" w:color="auto"/>
        <w:left w:val="none" w:sz="0" w:space="0" w:color="auto"/>
        <w:bottom w:val="none" w:sz="0" w:space="0" w:color="auto"/>
        <w:right w:val="none" w:sz="0" w:space="0" w:color="auto"/>
      </w:divBdr>
    </w:div>
    <w:div w:id="461654221">
      <w:bodyDiv w:val="1"/>
      <w:marLeft w:val="0"/>
      <w:marRight w:val="0"/>
      <w:marTop w:val="0"/>
      <w:marBottom w:val="0"/>
      <w:divBdr>
        <w:top w:val="none" w:sz="0" w:space="0" w:color="auto"/>
        <w:left w:val="none" w:sz="0" w:space="0" w:color="auto"/>
        <w:bottom w:val="none" w:sz="0" w:space="0" w:color="auto"/>
        <w:right w:val="none" w:sz="0" w:space="0" w:color="auto"/>
      </w:divBdr>
    </w:div>
    <w:div w:id="544802616">
      <w:bodyDiv w:val="1"/>
      <w:marLeft w:val="0"/>
      <w:marRight w:val="0"/>
      <w:marTop w:val="0"/>
      <w:marBottom w:val="0"/>
      <w:divBdr>
        <w:top w:val="none" w:sz="0" w:space="0" w:color="auto"/>
        <w:left w:val="none" w:sz="0" w:space="0" w:color="auto"/>
        <w:bottom w:val="none" w:sz="0" w:space="0" w:color="auto"/>
        <w:right w:val="none" w:sz="0" w:space="0" w:color="auto"/>
      </w:divBdr>
    </w:div>
    <w:div w:id="553658798">
      <w:bodyDiv w:val="1"/>
      <w:marLeft w:val="0"/>
      <w:marRight w:val="0"/>
      <w:marTop w:val="0"/>
      <w:marBottom w:val="0"/>
      <w:divBdr>
        <w:top w:val="none" w:sz="0" w:space="0" w:color="auto"/>
        <w:left w:val="none" w:sz="0" w:space="0" w:color="auto"/>
        <w:bottom w:val="none" w:sz="0" w:space="0" w:color="auto"/>
        <w:right w:val="none" w:sz="0" w:space="0" w:color="auto"/>
      </w:divBdr>
    </w:div>
    <w:div w:id="575945582">
      <w:bodyDiv w:val="1"/>
      <w:marLeft w:val="0"/>
      <w:marRight w:val="0"/>
      <w:marTop w:val="0"/>
      <w:marBottom w:val="0"/>
      <w:divBdr>
        <w:top w:val="none" w:sz="0" w:space="0" w:color="auto"/>
        <w:left w:val="none" w:sz="0" w:space="0" w:color="auto"/>
        <w:bottom w:val="none" w:sz="0" w:space="0" w:color="auto"/>
        <w:right w:val="none" w:sz="0" w:space="0" w:color="auto"/>
      </w:divBdr>
    </w:div>
    <w:div w:id="580065623">
      <w:bodyDiv w:val="1"/>
      <w:marLeft w:val="0"/>
      <w:marRight w:val="0"/>
      <w:marTop w:val="0"/>
      <w:marBottom w:val="0"/>
      <w:divBdr>
        <w:top w:val="none" w:sz="0" w:space="0" w:color="auto"/>
        <w:left w:val="none" w:sz="0" w:space="0" w:color="auto"/>
        <w:bottom w:val="none" w:sz="0" w:space="0" w:color="auto"/>
        <w:right w:val="none" w:sz="0" w:space="0" w:color="auto"/>
      </w:divBdr>
    </w:div>
    <w:div w:id="667829078">
      <w:bodyDiv w:val="1"/>
      <w:marLeft w:val="0"/>
      <w:marRight w:val="0"/>
      <w:marTop w:val="0"/>
      <w:marBottom w:val="0"/>
      <w:divBdr>
        <w:top w:val="none" w:sz="0" w:space="0" w:color="auto"/>
        <w:left w:val="none" w:sz="0" w:space="0" w:color="auto"/>
        <w:bottom w:val="none" w:sz="0" w:space="0" w:color="auto"/>
        <w:right w:val="none" w:sz="0" w:space="0" w:color="auto"/>
      </w:divBdr>
    </w:div>
    <w:div w:id="742527045">
      <w:bodyDiv w:val="1"/>
      <w:marLeft w:val="0"/>
      <w:marRight w:val="0"/>
      <w:marTop w:val="0"/>
      <w:marBottom w:val="0"/>
      <w:divBdr>
        <w:top w:val="none" w:sz="0" w:space="0" w:color="auto"/>
        <w:left w:val="none" w:sz="0" w:space="0" w:color="auto"/>
        <w:bottom w:val="none" w:sz="0" w:space="0" w:color="auto"/>
        <w:right w:val="none" w:sz="0" w:space="0" w:color="auto"/>
      </w:divBdr>
    </w:div>
    <w:div w:id="771363813">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799373754">
      <w:bodyDiv w:val="1"/>
      <w:marLeft w:val="0"/>
      <w:marRight w:val="0"/>
      <w:marTop w:val="0"/>
      <w:marBottom w:val="0"/>
      <w:divBdr>
        <w:top w:val="none" w:sz="0" w:space="0" w:color="auto"/>
        <w:left w:val="none" w:sz="0" w:space="0" w:color="auto"/>
        <w:bottom w:val="none" w:sz="0" w:space="0" w:color="auto"/>
        <w:right w:val="none" w:sz="0" w:space="0" w:color="auto"/>
      </w:divBdr>
    </w:div>
    <w:div w:id="819730257">
      <w:bodyDiv w:val="1"/>
      <w:marLeft w:val="0"/>
      <w:marRight w:val="0"/>
      <w:marTop w:val="0"/>
      <w:marBottom w:val="0"/>
      <w:divBdr>
        <w:top w:val="none" w:sz="0" w:space="0" w:color="auto"/>
        <w:left w:val="none" w:sz="0" w:space="0" w:color="auto"/>
        <w:bottom w:val="none" w:sz="0" w:space="0" w:color="auto"/>
        <w:right w:val="none" w:sz="0" w:space="0" w:color="auto"/>
      </w:divBdr>
    </w:div>
    <w:div w:id="822239067">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840856163">
      <w:bodyDiv w:val="1"/>
      <w:marLeft w:val="0"/>
      <w:marRight w:val="0"/>
      <w:marTop w:val="0"/>
      <w:marBottom w:val="0"/>
      <w:divBdr>
        <w:top w:val="none" w:sz="0" w:space="0" w:color="auto"/>
        <w:left w:val="none" w:sz="0" w:space="0" w:color="auto"/>
        <w:bottom w:val="none" w:sz="0" w:space="0" w:color="auto"/>
        <w:right w:val="none" w:sz="0" w:space="0" w:color="auto"/>
      </w:divBdr>
    </w:div>
    <w:div w:id="1060321088">
      <w:bodyDiv w:val="1"/>
      <w:marLeft w:val="0"/>
      <w:marRight w:val="0"/>
      <w:marTop w:val="0"/>
      <w:marBottom w:val="0"/>
      <w:divBdr>
        <w:top w:val="none" w:sz="0" w:space="0" w:color="auto"/>
        <w:left w:val="none" w:sz="0" w:space="0" w:color="auto"/>
        <w:bottom w:val="none" w:sz="0" w:space="0" w:color="auto"/>
        <w:right w:val="none" w:sz="0" w:space="0" w:color="auto"/>
      </w:divBdr>
    </w:div>
    <w:div w:id="1075737509">
      <w:bodyDiv w:val="1"/>
      <w:marLeft w:val="0"/>
      <w:marRight w:val="0"/>
      <w:marTop w:val="0"/>
      <w:marBottom w:val="0"/>
      <w:divBdr>
        <w:top w:val="none" w:sz="0" w:space="0" w:color="auto"/>
        <w:left w:val="none" w:sz="0" w:space="0" w:color="auto"/>
        <w:bottom w:val="none" w:sz="0" w:space="0" w:color="auto"/>
        <w:right w:val="none" w:sz="0" w:space="0" w:color="auto"/>
      </w:divBdr>
    </w:div>
    <w:div w:id="1124428357">
      <w:bodyDiv w:val="1"/>
      <w:marLeft w:val="0"/>
      <w:marRight w:val="0"/>
      <w:marTop w:val="0"/>
      <w:marBottom w:val="0"/>
      <w:divBdr>
        <w:top w:val="none" w:sz="0" w:space="0" w:color="auto"/>
        <w:left w:val="none" w:sz="0" w:space="0" w:color="auto"/>
        <w:bottom w:val="none" w:sz="0" w:space="0" w:color="auto"/>
        <w:right w:val="none" w:sz="0" w:space="0" w:color="auto"/>
      </w:divBdr>
    </w:div>
    <w:div w:id="1192261944">
      <w:bodyDiv w:val="1"/>
      <w:marLeft w:val="0"/>
      <w:marRight w:val="0"/>
      <w:marTop w:val="0"/>
      <w:marBottom w:val="0"/>
      <w:divBdr>
        <w:top w:val="none" w:sz="0" w:space="0" w:color="auto"/>
        <w:left w:val="none" w:sz="0" w:space="0" w:color="auto"/>
        <w:bottom w:val="none" w:sz="0" w:space="0" w:color="auto"/>
        <w:right w:val="none" w:sz="0" w:space="0" w:color="auto"/>
      </w:divBdr>
    </w:div>
    <w:div w:id="1226989592">
      <w:bodyDiv w:val="1"/>
      <w:marLeft w:val="0"/>
      <w:marRight w:val="0"/>
      <w:marTop w:val="0"/>
      <w:marBottom w:val="0"/>
      <w:divBdr>
        <w:top w:val="none" w:sz="0" w:space="0" w:color="auto"/>
        <w:left w:val="none" w:sz="0" w:space="0" w:color="auto"/>
        <w:bottom w:val="none" w:sz="0" w:space="0" w:color="auto"/>
        <w:right w:val="none" w:sz="0" w:space="0" w:color="auto"/>
      </w:divBdr>
    </w:div>
    <w:div w:id="1232422387">
      <w:bodyDiv w:val="1"/>
      <w:marLeft w:val="0"/>
      <w:marRight w:val="0"/>
      <w:marTop w:val="0"/>
      <w:marBottom w:val="0"/>
      <w:divBdr>
        <w:top w:val="none" w:sz="0" w:space="0" w:color="auto"/>
        <w:left w:val="none" w:sz="0" w:space="0" w:color="auto"/>
        <w:bottom w:val="none" w:sz="0" w:space="0" w:color="auto"/>
        <w:right w:val="none" w:sz="0" w:space="0" w:color="auto"/>
      </w:divBdr>
    </w:div>
    <w:div w:id="1497066091">
      <w:bodyDiv w:val="1"/>
      <w:marLeft w:val="0"/>
      <w:marRight w:val="0"/>
      <w:marTop w:val="0"/>
      <w:marBottom w:val="0"/>
      <w:divBdr>
        <w:top w:val="none" w:sz="0" w:space="0" w:color="auto"/>
        <w:left w:val="none" w:sz="0" w:space="0" w:color="auto"/>
        <w:bottom w:val="none" w:sz="0" w:space="0" w:color="auto"/>
        <w:right w:val="none" w:sz="0" w:space="0" w:color="auto"/>
      </w:divBdr>
    </w:div>
    <w:div w:id="1497459532">
      <w:bodyDiv w:val="1"/>
      <w:marLeft w:val="0"/>
      <w:marRight w:val="0"/>
      <w:marTop w:val="0"/>
      <w:marBottom w:val="0"/>
      <w:divBdr>
        <w:top w:val="none" w:sz="0" w:space="0" w:color="auto"/>
        <w:left w:val="none" w:sz="0" w:space="0" w:color="auto"/>
        <w:bottom w:val="none" w:sz="0" w:space="0" w:color="auto"/>
        <w:right w:val="none" w:sz="0" w:space="0" w:color="auto"/>
      </w:divBdr>
    </w:div>
    <w:div w:id="1524056150">
      <w:bodyDiv w:val="1"/>
      <w:marLeft w:val="0"/>
      <w:marRight w:val="0"/>
      <w:marTop w:val="0"/>
      <w:marBottom w:val="0"/>
      <w:divBdr>
        <w:top w:val="none" w:sz="0" w:space="0" w:color="auto"/>
        <w:left w:val="none" w:sz="0" w:space="0" w:color="auto"/>
        <w:bottom w:val="none" w:sz="0" w:space="0" w:color="auto"/>
        <w:right w:val="none" w:sz="0" w:space="0" w:color="auto"/>
      </w:divBdr>
    </w:div>
    <w:div w:id="1528837250">
      <w:bodyDiv w:val="1"/>
      <w:marLeft w:val="0"/>
      <w:marRight w:val="0"/>
      <w:marTop w:val="0"/>
      <w:marBottom w:val="0"/>
      <w:divBdr>
        <w:top w:val="none" w:sz="0" w:space="0" w:color="auto"/>
        <w:left w:val="none" w:sz="0" w:space="0" w:color="auto"/>
        <w:bottom w:val="none" w:sz="0" w:space="0" w:color="auto"/>
        <w:right w:val="none" w:sz="0" w:space="0" w:color="auto"/>
      </w:divBdr>
    </w:div>
    <w:div w:id="1566530193">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616909658">
      <w:bodyDiv w:val="1"/>
      <w:marLeft w:val="0"/>
      <w:marRight w:val="0"/>
      <w:marTop w:val="0"/>
      <w:marBottom w:val="0"/>
      <w:divBdr>
        <w:top w:val="none" w:sz="0" w:space="0" w:color="auto"/>
        <w:left w:val="none" w:sz="0" w:space="0" w:color="auto"/>
        <w:bottom w:val="none" w:sz="0" w:space="0" w:color="auto"/>
        <w:right w:val="none" w:sz="0" w:space="0" w:color="auto"/>
      </w:divBdr>
    </w:div>
    <w:div w:id="1732775734">
      <w:bodyDiv w:val="1"/>
      <w:marLeft w:val="0"/>
      <w:marRight w:val="0"/>
      <w:marTop w:val="0"/>
      <w:marBottom w:val="0"/>
      <w:divBdr>
        <w:top w:val="none" w:sz="0" w:space="0" w:color="auto"/>
        <w:left w:val="none" w:sz="0" w:space="0" w:color="auto"/>
        <w:bottom w:val="none" w:sz="0" w:space="0" w:color="auto"/>
        <w:right w:val="none" w:sz="0" w:space="0" w:color="auto"/>
      </w:divBdr>
    </w:div>
    <w:div w:id="1736589920">
      <w:bodyDiv w:val="1"/>
      <w:marLeft w:val="0"/>
      <w:marRight w:val="0"/>
      <w:marTop w:val="0"/>
      <w:marBottom w:val="0"/>
      <w:divBdr>
        <w:top w:val="none" w:sz="0" w:space="0" w:color="auto"/>
        <w:left w:val="none" w:sz="0" w:space="0" w:color="auto"/>
        <w:bottom w:val="none" w:sz="0" w:space="0" w:color="auto"/>
        <w:right w:val="none" w:sz="0" w:space="0" w:color="auto"/>
      </w:divBdr>
    </w:div>
    <w:div w:id="1753352059">
      <w:bodyDiv w:val="1"/>
      <w:marLeft w:val="0"/>
      <w:marRight w:val="0"/>
      <w:marTop w:val="0"/>
      <w:marBottom w:val="0"/>
      <w:divBdr>
        <w:top w:val="none" w:sz="0" w:space="0" w:color="auto"/>
        <w:left w:val="none" w:sz="0" w:space="0" w:color="auto"/>
        <w:bottom w:val="none" w:sz="0" w:space="0" w:color="auto"/>
        <w:right w:val="none" w:sz="0" w:space="0" w:color="auto"/>
      </w:divBdr>
    </w:div>
    <w:div w:id="1799452748">
      <w:bodyDiv w:val="1"/>
      <w:marLeft w:val="0"/>
      <w:marRight w:val="0"/>
      <w:marTop w:val="0"/>
      <w:marBottom w:val="0"/>
      <w:divBdr>
        <w:top w:val="none" w:sz="0" w:space="0" w:color="auto"/>
        <w:left w:val="none" w:sz="0" w:space="0" w:color="auto"/>
        <w:bottom w:val="none" w:sz="0" w:space="0" w:color="auto"/>
        <w:right w:val="none" w:sz="0" w:space="0" w:color="auto"/>
      </w:divBdr>
    </w:div>
    <w:div w:id="1864586639">
      <w:bodyDiv w:val="1"/>
      <w:marLeft w:val="0"/>
      <w:marRight w:val="0"/>
      <w:marTop w:val="0"/>
      <w:marBottom w:val="0"/>
      <w:divBdr>
        <w:top w:val="none" w:sz="0" w:space="0" w:color="auto"/>
        <w:left w:val="none" w:sz="0" w:space="0" w:color="auto"/>
        <w:bottom w:val="none" w:sz="0" w:space="0" w:color="auto"/>
        <w:right w:val="none" w:sz="0" w:space="0" w:color="auto"/>
      </w:divBdr>
    </w:div>
    <w:div w:id="1865631741">
      <w:bodyDiv w:val="1"/>
      <w:marLeft w:val="0"/>
      <w:marRight w:val="0"/>
      <w:marTop w:val="0"/>
      <w:marBottom w:val="0"/>
      <w:divBdr>
        <w:top w:val="none" w:sz="0" w:space="0" w:color="auto"/>
        <w:left w:val="none" w:sz="0" w:space="0" w:color="auto"/>
        <w:bottom w:val="none" w:sz="0" w:space="0" w:color="auto"/>
        <w:right w:val="none" w:sz="0" w:space="0" w:color="auto"/>
      </w:divBdr>
    </w:div>
    <w:div w:id="1873759597">
      <w:bodyDiv w:val="1"/>
      <w:marLeft w:val="0"/>
      <w:marRight w:val="0"/>
      <w:marTop w:val="0"/>
      <w:marBottom w:val="0"/>
      <w:divBdr>
        <w:top w:val="none" w:sz="0" w:space="0" w:color="auto"/>
        <w:left w:val="none" w:sz="0" w:space="0" w:color="auto"/>
        <w:bottom w:val="none" w:sz="0" w:space="0" w:color="auto"/>
        <w:right w:val="none" w:sz="0" w:space="0" w:color="auto"/>
      </w:divBdr>
    </w:div>
    <w:div w:id="1922636583">
      <w:bodyDiv w:val="1"/>
      <w:marLeft w:val="0"/>
      <w:marRight w:val="0"/>
      <w:marTop w:val="0"/>
      <w:marBottom w:val="0"/>
      <w:divBdr>
        <w:top w:val="none" w:sz="0" w:space="0" w:color="auto"/>
        <w:left w:val="none" w:sz="0" w:space="0" w:color="auto"/>
        <w:bottom w:val="none" w:sz="0" w:space="0" w:color="auto"/>
        <w:right w:val="none" w:sz="0" w:space="0" w:color="auto"/>
      </w:divBdr>
    </w:div>
    <w:div w:id="1988364333">
      <w:bodyDiv w:val="1"/>
      <w:marLeft w:val="0"/>
      <w:marRight w:val="0"/>
      <w:marTop w:val="0"/>
      <w:marBottom w:val="0"/>
      <w:divBdr>
        <w:top w:val="none" w:sz="0" w:space="0" w:color="auto"/>
        <w:left w:val="none" w:sz="0" w:space="0" w:color="auto"/>
        <w:bottom w:val="none" w:sz="0" w:space="0" w:color="auto"/>
        <w:right w:val="none" w:sz="0" w:space="0" w:color="auto"/>
      </w:divBdr>
    </w:div>
    <w:div w:id="2052537953">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 w:id="2106266526">
      <w:bodyDiv w:val="1"/>
      <w:marLeft w:val="0"/>
      <w:marRight w:val="0"/>
      <w:marTop w:val="0"/>
      <w:marBottom w:val="0"/>
      <w:divBdr>
        <w:top w:val="none" w:sz="0" w:space="0" w:color="auto"/>
        <w:left w:val="none" w:sz="0" w:space="0" w:color="auto"/>
        <w:bottom w:val="none" w:sz="0" w:space="0" w:color="auto"/>
        <w:right w:val="none" w:sz="0" w:space="0" w:color="auto"/>
      </w:divBdr>
    </w:div>
    <w:div w:id="2108309194">
      <w:bodyDiv w:val="1"/>
      <w:marLeft w:val="0"/>
      <w:marRight w:val="0"/>
      <w:marTop w:val="0"/>
      <w:marBottom w:val="0"/>
      <w:divBdr>
        <w:top w:val="none" w:sz="0" w:space="0" w:color="auto"/>
        <w:left w:val="none" w:sz="0" w:space="0" w:color="auto"/>
        <w:bottom w:val="none" w:sz="0" w:space="0" w:color="auto"/>
        <w:right w:val="none" w:sz="0" w:space="0" w:color="auto"/>
      </w:divBdr>
    </w:div>
    <w:div w:id="214388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localgovernment.vic.gov.au/strengthening-councils/sector-guidance-planning-and-reportin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localgovernment.vic.gov.au/strengthening-councils/sector-guidance-planning-and-reportin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localgovernment.vic.gov.au/strengthening-councils/sector-guidance-planning-and-reporti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TaxCatchAll xmlns="97294fa0-7ac3-4fb8-b5f1-fec69ca7f6eb" xsi:nil="true"/>
    <lcf76f155ced4ddcb4097134ff3c332f xmlns="81d1fc91-8413-4a0e-aefa-04211a7b4a29">
      <Terms xmlns="http://schemas.microsoft.com/office/infopath/2007/PartnerControls"/>
    </lcf76f155ced4ddcb4097134ff3c332f>
  </documentManagement>
</p:properties>
</file>

<file path=customXml/item3.xml>��< ? x m l   v e r s i o n = " 1 . 0 "   e n c o d i n g = " u t f - 1 6 " ? > < K a p i s h F i l e n a m e T o U r i M a p p i n g s   x m l n s : x s i = " h t t p : / / w w w . w 3 . o r g / 2 0 0 1 / X M L S c h e m a - i n s t a n c e "   x m l n s : x s d = " h t t p : / / w w w . w 3 . o r g / 2 0 0 1 / X M L S c h e m a " / > 
</file>

<file path=customXml/item4.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031367038B5C4246BE55A60A950250D8" ma:contentTypeVersion="55" ma:contentTypeDescription="" ma:contentTypeScope="" ma:versionID="fc8f6ee481182fe5bf954d2c2a35962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81d1fc91-8413-4a0e-aefa-04211a7b4a29" targetNamespace="http://schemas.microsoft.com/office/2006/metadata/properties" ma:root="true" ma:fieldsID="21ee8ab5883d915a130f781094880970" ns1:_="" ns2:_="" ns3:_="" ns4:_="">
    <xsd:import namespace="http://schemas.microsoft.com/sharepoint/v3"/>
    <xsd:import namespace="97294fa0-7ac3-4fb8-b5f1-fec69ca7f6eb"/>
    <xsd:import namespace="http://schemas.microsoft.com/sharepoint/v3/fields"/>
    <xsd:import namespace="81d1fc91-8413-4a0e-aefa-04211a7b4a29"/>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MediaLengthInSeconds" minOccurs="0"/>
                <xsd:element ref="ns4:lcf76f155ced4ddcb4097134ff3c332f" minOccurs="0"/>
                <xsd:element ref="ns2: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element name="TaxCatchAll" ma:index="63"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1fc91-8413-4a0e-aefa-04211a7b4a29"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2.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97294fa0-7ac3-4fb8-b5f1-fec69ca7f6eb"/>
    <ds:schemaRef ds:uri="http://schemas.microsoft.com/sharepoint/v3"/>
    <ds:schemaRef ds:uri="http://schemas.microsoft.com/sharepoint/v3/fields"/>
    <ds:schemaRef ds:uri="81d1fc91-8413-4a0e-aefa-04211a7b4a29"/>
  </ds:schemaRefs>
</ds:datastoreItem>
</file>

<file path=customXml/itemProps3.xml><?xml version="1.0" encoding="utf-8"?>
<ds:datastoreItem xmlns:ds="http://schemas.openxmlformats.org/officeDocument/2006/customXml" ds:itemID="{3A336CAD-E389-49A0-B8DC-5D296CC48642}">
  <ds:schemaRefs>
    <ds:schemaRef ds:uri="http://www.w3.org/2001/XMLSchema"/>
  </ds:schemaRefs>
</ds:datastoreItem>
</file>

<file path=customXml/itemProps4.xml><?xml version="1.0" encoding="utf-8"?>
<ds:datastoreItem xmlns:ds="http://schemas.openxmlformats.org/officeDocument/2006/customXml" ds:itemID="{D1AEBEA8-E562-4832-8DC1-D6A025976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81d1fc91-8413-4a0e-aefa-04211a7b4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287029-858C-425E-B1A6-8CCA869DDC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1188</TotalTime>
  <Pages>20</Pages>
  <Words>4362</Words>
  <Characters>24869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Local Government Model Financial Plan 2024/25 - Better Practice Guide</vt:lpstr>
    </vt:vector>
  </TitlesOfParts>
  <Manager/>
  <Company/>
  <LinksUpToDate>false</LinksUpToDate>
  <CharactersWithSpaces>29173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Model Financial Plan 2025/26 - Better Practice Guide</dc:title>
  <dc:subject/>
  <dc:creator>Dori Angelatos (DPC)</dc:creator>
  <cp:keywords/>
  <dc:description/>
  <cp:lastModifiedBy>Daniel O'Shea (DGS)</cp:lastModifiedBy>
  <cp:revision>141</cp:revision>
  <cp:lastPrinted>2024-02-20T12:08:00Z</cp:lastPrinted>
  <dcterms:created xsi:type="dcterms:W3CDTF">2025-01-29T09:14:00Z</dcterms:created>
  <dcterms:modified xsi:type="dcterms:W3CDTF">2025-02-26T04:13:00Z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0x010100831AB7F96AEF13458F043989706E7E3E00031367038B5C4246BE55A60A950250D8</vt:lpwstr>
  </property>
  <property fmtid="{D5CDD505-2E9C-101B-9397-08002B2CF9AE}" pid="6" name="_dlc_DocIdItemGuid">
    <vt:lpwstr>f2b10f67-2a58-49a7-90f9-8295c8d1d05f</vt:lpwstr>
  </property>
  <property fmtid="{D5CDD505-2E9C-101B-9397-08002B2CF9AE}" pid="7" name="MSIP_Label_871f8e01-5a41-4a43-8bba-c7dd4ca448cd_Enabled">
    <vt:lpwstr>true</vt:lpwstr>
  </property>
  <property fmtid="{D5CDD505-2E9C-101B-9397-08002B2CF9AE}" pid="8" name="MSIP_Label_871f8e01-5a41-4a43-8bba-c7dd4ca448cd_SetDate">
    <vt:lpwstr>2024-02-20T00:36:45Z</vt:lpwstr>
  </property>
  <property fmtid="{D5CDD505-2E9C-101B-9397-08002B2CF9AE}" pid="9" name="MSIP_Label_871f8e01-5a41-4a43-8bba-c7dd4ca448cd_Method">
    <vt:lpwstr>Privileged</vt:lpwstr>
  </property>
  <property fmtid="{D5CDD505-2E9C-101B-9397-08002B2CF9AE}" pid="10" name="MSIP_Label_871f8e01-5a41-4a43-8bba-c7dd4ca448cd_Name">
    <vt:lpwstr>Do Not Mark (DJPR)</vt:lpwstr>
  </property>
  <property fmtid="{D5CDD505-2E9C-101B-9397-08002B2CF9AE}" pid="11" name="MSIP_Label_871f8e01-5a41-4a43-8bba-c7dd4ca448cd_SiteId">
    <vt:lpwstr>722ea0be-3e1c-4b11-ad6f-9401d6856e24</vt:lpwstr>
  </property>
  <property fmtid="{D5CDD505-2E9C-101B-9397-08002B2CF9AE}" pid="12" name="MSIP_Label_871f8e01-5a41-4a43-8bba-c7dd4ca448cd_ActionId">
    <vt:lpwstr>34d9c84f-880a-4370-a909-bc7b1b4821e3</vt:lpwstr>
  </property>
  <property fmtid="{D5CDD505-2E9C-101B-9397-08002B2CF9AE}" pid="13" name="MSIP_Label_871f8e01-5a41-4a43-8bba-c7dd4ca448cd_ContentBits">
    <vt:lpwstr>0</vt:lpwstr>
  </property>
  <property fmtid="{D5CDD505-2E9C-101B-9397-08002B2CF9AE}" pid="14" name="MediaServiceImageTags">
    <vt:lpwstr/>
  </property>
</Properties>
</file>